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5078"/>
          <w:sz w:val="32"/>
        </w:rPr>
        <w:t>GHANA COMPLIANCE AT A GLANCE</w:t>
      </w:r>
    </w:p>
    <w:p>
      <w:pPr>
        <w:jc w:val="center"/>
      </w:pPr>
      <w:r>
        <w:rPr>
          <w:b/>
          <w:sz w:val="20"/>
        </w:rPr>
        <w:t>IFRS S1/S2 &amp; BoG CRFRD - 2-Minute Summary</w:t>
      </w:r>
    </w:p>
    <w:p>
      <w:pPr>
        <w:pStyle w:val="Heading2"/>
      </w:pPr>
      <w:r>
        <w:t>WHAT YOU NEED TO DO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What</w:t>
            </w:r>
          </w:p>
        </w:tc>
        <w:tc>
          <w:tcPr>
            <w:tcW w:type="dxa" w:w="5040"/>
          </w:tcPr>
          <w:p>
            <w:r>
              <w:t>Details</w:t>
            </w:r>
          </w:p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/>
        </w:tc>
        <w:tc>
          <w:tcPr>
            <w:tcW w:type="dxa" w:w="5040"/>
          </w:tcPr>
          <w:p/>
        </w:tc>
      </w:tr>
      <w:tr>
        <w:tc>
          <w:tcPr>
            <w:tcW w:type="dxa" w:w="5040"/>
          </w:tcPr>
          <w:p>
            <w:r>
              <w:t>Board Climate Policy</w:t>
            </w:r>
          </w:p>
        </w:tc>
        <w:tc>
          <w:tcPr>
            <w:tcW w:type="dxa" w:w="5040"/>
          </w:tcPr>
          <w:p>
            <w:r>
              <w:t>Approve Board-level Climate Risk &amp; ESG Policy (required)</w:t>
            </w:r>
          </w:p>
        </w:tc>
      </w:tr>
      <w:tr>
        <w:tc>
          <w:tcPr>
            <w:tcW w:type="dxa" w:w="5040"/>
          </w:tcPr>
          <w:p>
            <w:r>
              <w:t>Climate Officer</w:t>
            </w:r>
          </w:p>
        </w:tc>
        <w:tc>
          <w:tcPr>
            <w:tcW w:type="dxa" w:w="5040"/>
          </w:tcPr>
          <w:p>
            <w:r>
              <w:t>Designate senior manager as Climate/ESG Officer</w:t>
            </w:r>
          </w:p>
        </w:tc>
      </w:tr>
      <w:tr>
        <w:tc>
          <w:tcPr>
            <w:tcW w:type="dxa" w:w="5040"/>
          </w:tcPr>
          <w:p>
            <w:r>
              <w:t>Report to BoG</w:t>
            </w:r>
          </w:p>
        </w:tc>
        <w:tc>
          <w:tcPr>
            <w:tcW w:type="dxa" w:w="5040"/>
          </w:tcPr>
          <w:p>
            <w:r>
              <w:t>Submit quarterly climate risk data starting Jan 1, 2026</w:t>
            </w:r>
          </w:p>
        </w:tc>
      </w:tr>
    </w:tbl>
    <w:p>
      <w:pPr>
        <w:pStyle w:val="Heading2"/>
      </w:pPr>
      <w:r>
        <w:t>4-PILLAR FRAMEWORK</w:t>
      </w:r>
    </w:p>
    <w:p>
      <w:pPr>
        <w:pStyle w:val="ListBullet"/>
      </w:pPr>
      <w:r>
        <w:rPr>
          <w:b/>
        </w:rPr>
        <w:t xml:space="preserve">🏛️ GOVERNANCE: </w:t>
      </w:r>
      <w:r>
        <w:t>Board approves policy; Senior manager owns climate risk; Quarterly Board reviews</w:t>
      </w:r>
    </w:p>
    <w:p>
      <w:pPr>
        <w:pStyle w:val="ListBullet"/>
      </w:pPr>
      <w:r>
        <w:rPr>
          <w:b/>
        </w:rPr>
        <w:t xml:space="preserve">📊 STRATEGY: </w:t>
      </w:r>
      <w:r>
        <w:t>Identify climate risks (floods, drought, policy changes); Plan response</w:t>
      </w:r>
    </w:p>
    <w:p>
      <w:pPr>
        <w:pStyle w:val="ListBullet"/>
      </w:pPr>
      <w:r>
        <w:rPr>
          <w:b/>
        </w:rPr>
        <w:t xml:space="preserve">⚙️ RISK MGMT: </w:t>
      </w:r>
      <w:r>
        <w:t>Screen loans for climate risk; Monitor exposures; Conduct scenario analysis</w:t>
      </w:r>
    </w:p>
    <w:p>
      <w:pPr>
        <w:pStyle w:val="ListBullet"/>
      </w:pPr>
      <w:r>
        <w:rPr>
          <w:b/>
        </w:rPr>
        <w:t xml:space="preserve">📈 METRICS: </w:t>
      </w:r>
      <w:r>
        <w:t>Track GHG emissions; Count green loans; Monitor high-risk sector exposure</w:t>
      </w:r>
    </w:p>
    <w:p>
      <w:pPr>
        <w:pStyle w:val="Heading2"/>
      </w:pPr>
      <w:r>
        <w:t>CRITICAL DATES</w:t>
      </w:r>
    </w:p>
    <w:p>
      <w:pPr>
        <w:pStyle w:val="ListBullet"/>
      </w:pPr>
      <w:r>
        <w:rPr>
          <w:b/>
        </w:rPr>
        <w:t xml:space="preserve">NOW-Q2 2025: </w:t>
      </w:r>
      <w:r>
        <w:t>Board approval + Appoint officer</w:t>
      </w:r>
    </w:p>
    <w:p>
      <w:pPr>
        <w:pStyle w:val="ListBullet"/>
      </w:pPr>
      <w:r>
        <w:rPr>
          <w:b/>
        </w:rPr>
        <w:t xml:space="preserve">Q2-Q4 2025: </w:t>
      </w:r>
      <w:r>
        <w:t>Data collection + Scenario analysis</w:t>
      </w:r>
    </w:p>
    <w:p>
      <w:pPr>
        <w:pStyle w:val="ListBullet"/>
      </w:pPr>
      <w:r>
        <w:rPr>
          <w:b/>
        </w:rPr>
        <w:t xml:space="preserve">JAN 1, 2026: </w:t>
      </w:r>
      <w:r>
        <w:t>✓ DEADLINE: CRFRD effective for Banks</w:t>
      </w:r>
    </w:p>
    <w:p>
      <w:pPr>
        <w:pStyle w:val="ListBullet"/>
      </w:pPr>
      <w:r>
        <w:rPr>
          <w:b/>
        </w:rPr>
        <w:t xml:space="preserve">DEC 2026: </w:t>
      </w:r>
      <w:r>
        <w:t>Publish climate report section</w:t>
      </w:r>
    </w:p>
    <w:p>
      <w:pPr>
        <w:pStyle w:val="ListBullet"/>
      </w:pPr>
      <w:r>
        <w:rPr>
          <w:b/>
        </w:rPr>
        <w:t xml:space="preserve">JAN 1, 2027: </w:t>
      </w:r>
      <w:r>
        <w:t>✓ DEADLINE: CRFRD effective for SDIs/NBFIs</w:t>
      </w:r>
    </w:p>
    <w:p>
      <w:pPr>
        <w:pStyle w:val="Heading2"/>
      </w:pPr>
      <w:r>
        <w:t>DATA COLLECTION (START NOW)</w:t>
      </w:r>
    </w:p>
    <w:p>
      <w:pPr>
        <w:pStyle w:val="ListBullet"/>
      </w:pPr>
      <w:r>
        <w:t>✓ Generator fuel consumption (monthly)</w:t>
      </w:r>
    </w:p>
    <w:p>
      <w:pPr>
        <w:pStyle w:val="ListBullet"/>
      </w:pPr>
      <w:r>
        <w:t>✓ Electricity usage (kWh/month)</w:t>
      </w:r>
    </w:p>
    <w:p>
      <w:pPr>
        <w:pStyle w:val="ListBullet"/>
      </w:pPr>
      <w:r>
        <w:t>% of women &amp; youth borrowers</w:t>
      </w:r>
    </w:p>
    <w:p>
      <w:pPr>
        <w:pStyle w:val="ListBullet"/>
      </w:pPr>
      <w:r>
        <w:t>% of green/climate-smart loans</w:t>
      </w:r>
    </w:p>
    <w:p>
      <w:pPr>
        <w:pStyle w:val="ListBullet"/>
      </w:pPr>
      <w:r>
        <w:t>% loans in agriculture/cocoa (high risk)</w:t>
      </w:r>
    </w:p>
    <w:p>
      <w:pPr>
        <w:pStyle w:val="ListBullet"/>
      </w:pPr>
      <w:r>
        <w:t>✓ Loans in flood/drought areas</w:t>
      </w:r>
    </w:p>
    <w:p>
      <w:pPr>
        <w:pStyle w:val="Heading2"/>
      </w:pPr>
      <w:r>
        <w:t>CLIMATE RISKS AFFECTING YOU</w:t>
      </w:r>
    </w:p>
    <w:p>
      <w:pPr>
        <w:pStyle w:val="ListBullet"/>
      </w:pPr>
      <w:r>
        <w:t>Physical: Flooding, drought, heat → Borrower defaults &amp; collateral loss</w:t>
      </w:r>
    </w:p>
    <w:p>
      <w:pPr>
        <w:pStyle w:val="ListBullet"/>
      </w:pPr>
      <w:r>
        <w:t>Transition: EUDR, carbon taxes, green finance shift → Market changes</w:t>
      </w:r>
    </w:p>
    <w:p>
      <w:pPr>
        <w:pStyle w:val="Heading2"/>
      </w:pPr>
      <w:r>
        <w:t>NEXT 30 DAYS</w:t>
      </w:r>
    </w:p>
    <w:p>
      <w:pPr>
        <w:pStyle w:val="ListBullet"/>
      </w:pPr>
      <w:r>
        <w:t>Week 1: Board meeting approval of climate policy</w:t>
      </w:r>
    </w:p>
    <w:p>
      <w:pPr>
        <w:pStyle w:val="ListBullet"/>
      </w:pPr>
      <w:r>
        <w:t>Week 2: Appoint Climate/ESG Officer</w:t>
      </w:r>
    </w:p>
    <w:p>
      <w:pPr>
        <w:pStyle w:val="ListBullet"/>
      </w:pPr>
      <w:r>
        <w:t>Week 3: Brief credit team on climate risk screening</w:t>
      </w:r>
    </w:p>
    <w:p>
      <w:pPr>
        <w:pStyle w:val="ListBullet"/>
      </w:pPr>
      <w:r>
        <w:t>Week 4: Start collecting monthly climate data</w:t>
      </w:r>
    </w:p>
    <w:p>
      <w:pPr>
        <w:pStyle w:val="Heading2"/>
      </w:pPr>
      <w:r>
        <w:t>NON-COMPLIANCE = PENALTIES</w:t>
      </w:r>
    </w:p>
    <w:p>
      <w:pPr>
        <w:pStyle w:val="ListBullet"/>
      </w:pPr>
      <w:r>
        <w:t>Higher capital requirements • BoG directives • Fines • Dividend restrictions • Exam scrutiny</w:t>
      </w:r>
    </w:p>
    <w:p/>
    <w:p>
      <w:r>
        <w:t>________________________________________________________________________________</w:t>
      </w:r>
    </w:p>
    <w:p/>
    <w:p>
      <w:r>
        <w:rPr>
          <w:b/>
          <w:sz w:val="18"/>
        </w:rPr>
        <w:t>✓ BOTTOM LINE: Two frameworks, ONE integrated solution. Start governance now, collect data immediately, report quarterly from Jan 1, 2026. You have 12 months to prepare.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