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40F3" w14:textId="77777777" w:rsidR="00BE3673" w:rsidRDefault="00000000">
      <w:pPr>
        <w:spacing w:after="60"/>
      </w:pPr>
      <w:r>
        <w:rPr>
          <w:b/>
          <w:bCs/>
          <w:color w:val="1F4E5F"/>
          <w:sz w:val="40"/>
          <w:szCs w:val="40"/>
        </w:rPr>
        <w:t>Covia: Technology Overview</w:t>
      </w:r>
    </w:p>
    <w:p w14:paraId="54966715" w14:textId="77777777" w:rsidR="00BE3673" w:rsidRDefault="00000000">
      <w:pPr>
        <w:spacing w:after="240"/>
      </w:pPr>
      <w:r>
        <w:rPr>
          <w:i/>
          <w:iCs/>
          <w:color w:val="555555"/>
          <w:sz w:val="22"/>
          <w:szCs w:val="22"/>
        </w:rPr>
        <w:t>Architecture of a federated grid for AI orchestration, and the lattice substrate beneath it</w:t>
      </w:r>
    </w:p>
    <w:p w14:paraId="28FD66B0" w14:textId="77777777" w:rsidR="00BE3673" w:rsidRDefault="00000000">
      <w:pPr>
        <w:pStyle w:val="Heading1"/>
      </w:pPr>
      <w:r>
        <w:t>1. Problem and Design Goals</w:t>
      </w:r>
    </w:p>
    <w:p w14:paraId="1C5925D6" w14:textId="2DBE35B3" w:rsidR="00BE3673" w:rsidRDefault="00000000">
      <w:pPr>
        <w:spacing w:after="140"/>
      </w:pPr>
      <w:r>
        <w:t xml:space="preserve">AI systems </w:t>
      </w:r>
      <w:r w:rsidR="00083D2E">
        <w:t>of the future will not be</w:t>
      </w:r>
      <w:r>
        <w:t xml:space="preserve"> isolated models or linear pipelines; they </w:t>
      </w:r>
      <w:r w:rsidR="00083D2E">
        <w:t>will be</w:t>
      </w:r>
      <w:r>
        <w:t xml:space="preserve"> distributed, agentic, multi-party </w:t>
      </w:r>
      <w:r w:rsidR="00083D2E">
        <w:t>synthetic workforces</w:t>
      </w:r>
      <w:r>
        <w:t xml:space="preserve"> spanning APIs, clouds, internal services, and external data. The infrastructure to run such systems with control, coordination, and compliance does not yet exist. In practice every multi-agent deployment is a bespoke integration: orchestration logic embedded in each agent, credentials shared across trust boundaries, no durable state, and no verifiable record of what an agent did — a particular problem once regulators </w:t>
      </w:r>
      <w:r w:rsidR="00083D2E">
        <w:t>demand compliance / audit</w:t>
      </w:r>
      <w:r>
        <w:t>.</w:t>
      </w:r>
    </w:p>
    <w:p w14:paraId="230D498D" w14:textId="77777777" w:rsidR="00BE3673" w:rsidRDefault="00000000">
      <w:pPr>
        <w:spacing w:after="140"/>
      </w:pPr>
      <w:r>
        <w:t xml:space="preserve">Covia treats this as an infrastructure-layer problem rather than an application feature, and approaches it the way prior coordination layers were built: an </w:t>
      </w:r>
      <w:r>
        <w:rPr>
          <w:b/>
          <w:bCs/>
        </w:rPr>
        <w:t>open protocol</w:t>
      </w:r>
      <w:r>
        <w:t xml:space="preserve"> (the Covia Open Grid, published as formal COG specifications under an open governance model), a </w:t>
      </w:r>
      <w:r>
        <w:rPr>
          <w:b/>
          <w:bCs/>
        </w:rPr>
        <w:t>reference runtime</w:t>
      </w:r>
      <w:r>
        <w:t xml:space="preserve"> (the venue, open source under EPL-2.0), and a </w:t>
      </w:r>
      <w:r>
        <w:rPr>
          <w:b/>
          <w:bCs/>
        </w:rPr>
        <w:t>state substrate</w:t>
      </w:r>
      <w:r>
        <w:t xml:space="preserve"> chosen specifically to make federation, provenance, and fine-grained authority structural properties rather than bolted-on features. The design lineage is the modularity of HTTP, the operational consistency of Kubernetes, and the verifiability of Git. Four goals drive the architecture:</w:t>
      </w:r>
    </w:p>
    <w:p w14:paraId="4FCB72A6" w14:textId="77777777" w:rsidR="00BE3673" w:rsidRDefault="00000000">
      <w:pPr>
        <w:pStyle w:val="ListParagraph"/>
        <w:numPr>
          <w:ilvl w:val="0"/>
          <w:numId w:val="2"/>
        </w:numPr>
        <w:spacing w:after="70"/>
      </w:pPr>
      <w:r>
        <w:rPr>
          <w:b/>
          <w:bCs/>
        </w:rPr>
        <w:t>Federation without centralised control</w:t>
      </w:r>
      <w:r>
        <w:t xml:space="preserve"> — workflows span organisations, clouds, and jurisdictions with no central coordinator.</w:t>
      </w:r>
    </w:p>
    <w:p w14:paraId="4AFA2EA2" w14:textId="77777777" w:rsidR="00BE3673" w:rsidRDefault="00000000">
      <w:pPr>
        <w:pStyle w:val="ListParagraph"/>
        <w:numPr>
          <w:ilvl w:val="0"/>
          <w:numId w:val="2"/>
        </w:numPr>
        <w:spacing w:after="70"/>
      </w:pPr>
      <w:r>
        <w:rPr>
          <w:b/>
          <w:bCs/>
        </w:rPr>
        <w:t>Verifiable provenance</w:t>
      </w:r>
      <w:r>
        <w:t xml:space="preserve"> — every result can be traced and cryptographically validated back to the code and inputs that produced it.</w:t>
      </w:r>
    </w:p>
    <w:p w14:paraId="7ADBDF01" w14:textId="77777777" w:rsidR="00BE3673" w:rsidRDefault="00000000">
      <w:pPr>
        <w:pStyle w:val="ListParagraph"/>
        <w:numPr>
          <w:ilvl w:val="0"/>
          <w:numId w:val="2"/>
        </w:numPr>
        <w:spacing w:after="70"/>
      </w:pPr>
      <w:r>
        <w:rPr>
          <w:b/>
          <w:bCs/>
        </w:rPr>
        <w:t>Fine-grained authority</w:t>
      </w:r>
      <w:r>
        <w:t xml:space="preserve"> — permissions that are scoped, delegable, attenuable, and auditable.</w:t>
      </w:r>
    </w:p>
    <w:p w14:paraId="6007279E" w14:textId="77777777" w:rsidR="00BE3673" w:rsidRDefault="00000000">
      <w:pPr>
        <w:pStyle w:val="ListParagraph"/>
        <w:numPr>
          <w:ilvl w:val="0"/>
          <w:numId w:val="2"/>
        </w:numPr>
        <w:spacing w:after="70"/>
      </w:pPr>
      <w:r>
        <w:rPr>
          <w:b/>
          <w:bCs/>
        </w:rPr>
        <w:t>Ecosystem compatibility</w:t>
      </w:r>
      <w:r>
        <w:t xml:space="preserve"> — native support for the protocols and frameworks the AI ecosystem already uses.</w:t>
      </w:r>
    </w:p>
    <w:p w14:paraId="0D87B4CA" w14:textId="77777777" w:rsidR="00BE3673" w:rsidRDefault="00000000">
      <w:pPr>
        <w:pStyle w:val="Heading1"/>
      </w:pPr>
      <w:r>
        <w:t>2. System Model</w:t>
      </w:r>
    </w:p>
    <w:p w14:paraId="2A2F5B70" w14:textId="77777777" w:rsidR="00BE3673" w:rsidRDefault="00000000">
      <w:pPr>
        <w:spacing w:after="140"/>
      </w:pPr>
      <w:r>
        <w:t>The grid is built from a small set of abstractions, hosted and executed by venues and addressed under a unified scheme (</w:t>
      </w:r>
      <w:r>
        <w:rPr>
          <w:i/>
          <w:iCs/>
        </w:rPr>
        <w:t>&lt;DID&gt;/&lt;namespace&gt;/&lt;path&gt;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BE3673" w14:paraId="444FF83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75D3980C" w14:textId="77777777" w:rsidR="00BE3673" w:rsidRDefault="00000000">
            <w:r>
              <w:rPr>
                <w:b/>
                <w:bCs/>
                <w:sz w:val="19"/>
                <w:szCs w:val="19"/>
              </w:rPr>
              <w:t>Concept</w:t>
            </w:r>
          </w:p>
        </w:tc>
        <w:tc>
          <w:tcPr>
            <w:tcW w:w="76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517D05AF" w14:textId="77777777" w:rsidR="00BE3673" w:rsidRDefault="00000000">
            <w:r>
              <w:rPr>
                <w:b/>
                <w:bCs/>
                <w:sz w:val="19"/>
                <w:szCs w:val="19"/>
              </w:rPr>
              <w:t>Definition</w:t>
            </w:r>
          </w:p>
        </w:tc>
      </w:tr>
      <w:tr w:rsidR="00BE3673" w14:paraId="38403734"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F1660A" w14:textId="77777777" w:rsidR="00BE3673" w:rsidRDefault="00000000">
            <w:r>
              <w:rPr>
                <w:sz w:val="19"/>
                <w:szCs w:val="19"/>
              </w:rPr>
              <w:t>Venue</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9E4593D" w14:textId="77777777" w:rsidR="00BE3673" w:rsidRDefault="00000000">
            <w:r>
              <w:rPr>
                <w:sz w:val="19"/>
                <w:szCs w:val="19"/>
              </w:rPr>
              <w:t>A grid node: an execution environment with its own DID identity, trust scope, and policy. Deploys as a single JAR or container.</w:t>
            </w:r>
          </w:p>
        </w:tc>
      </w:tr>
      <w:tr w:rsidR="00BE3673" w14:paraId="51AE9F5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9288A8" w14:textId="77777777" w:rsidR="00BE3673" w:rsidRDefault="00000000">
            <w:r>
              <w:rPr>
                <w:sz w:val="19"/>
                <w:szCs w:val="19"/>
              </w:rPr>
              <w:t>Asset</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914271" w14:textId="77777777" w:rsidR="00BE3673" w:rsidRDefault="00000000">
            <w:r>
              <w:rPr>
                <w:sz w:val="19"/>
                <w:szCs w:val="19"/>
              </w:rPr>
              <w:t>An immutable resource (data, model, or service description) identified by the hash of its metadata — the root of a Merkle tree over its content.</w:t>
            </w:r>
          </w:p>
        </w:tc>
      </w:tr>
      <w:tr w:rsidR="00BE3673" w14:paraId="2D78A9F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24F3CD" w14:textId="77777777" w:rsidR="00BE3673" w:rsidRDefault="00000000">
            <w:r>
              <w:rPr>
                <w:sz w:val="19"/>
                <w:szCs w:val="19"/>
              </w:rPr>
              <w:t>Operation</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BA9D5B7" w14:textId="77777777" w:rsidR="00BE3673" w:rsidRDefault="00000000">
            <w:r>
              <w:rPr>
                <w:sz w:val="19"/>
                <w:szCs w:val="19"/>
              </w:rPr>
              <w:t>An invocable asset, self-describing via JSON Schema input/output, dispatched to a pluggable adapter.</w:t>
            </w:r>
          </w:p>
        </w:tc>
      </w:tr>
      <w:tr w:rsidR="00BE3673" w14:paraId="3045874D"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1C61F0" w14:textId="77777777" w:rsidR="00BE3673" w:rsidRDefault="00000000">
            <w:r>
              <w:rPr>
                <w:sz w:val="19"/>
                <w:szCs w:val="19"/>
              </w:rPr>
              <w:t>Job</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E5F06F" w14:textId="77777777" w:rsidR="00BE3673" w:rsidRDefault="00000000">
            <w:r>
              <w:rPr>
                <w:sz w:val="19"/>
                <w:szCs w:val="19"/>
              </w:rPr>
              <w:t>The execution record of an invocation: long-lived (no framework timeout), streamed over SSE, frozen to an immutable record on completion. The unit of accountability and cost.</w:t>
            </w:r>
          </w:p>
        </w:tc>
      </w:tr>
      <w:tr w:rsidR="00BE3673" w14:paraId="3DFE44B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64588E" w14:textId="77777777" w:rsidR="00BE3673" w:rsidRDefault="00000000">
            <w:r>
              <w:rPr>
                <w:sz w:val="19"/>
                <w:szCs w:val="19"/>
              </w:rPr>
              <w:t>Agent</w:t>
            </w:r>
          </w:p>
        </w:tc>
        <w:tc>
          <w:tcPr>
            <w:tcW w:w="7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2A639A6" w14:textId="77777777" w:rsidR="00BE3673" w:rsidRDefault="00000000">
            <w:r>
              <w:rPr>
                <w:sz w:val="19"/>
                <w:szCs w:val="19"/>
              </w:rPr>
              <w:t>A persistent actor hosted by a venue, with durable state, a message inbox, an auditable timeline, and a pluggable transition function (LLM, rules, or code).</w:t>
            </w:r>
          </w:p>
        </w:tc>
      </w:tr>
    </w:tbl>
    <w:p w14:paraId="5E9FB950" w14:textId="77777777" w:rsidR="00BE3673" w:rsidRDefault="00BE3673">
      <w:pPr>
        <w:spacing w:after="100"/>
      </w:pPr>
    </w:p>
    <w:p w14:paraId="30951AD0" w14:textId="09D970B8" w:rsidR="00BE3673" w:rsidRDefault="00000000">
      <w:pPr>
        <w:spacing w:after="140"/>
      </w:pPr>
      <w:r>
        <w:t xml:space="preserve">Inside a venue, a layered runtime (HTTP server → engine → adapters → lattice storage) dispatches operations to </w:t>
      </w:r>
      <w:r w:rsidR="00083D2E">
        <w:t>20+</w:t>
      </w:r>
      <w:r>
        <w:t xml:space="preserve"> adapters — LLM inference, agents, multi-step orchestration, MCP bridging, cross-venue federation, HTTP, file systems, secrets, capability issuance. Adapters are the extension mechanism: new execution backends are added without touching the core, and the engine resolves all references to concrete values before dispatch, which is also where authority checks attach (§5).</w:t>
      </w:r>
    </w:p>
    <w:p w14:paraId="633274DA" w14:textId="77777777" w:rsidR="00BE3673" w:rsidRDefault="00000000">
      <w:pPr>
        <w:pStyle w:val="Heading1"/>
      </w:pPr>
      <w:r>
        <w:t>3. The Lattice Substrate</w:t>
      </w:r>
    </w:p>
    <w:p w14:paraId="21B9C07D" w14:textId="507C4E4E" w:rsidR="00BE3673" w:rsidRDefault="00000000">
      <w:pPr>
        <w:spacing w:after="140"/>
      </w:pPr>
      <w:r>
        <w:t xml:space="preserve">The most consequential design decision is what sits at the bottom. Distributed systems conventionally choose between a central coordinator (efficient, but a single point of trust and failure) and global consensus in the blockchain style (trustless, but expensive and totally ordered, which most workloads do not require). Covia’s </w:t>
      </w:r>
      <w:r>
        <w:lastRenderedPageBreak/>
        <w:t xml:space="preserve">substrate is a </w:t>
      </w:r>
      <w:r>
        <w:rPr>
          <w:b/>
          <w:bCs/>
        </w:rPr>
        <w:t>lattice</w:t>
      </w:r>
      <w:r>
        <w:t xml:space="preserve">: a data structure whose merge operation is commutative, associative, and idempotent. Replicas merged in any order converge to the same state (the CRDT property), so venue state replicates peer-to-peer, tolerates partition and reconnection, and cannot diverge — with no coordinator and no global ledger </w:t>
      </w:r>
      <w:r w:rsidR="00083D2E">
        <w:t>as a single point of failure</w:t>
      </w:r>
      <w:r>
        <w:t>.</w:t>
      </w:r>
    </w:p>
    <w:p w14:paraId="6E1A4776" w14:textId="77777777" w:rsidR="00BE3673" w:rsidRDefault="00000000">
      <w:pPr>
        <w:spacing w:after="140"/>
      </w:pPr>
      <w:r>
        <w:t xml:space="preserve">All values are content-addressed (CAD3 canonical encoding, SHA3-256), so grid state forms Merkle trees verifiable by any peer. The system pairs mutable names with immutable snapshots: operations are authored and iterated under stable paths, pinned to an exact content hash at the moment of invocation; completed jobs freeze into immutable records capturing the pinned operation version, inputs, outputs, executor, and cost. The consequence worth noting in diligence: </w:t>
      </w:r>
      <w:r>
        <w:rPr>
          <w:b/>
          <w:bCs/>
        </w:rPr>
        <w:t>provenance and reproducibility are properties of the data structure</w:t>
      </w:r>
      <w:r>
        <w:t>, not an audit subsystem that must be maintained per feature.</w:t>
      </w:r>
    </w:p>
    <w:p w14:paraId="013461B9" w14:textId="77777777" w:rsidR="00BE3673" w:rsidRDefault="00000000">
      <w:pPr>
        <w:spacing w:after="140"/>
      </w:pPr>
      <w:r>
        <w:t>The architecture separates planes:</w:t>
      </w:r>
    </w:p>
    <w:p w14:paraId="5195A064" w14:textId="77777777" w:rsidR="00BE3673" w:rsidRDefault="00000000">
      <w:pPr>
        <w:pStyle w:val="ListParagraph"/>
        <w:numPr>
          <w:ilvl w:val="0"/>
          <w:numId w:val="2"/>
        </w:numPr>
        <w:spacing w:after="70"/>
      </w:pPr>
      <w:r>
        <w:rPr>
          <w:b/>
          <w:bCs/>
        </w:rPr>
        <w:t>Data plane</w:t>
      </w:r>
      <w:r>
        <w:t xml:space="preserve"> — workloads, agent state, and bulk replication via DLFS (a lattice-based decentralised file system) flow entirely over P2P replication, at conventional infrastructure cost.</w:t>
      </w:r>
    </w:p>
    <w:p w14:paraId="74370048" w14:textId="3A4B108B" w:rsidR="00BE3673" w:rsidRDefault="00000000">
      <w:pPr>
        <w:pStyle w:val="ListParagraph"/>
        <w:numPr>
          <w:ilvl w:val="0"/>
          <w:numId w:val="2"/>
        </w:numPr>
        <w:spacing w:after="70"/>
      </w:pPr>
      <w:r>
        <w:rPr>
          <w:b/>
          <w:bCs/>
        </w:rPr>
        <w:t>Trust plane</w:t>
      </w:r>
      <w:r>
        <w:t xml:space="preserve"> — identity anchoring, settlement, and tokenisation of AI services can optionally anchor to the </w:t>
      </w:r>
      <w:r w:rsidR="00083D2E">
        <w:t xml:space="preserve">on-chain </w:t>
      </w:r>
      <w:r>
        <w:t xml:space="preserve">Convex public network, whose consensus is built on the same lattice mathematics. </w:t>
      </w:r>
      <w:r w:rsidR="00083D2E">
        <w:t>Globally verifiable c</w:t>
      </w:r>
      <w:r>
        <w:t>onsensus is paid for only where it is actually needed.</w:t>
      </w:r>
    </w:p>
    <w:p w14:paraId="7D12BB4B" w14:textId="77777777" w:rsidR="00BE3673" w:rsidRDefault="00000000">
      <w:pPr>
        <w:pStyle w:val="Heading1"/>
      </w:pPr>
      <w:r>
        <w:t>4. Federated Execution and Provenance</w:t>
      </w:r>
    </w:p>
    <w:p w14:paraId="52A8373D" w14:textId="77777777" w:rsidR="00BE3673" w:rsidRDefault="00000000">
      <w:pPr>
        <w:spacing w:after="140"/>
      </w:pPr>
      <w:r>
        <w:t xml:space="preserve">A workflow may span venues operated by different organisations in different jurisdictions. The execution model moves </w:t>
      </w:r>
      <w:r>
        <w:rPr>
          <w:b/>
          <w:bCs/>
        </w:rPr>
        <w:t>computation to the data</w:t>
      </w:r>
      <w:r>
        <w:t>: an operation on restricted data (patient records, proprietary datasets) executes inside the venue that governs it, and only results cross the boundary. Output assets carry metadata that chains back to the pinned operations and inputs that produced them, so any party can validate the full lineage of a result across organisational lines without access to the underlying data.</w:t>
      </w:r>
    </w:p>
    <w:p w14:paraId="1A5BF6E7" w14:textId="77777777" w:rsidR="00BE3673" w:rsidRDefault="00000000">
      <w:pPr>
        <w:spacing w:after="140"/>
      </w:pPr>
      <w:r>
        <w:t>Because an orchestration is itself an operation, composition is recursive: a multi-step workflow published by one venue can be invoked as a single step in another’s. Combined with content addressing — the same asset ID resolves identically from any venue holding a copy — this is what allows independent deployments to interoperate as one grid rather than as point integrations.</w:t>
      </w:r>
    </w:p>
    <w:p w14:paraId="551BCA4B" w14:textId="77777777" w:rsidR="00BE3673" w:rsidRDefault="00000000">
      <w:pPr>
        <w:pStyle w:val="Heading1"/>
      </w:pPr>
      <w:r>
        <w:t>5. Authority Model</w:t>
      </w:r>
    </w:p>
    <w:p w14:paraId="262C78F0" w14:textId="77777777" w:rsidR="00BE3673" w:rsidRDefault="00000000">
      <w:pPr>
        <w:spacing w:after="140"/>
      </w:pPr>
      <w:r>
        <w:t xml:space="preserve">Identity is DID-based and method-agnostic (did:key for self-certifying identities, did:web for server-backed ones). Authorisation is capability-based using </w:t>
      </w:r>
      <w:r>
        <w:rPr>
          <w:b/>
          <w:bCs/>
        </w:rPr>
        <w:t>UCAN tokens</w:t>
      </w:r>
      <w:r>
        <w:t>: signed grants naming a specific resource (</w:t>
      </w:r>
      <w:r>
        <w:rPr>
          <w:i/>
          <w:iCs/>
        </w:rPr>
        <w:t>with</w:t>
      </w:r>
      <w:r>
        <w:t>) and action (</w:t>
      </w:r>
      <w:r>
        <w:rPr>
          <w:i/>
          <w:iCs/>
        </w:rPr>
        <w:t>can</w:t>
      </w:r>
      <w:r>
        <w:t>), attenuable and delegable. Capabilities scope down to individual paths — invoke one named operation, decrypt one specific secret, message one specific agent — and a delegating agent can pass on a strictly narrower grant, so delegation chains mirror organisational authority. Nothing is reachable by default; every action is authorised and recorded.</w:t>
      </w:r>
    </w:p>
    <w:p w14:paraId="132852ED" w14:textId="77777777" w:rsidR="00BE3673" w:rsidRDefault="00000000">
      <w:pPr>
        <w:pStyle w:val="ListParagraph"/>
        <w:numPr>
          <w:ilvl w:val="0"/>
          <w:numId w:val="2"/>
        </w:numPr>
        <w:spacing w:after="70"/>
      </w:pPr>
      <w:r>
        <w:rPr>
          <w:b/>
          <w:bCs/>
        </w:rPr>
        <w:t>Secrets</w:t>
      </w:r>
      <w:r>
        <w:t xml:space="preserve"> — agents reference credentials by path only; the runtime is the single decryption point and injects plaintext at the adapter layer. The LLM-driven reasoning loop never observes credentials, unlike common agent frameworks where keys sit in prompt context.</w:t>
      </w:r>
    </w:p>
    <w:p w14:paraId="0D02095F" w14:textId="77777777" w:rsidR="00BE3673" w:rsidRDefault="00000000">
      <w:pPr>
        <w:pStyle w:val="ListParagraph"/>
        <w:numPr>
          <w:ilvl w:val="0"/>
          <w:numId w:val="2"/>
        </w:numPr>
        <w:spacing w:after="70"/>
      </w:pPr>
      <w:r>
        <w:rPr>
          <w:b/>
          <w:bCs/>
        </w:rPr>
        <w:t>Dual audit</w:t>
      </w:r>
      <w:r>
        <w:t xml:space="preserve"> — the job record answers what happened to a given request (the basis for billing, SLAs, dispute resolution); the agent timeline answers what a given agent did and why. Both are append-only and replayable.</w:t>
      </w:r>
    </w:p>
    <w:p w14:paraId="222E28A0" w14:textId="77777777" w:rsidR="00BE3673" w:rsidRDefault="00000000">
      <w:pPr>
        <w:pStyle w:val="ListParagraph"/>
        <w:numPr>
          <w:ilvl w:val="0"/>
          <w:numId w:val="2"/>
        </w:numPr>
        <w:spacing w:after="70"/>
      </w:pPr>
      <w:r>
        <w:rPr>
          <w:b/>
          <w:bCs/>
        </w:rPr>
        <w:t>Status</w:t>
      </w:r>
      <w:r>
        <w:t xml:space="preserve"> — venue-signed UCAN issuance, per-request proof presentation, cross-user access verification, and adversarial tests (forged signatures, expired tokens, wrong audience/ability) are implemented; enforcement across all namespaces is being completed in scheduled phases on the public roadmap.</w:t>
      </w:r>
    </w:p>
    <w:p w14:paraId="5FD954EB" w14:textId="77777777" w:rsidR="00BE3673" w:rsidRDefault="00000000">
      <w:pPr>
        <w:pStyle w:val="Heading1"/>
      </w:pPr>
      <w:r>
        <w:t>6. Interoperability</w:t>
      </w:r>
    </w:p>
    <w:p w14:paraId="2F9BB08F" w14:textId="77777777" w:rsidR="00BE3673" w:rsidRDefault="00000000">
      <w:pPr>
        <w:spacing w:after="140"/>
      </w:pPr>
      <w:r>
        <w:t>The runtime separates the substrate from the agent and the agent from the model: agent behaviour is a pluggable transition function (LLM-backed, rule-based, or custom code), and model access is an executor binding that can be swapped without changing callers. Externally, a venue exposes the same capabilities over every major protocol simultaneously:</w:t>
      </w:r>
    </w:p>
    <w:p w14:paraId="02D13B17" w14:textId="77777777" w:rsidR="00BE3673" w:rsidRDefault="00000000">
      <w:pPr>
        <w:pStyle w:val="ListParagraph"/>
        <w:numPr>
          <w:ilvl w:val="0"/>
          <w:numId w:val="2"/>
        </w:numPr>
        <w:spacing w:after="70"/>
      </w:pPr>
      <w:r>
        <w:rPr>
          <w:b/>
          <w:bCs/>
        </w:rPr>
        <w:lastRenderedPageBreak/>
        <w:t>MCP, in both directions</w:t>
      </w:r>
      <w:r>
        <w:t xml:space="preserve"> — any MCP client can use a venue as a tool server; the venue can consume any external MCP server as a grid operation.</w:t>
      </w:r>
    </w:p>
    <w:p w14:paraId="2FD48C5E" w14:textId="77777777" w:rsidR="00BE3673" w:rsidRDefault="00000000">
      <w:pPr>
        <w:pStyle w:val="ListParagraph"/>
        <w:numPr>
          <w:ilvl w:val="0"/>
          <w:numId w:val="2"/>
        </w:numPr>
        <w:spacing w:after="70"/>
      </w:pPr>
      <w:r>
        <w:rPr>
          <w:b/>
          <w:bCs/>
        </w:rPr>
        <w:t>A2A</w:t>
      </w:r>
      <w:r>
        <w:t xml:space="preserve"> — agent-to-agent workflows across vendors and frameworks.</w:t>
      </w:r>
    </w:p>
    <w:p w14:paraId="0819AFAC" w14:textId="77777777" w:rsidR="00BE3673" w:rsidRDefault="00000000">
      <w:pPr>
        <w:pStyle w:val="ListParagraph"/>
        <w:numPr>
          <w:ilvl w:val="0"/>
          <w:numId w:val="2"/>
        </w:numPr>
        <w:spacing w:after="70"/>
      </w:pPr>
      <w:r>
        <w:rPr>
          <w:b/>
          <w:bCs/>
        </w:rPr>
        <w:t>REST + DID</w:t>
      </w:r>
      <w:r>
        <w:t xml:space="preserve"> — full API with interactive OpenAPI docs; venue discovery via standard DID documents.</w:t>
      </w:r>
    </w:p>
    <w:p w14:paraId="5C750278" w14:textId="77777777" w:rsidR="00BE3673" w:rsidRDefault="00000000">
      <w:pPr>
        <w:pStyle w:val="ListParagraph"/>
        <w:numPr>
          <w:ilvl w:val="0"/>
          <w:numId w:val="2"/>
        </w:numPr>
        <w:spacing w:after="70"/>
      </w:pPr>
      <w:r>
        <w:rPr>
          <w:b/>
          <w:bCs/>
        </w:rPr>
        <w:t>Models</w:t>
      </w:r>
      <w:r>
        <w:t xml:space="preserve"> — LangChain4j bindings for OpenAI, Anthropic, Gemini, DeepSeek, and local models via Ollama.</w:t>
      </w:r>
    </w:p>
    <w:p w14:paraId="0FEC9D26" w14:textId="77777777" w:rsidR="00BE3673" w:rsidRDefault="00000000">
      <w:pPr>
        <w:pStyle w:val="ListParagraph"/>
        <w:numPr>
          <w:ilvl w:val="0"/>
          <w:numId w:val="2"/>
        </w:numPr>
        <w:spacing w:after="70"/>
      </w:pPr>
      <w:r>
        <w:rPr>
          <w:b/>
          <w:bCs/>
        </w:rPr>
        <w:t>SDKs</w:t>
      </w:r>
      <w:r>
        <w:t xml:space="preserve"> — TypeScript (npm), Python (PyPI), and Java, with Ed25519 keypair and bearer authentication.</w:t>
      </w:r>
    </w:p>
    <w:p w14:paraId="03556F55" w14:textId="77777777" w:rsidR="00BE3673" w:rsidRDefault="00000000">
      <w:pPr>
        <w:spacing w:after="140"/>
      </w:pPr>
      <w:r>
        <w:t>The positioning is deliberate: Covia sits beneath existing frameworks rather than competing with them, so its integration surface grows with each protocol’s ecosystem.</w:t>
      </w:r>
    </w:p>
    <w:p w14:paraId="7F9CD004" w14:textId="77777777" w:rsidR="00BE3673" w:rsidRDefault="00000000">
      <w:pPr>
        <w:pStyle w:val="Heading1"/>
      </w:pPr>
      <w:r>
        <w:t>7. Deployment Model and Adoption Context</w:t>
      </w:r>
    </w:p>
    <w:p w14:paraId="3DE515E1" w14:textId="77777777" w:rsidR="00BE3673" w:rsidRDefault="00000000">
      <w:pPr>
        <w:spacing w:after="140"/>
      </w:pPr>
      <w:r>
        <w:t xml:space="preserve">A venue is one artifact — </w:t>
      </w:r>
      <w:r>
        <w:rPr>
          <w:i/>
          <w:iCs/>
        </w:rPr>
        <w:t>docker run</w:t>
      </w:r>
      <w:r>
        <w:t xml:space="preserve"> or </w:t>
      </w:r>
      <w:r>
        <w:rPr>
          <w:i/>
          <w:iCs/>
        </w:rPr>
        <w:t>java -jar</w:t>
      </w:r>
      <w:r>
        <w:t xml:space="preserve"> — that comes up self-describing with interactive API documentation and working built-in operations. Hosted venues are live on the public internet today, and self-hosting requires no further infrastructure.</w:t>
      </w:r>
    </w:p>
    <w:p w14:paraId="18851CDA" w14:textId="77777777" w:rsidR="00BE3673" w:rsidRDefault="00000000">
      <w:pPr>
        <w:spacing w:after="140"/>
      </w:pPr>
      <w:r>
        <w:t>This deployment shape matters in the current market. The self-hosted agent wave of 2025–26 (OpenClaw, Hermes Agent) showed unusually fast bottom-up adoption of self-sovereign agents — and the consequences of running them without an authority model: broad system access, publicised security incidents, and no safe way for agents operated by different parties to interact. Covia fits the same deployment pattern while supplying capability-scoped authority, verifiable provenance, and governed federation; and because the protocol is an open standard, each new venue extends what every participant can reach — protocol-network growth dynamics rather than a product install base.</w:t>
      </w:r>
    </w:p>
    <w:p w14:paraId="45B08EF1" w14:textId="77777777" w:rsidR="00BE3673" w:rsidRDefault="00000000">
      <w:pPr>
        <w:pStyle w:val="Heading1"/>
      </w:pPr>
      <w:r>
        <w:t>8. Technical Moat and IP Position</w:t>
      </w:r>
    </w:p>
    <w:p w14:paraId="216892C9" w14:textId="77777777" w:rsidR="00BE3673" w:rsidRDefault="00000000">
      <w:pPr>
        <w:spacing w:after="140"/>
      </w:pPr>
      <w:r>
        <w:t>The fair diligence question is what, specifically, is hard to copy. The defensibility sits at three levels:</w:t>
      </w:r>
    </w:p>
    <w:p w14:paraId="43D3FDB0" w14:textId="587D57AD" w:rsidR="00BE3673" w:rsidRDefault="00000000">
      <w:pPr>
        <w:pStyle w:val="ListParagraph"/>
        <w:numPr>
          <w:ilvl w:val="0"/>
          <w:numId w:val="2"/>
        </w:numPr>
        <w:spacing w:after="70"/>
      </w:pPr>
      <w:r>
        <w:rPr>
          <w:b/>
          <w:bCs/>
        </w:rPr>
        <w:t xml:space="preserve">Substrate engineering. </w:t>
      </w:r>
      <w:r>
        <w:t xml:space="preserve">A verified CRDT lattice with canonical encoding, content addressing, and capability security is hard distributed-systems work with </w:t>
      </w:r>
      <w:r w:rsidR="00083D2E">
        <w:t xml:space="preserve">years of R&amp;D work </w:t>
      </w:r>
      <w:r>
        <w:t>through the Convex platform — the convergence, verification, and authority properties of §3–§5 must be designed together, not assembled from off-the-shelf parts. Teams with production experience across CRDTs, cryptographic data structures, and consensus are scarce; reproducing the substrate is a multi-year effort, not an integration project.</w:t>
      </w:r>
    </w:p>
    <w:p w14:paraId="36B82C85" w14:textId="77777777" w:rsidR="00BE3673" w:rsidRDefault="00000000">
      <w:pPr>
        <w:pStyle w:val="ListParagraph"/>
        <w:numPr>
          <w:ilvl w:val="0"/>
          <w:numId w:val="2"/>
        </w:numPr>
        <w:spacing w:after="70"/>
      </w:pPr>
      <w:r>
        <w:rPr>
          <w:b/>
          <w:bCs/>
        </w:rPr>
        <w:t xml:space="preserve">Architecture, not features. </w:t>
      </w:r>
      <w:r>
        <w:t>Competing platforms record agent activity in mutable databases and apply policy through instrumentation. Matching verifiable-by-construction provenance and pre-dispatch capability enforcement requires re-architecting their state layer — precisely what installed bases make expensive. Features can be copied in a quarter; data-structure properties cannot.</w:t>
      </w:r>
    </w:p>
    <w:p w14:paraId="5290AD27" w14:textId="77777777" w:rsidR="00BE3673" w:rsidRDefault="00000000">
      <w:pPr>
        <w:pStyle w:val="ListParagraph"/>
        <w:numPr>
          <w:ilvl w:val="0"/>
          <w:numId w:val="2"/>
        </w:numPr>
        <w:spacing w:after="70"/>
      </w:pPr>
      <w:r>
        <w:rPr>
          <w:b/>
          <w:bCs/>
        </w:rPr>
        <w:t xml:space="preserve">Protocol position. </w:t>
      </w:r>
      <w:r>
        <w:t>The COG specifications are published under open governance, with Covia as editor and reference implementer. If federated agent infrastructure standardises — as cross-vendor coordination layers historically do — the durable position is steward and best implementation of the standard, the dynamic seen with Kubernetes and CNCF.</w:t>
      </w:r>
    </w:p>
    <w:p w14:paraId="134F8BE9" w14:textId="41687B43" w:rsidR="00BE3673" w:rsidRDefault="00000000">
      <w:pPr>
        <w:spacing w:after="140"/>
      </w:pPr>
      <w:r>
        <w:t xml:space="preserve">The IP posture is deliberately open-core rather than patent-led. The runtime is EPL-2.0 (weak copyleft: changes to the core must be published, while proprietary systems may freely build on top), the Convex dependency is consumed as released open-source artifacts from Maven Central, and the open-core boundary — what stays open versus what is offered commercially — is being documented publicly so contributors and adopters are never surprised. Apache-2.0 is </w:t>
      </w:r>
      <w:r w:rsidR="00083D2E">
        <w:t>used for SDK libraries and tools</w:t>
      </w:r>
      <w:r>
        <w:t>. Defensibility rests on substrate expertise, standards stewardship, and execution velocity — the pattern of every successful infrastructure layer of the past two decades.</w:t>
      </w:r>
    </w:p>
    <w:p w14:paraId="6DB71BD8" w14:textId="77777777" w:rsidR="00BE3673" w:rsidRDefault="00000000">
      <w:pPr>
        <w:pStyle w:val="Heading1"/>
      </w:pPr>
      <w:r>
        <w:t>9. Competitive Landscape</w:t>
      </w:r>
    </w:p>
    <w:p w14:paraId="24B42222" w14:textId="77777777" w:rsidR="00BE3673" w:rsidRDefault="00000000">
      <w:pPr>
        <w:spacing w:after="140"/>
      </w:pPr>
      <w:r>
        <w:t>Three classes of competitor are relevant; each solves a different slice of the problem, and none occupies the layer Covia targets.</w:t>
      </w:r>
    </w:p>
    <w:p w14:paraId="2D8E4526" w14:textId="77777777" w:rsidR="00BE3673" w:rsidRDefault="00000000">
      <w:pPr>
        <w:pStyle w:val="ListParagraph"/>
        <w:numPr>
          <w:ilvl w:val="0"/>
          <w:numId w:val="2"/>
        </w:numPr>
        <w:spacing w:after="70"/>
      </w:pPr>
      <w:r>
        <w:rPr>
          <w:b/>
          <w:bCs/>
        </w:rPr>
        <w:t>Hyperscaler agent platforms</w:t>
      </w:r>
      <w:r>
        <w:t xml:space="preserve"> (AWS Bedrock AgentCore, Azure AI Foundry Agent Service, Google Vertex AI Agent Builder — all GA between late 2025 and early 2026). Capable runtimes with first-class identity </w:t>
      </w:r>
      <w:r>
        <w:lastRenderedPageBreak/>
        <w:t>and memory — inside one cloud and one tenant. Their governance boundary is the account; federation across clouds or organisations is structurally absent, because neutrality is the requirement and lock-in is the business model. A venue runs on any of them, so Covia is complementary at the infrastructure level and competes only for the neutral cross-boundary layer that a single vendor cannot credibly own.</w:t>
      </w:r>
    </w:p>
    <w:p w14:paraId="45FF91A1" w14:textId="77777777" w:rsidR="00BE3673" w:rsidRDefault="00000000">
      <w:pPr>
        <w:pStyle w:val="ListParagraph"/>
        <w:numPr>
          <w:ilvl w:val="0"/>
          <w:numId w:val="2"/>
        </w:numPr>
        <w:spacing w:after="70"/>
      </w:pPr>
      <w:r>
        <w:rPr>
          <w:b/>
          <w:bCs/>
        </w:rPr>
        <w:t>Agent orchestration frameworks</w:t>
      </w:r>
      <w:r>
        <w:t xml:space="preserve"> (LangGraph/LangSmith, CrewAI, Microsoft Agent Framework). In-process libraries for building agent behaviour within a single trust domain; audit means checkpointing into an application database. Covia does not compete for agent logic — framework agents connect via MCP, A2A, or adapters and execute as venue operations, while the grid supplies what frameworks do not attempt: identity, authority, and verifiable records across parties.</w:t>
      </w:r>
    </w:p>
    <w:p w14:paraId="7882AA9F" w14:textId="77777777" w:rsidR="00BE3673" w:rsidRDefault="00000000">
      <w:pPr>
        <w:pStyle w:val="ListParagraph"/>
        <w:numPr>
          <w:ilvl w:val="0"/>
          <w:numId w:val="2"/>
        </w:numPr>
        <w:spacing w:after="70"/>
      </w:pPr>
      <w:r>
        <w:rPr>
          <w:b/>
          <w:bCs/>
        </w:rPr>
        <w:t>Governance overlays</w:t>
      </w:r>
      <w:r>
        <w:t xml:space="preserve"> (Microsoft’s Agent Governance Toolkit, agent-management platforms). These instrument agents from outside via callbacks and decorators; the resulting record is only as trustworthy as the mutable store it lands in and the discipline of each integration. Covia enforces governance in the substrate — capability checks before dispatch, append-only content-addressed records after — a distinction that matters as EU AI Act high-risk obligations (August 2026) move the bar from “logged” to “provable”.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2560"/>
        <w:gridCol w:w="2560"/>
        <w:gridCol w:w="2580"/>
      </w:tblGrid>
      <w:tr w:rsidR="00BE3673" w14:paraId="6876AE0F" w14:textId="77777777">
        <w:tblPrEx>
          <w:tblCellMar>
            <w:top w:w="0" w:type="dxa"/>
            <w:bottom w:w="0" w:type="dxa"/>
          </w:tblCellMar>
        </w:tblPrEx>
        <w:tc>
          <w:tcPr>
            <w:tcW w:w="16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47D88D7F" w14:textId="77777777" w:rsidR="00BE3673" w:rsidRDefault="00BE3673"/>
        </w:tc>
        <w:tc>
          <w:tcPr>
            <w:tcW w:w="25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59B9252A" w14:textId="77777777" w:rsidR="00BE3673" w:rsidRDefault="00000000">
            <w:r>
              <w:rPr>
                <w:b/>
                <w:bCs/>
                <w:sz w:val="19"/>
                <w:szCs w:val="19"/>
              </w:rPr>
              <w:t>Hyperscaler agent platforms</w:t>
            </w:r>
          </w:p>
        </w:tc>
        <w:tc>
          <w:tcPr>
            <w:tcW w:w="25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2ED3A8E8" w14:textId="77777777" w:rsidR="00BE3673" w:rsidRDefault="00000000">
            <w:r>
              <w:rPr>
                <w:b/>
                <w:bCs/>
                <w:sz w:val="19"/>
                <w:szCs w:val="19"/>
              </w:rPr>
              <w:t>Frameworks &amp; governance overlays</w:t>
            </w:r>
          </w:p>
        </w:tc>
        <w:tc>
          <w:tcPr>
            <w:tcW w:w="258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09038E4C" w14:textId="77777777" w:rsidR="00BE3673" w:rsidRDefault="00000000">
            <w:r>
              <w:rPr>
                <w:b/>
                <w:bCs/>
                <w:sz w:val="19"/>
                <w:szCs w:val="19"/>
              </w:rPr>
              <w:t>Covia</w:t>
            </w:r>
          </w:p>
        </w:tc>
      </w:tr>
      <w:tr w:rsidR="00BE3673" w14:paraId="227BC028" w14:textId="77777777">
        <w:tblPrEx>
          <w:tblCellMar>
            <w:top w:w="0" w:type="dxa"/>
            <w:bottom w:w="0" w:type="dxa"/>
          </w:tblCellMar>
        </w:tblPrEx>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C0054FC" w14:textId="77777777" w:rsidR="00BE3673" w:rsidRDefault="00000000">
            <w:r>
              <w:rPr>
                <w:sz w:val="19"/>
                <w:szCs w:val="19"/>
              </w:rPr>
              <w:t>Trust scope</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3C911BA" w14:textId="77777777" w:rsidR="00BE3673" w:rsidRDefault="00000000">
            <w:r>
              <w:rPr>
                <w:sz w:val="19"/>
                <w:szCs w:val="19"/>
              </w:rPr>
              <w:t>One cloud account / tenant</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B9DFAA" w14:textId="77777777" w:rsidR="00BE3673" w:rsidRDefault="00000000">
            <w:r>
              <w:rPr>
                <w:sz w:val="19"/>
                <w:szCs w:val="19"/>
              </w:rPr>
              <w:t>One application / process</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CC66775" w14:textId="77777777" w:rsidR="00BE3673" w:rsidRDefault="00000000">
            <w:r>
              <w:rPr>
                <w:sz w:val="19"/>
                <w:szCs w:val="19"/>
              </w:rPr>
              <w:t>Cross-organisation by design</w:t>
            </w:r>
          </w:p>
        </w:tc>
      </w:tr>
      <w:tr w:rsidR="00BE3673" w14:paraId="5A025C06" w14:textId="77777777">
        <w:tblPrEx>
          <w:tblCellMar>
            <w:top w:w="0" w:type="dxa"/>
            <w:bottom w:w="0" w:type="dxa"/>
          </w:tblCellMar>
        </w:tblPrEx>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879168" w14:textId="77777777" w:rsidR="00BE3673" w:rsidRDefault="00000000">
            <w:r>
              <w:rPr>
                <w:sz w:val="19"/>
                <w:szCs w:val="19"/>
              </w:rPr>
              <w:t>Audit basis</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BE1F235" w14:textId="77777777" w:rsidR="00BE3673" w:rsidRDefault="00000000">
            <w:r>
              <w:rPr>
                <w:sz w:val="19"/>
                <w:szCs w:val="19"/>
              </w:rPr>
              <w:t>Platform logs in mutable stores</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615DAA2" w14:textId="77777777" w:rsidR="00BE3673" w:rsidRDefault="00000000">
            <w:r>
              <w:rPr>
                <w:sz w:val="19"/>
                <w:szCs w:val="19"/>
              </w:rPr>
              <w:t>Checkpoints, callbacks, traces</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F715624" w14:textId="77777777" w:rsidR="00BE3673" w:rsidRDefault="00000000">
            <w:r>
              <w:rPr>
                <w:sz w:val="19"/>
                <w:szCs w:val="19"/>
              </w:rPr>
              <w:t>Content-addressed, cryptographically verifiable records</w:t>
            </w:r>
          </w:p>
        </w:tc>
      </w:tr>
      <w:tr w:rsidR="00BE3673" w14:paraId="70C372A2" w14:textId="77777777">
        <w:tblPrEx>
          <w:tblCellMar>
            <w:top w:w="0" w:type="dxa"/>
            <w:bottom w:w="0" w:type="dxa"/>
          </w:tblCellMar>
        </w:tblPrEx>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912DD2" w14:textId="77777777" w:rsidR="00BE3673" w:rsidRDefault="00000000">
            <w:r>
              <w:rPr>
                <w:sz w:val="19"/>
                <w:szCs w:val="19"/>
              </w:rPr>
              <w:t>Governance</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978A63" w14:textId="77777777" w:rsidR="00BE3673" w:rsidRDefault="00000000">
            <w:r>
              <w:rPr>
                <w:sz w:val="19"/>
                <w:szCs w:val="19"/>
              </w:rPr>
              <w:t>IAM at the account boundary</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A4BB2D" w14:textId="77777777" w:rsidR="00BE3673" w:rsidRDefault="00000000">
            <w:r>
              <w:rPr>
                <w:sz w:val="19"/>
                <w:szCs w:val="19"/>
              </w:rPr>
              <w:t>Observed via instrumentation</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AD8490" w14:textId="77777777" w:rsidR="00BE3673" w:rsidRDefault="00000000">
            <w:r>
              <w:rPr>
                <w:sz w:val="19"/>
                <w:szCs w:val="19"/>
              </w:rPr>
              <w:t>Capability-enforced before dispatch</w:t>
            </w:r>
          </w:p>
        </w:tc>
      </w:tr>
      <w:tr w:rsidR="00BE3673" w14:paraId="1A4E96EF" w14:textId="77777777">
        <w:tblPrEx>
          <w:tblCellMar>
            <w:top w:w="0" w:type="dxa"/>
            <w:bottom w:w="0" w:type="dxa"/>
          </w:tblCellMar>
        </w:tblPrEx>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11A764" w14:textId="77777777" w:rsidR="00BE3673" w:rsidRDefault="00000000">
            <w:r>
              <w:rPr>
                <w:sz w:val="19"/>
                <w:szCs w:val="19"/>
              </w:rPr>
              <w:t>Federation</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14F6897" w14:textId="77777777" w:rsidR="00BE3673" w:rsidRDefault="00000000">
            <w:r>
              <w:rPr>
                <w:sz w:val="19"/>
                <w:szCs w:val="19"/>
              </w:rPr>
              <w:t>Within provider ecosystem</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6C4AB6" w14:textId="77777777" w:rsidR="00BE3673" w:rsidRDefault="00000000">
            <w:r>
              <w:rPr>
                <w:sz w:val="19"/>
                <w:szCs w:val="19"/>
              </w:rPr>
              <w:t>Not addressed</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7B0A7F" w14:textId="77777777" w:rsidR="00BE3673" w:rsidRDefault="00000000">
            <w:r>
              <w:rPr>
                <w:sz w:val="19"/>
                <w:szCs w:val="19"/>
              </w:rPr>
              <w:t>Native, across clouds and organisations</w:t>
            </w:r>
          </w:p>
        </w:tc>
      </w:tr>
      <w:tr w:rsidR="00BE3673" w14:paraId="1BF3DAC8" w14:textId="77777777">
        <w:tblPrEx>
          <w:tblCellMar>
            <w:top w:w="0" w:type="dxa"/>
            <w:bottom w:w="0" w:type="dxa"/>
          </w:tblCellMar>
        </w:tblPrEx>
        <w:tc>
          <w:tcPr>
            <w:tcW w:w="1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011EC6" w14:textId="77777777" w:rsidR="00BE3673" w:rsidRDefault="00000000">
            <w:r>
              <w:rPr>
                <w:sz w:val="19"/>
                <w:szCs w:val="19"/>
              </w:rPr>
              <w:t>Posture vs Covia</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066480" w14:textId="77777777" w:rsidR="00BE3673" w:rsidRDefault="00000000">
            <w:r>
              <w:rPr>
                <w:sz w:val="19"/>
                <w:szCs w:val="19"/>
              </w:rPr>
              <w:t>Complementary host; competitor only at the neutral layer</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4A62C8" w14:textId="77777777" w:rsidR="00BE3673" w:rsidRDefault="00000000">
            <w:r>
              <w:rPr>
                <w:sz w:val="19"/>
                <w:szCs w:val="19"/>
              </w:rPr>
              <w:t>Layer above — integrate via MCP / A2A / adapters</w:t>
            </w:r>
          </w:p>
        </w:tc>
        <w:tc>
          <w:tcPr>
            <w:tcW w:w="2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ABC7C28" w14:textId="77777777" w:rsidR="00BE3673" w:rsidRDefault="00000000">
            <w:r>
              <w:rPr>
                <w:sz w:val="19"/>
                <w:szCs w:val="19"/>
              </w:rPr>
              <w:t>Substrate beneath both</w:t>
            </w:r>
          </w:p>
        </w:tc>
      </w:tr>
    </w:tbl>
    <w:p w14:paraId="751CF2BC" w14:textId="77777777" w:rsidR="00BE3673" w:rsidRDefault="00BE3673">
      <w:pPr>
        <w:spacing w:after="100"/>
      </w:pPr>
    </w:p>
    <w:p w14:paraId="72990C75" w14:textId="77777777" w:rsidR="00BE3673" w:rsidRDefault="00000000">
      <w:pPr>
        <w:spacing w:after="140"/>
      </w:pPr>
      <w:r>
        <w:t>The principal competitive risk is a hyperscaler open-sourcing a federation layer of its own. The mitigation is structural: cross-vendor coordination layers have historically converged on neutral open standards rather than vendor-owned ones (TCP/IP, HTTP, Kubernetes), and Covia’s standards position, working implementation, and protocol-network adoption dynamics are aimed at being that neutral default before the question is forced.</w:t>
      </w:r>
    </w:p>
    <w:p w14:paraId="747FCF93" w14:textId="77777777" w:rsidR="00BE3673" w:rsidRDefault="00000000">
      <w:pPr>
        <w:pStyle w:val="Heading1"/>
      </w:pPr>
      <w:r>
        <w:t>10. Engineering Status</w:t>
      </w:r>
    </w:p>
    <w:p w14:paraId="664B29F8" w14:textId="77777777" w:rsidR="00BE3673" w:rsidRDefault="00000000">
      <w:pPr>
        <w:spacing w:after="140"/>
      </w:pPr>
      <w:r>
        <w:t>The substrate, federation, protocol surface, and capability foundations described above are running code. Current state:</w:t>
      </w:r>
    </w:p>
    <w:p w14:paraId="6C95FAC3" w14:textId="0798A2AB" w:rsidR="00BE3673" w:rsidRDefault="00000000">
      <w:pPr>
        <w:pStyle w:val="ListParagraph"/>
        <w:numPr>
          <w:ilvl w:val="0"/>
          <w:numId w:val="2"/>
        </w:numPr>
        <w:spacing w:after="70"/>
      </w:pPr>
      <w:r>
        <w:t>Java 21</w:t>
      </w:r>
      <w:r w:rsidR="00ED5DA7">
        <w:t>+</w:t>
      </w:r>
      <w:r>
        <w:t xml:space="preserve"> implementation, three Maven modules, single-command reproducible build, CI snapshot releases.</w:t>
      </w:r>
    </w:p>
    <w:p w14:paraId="50C20BB7" w14:textId="77777777" w:rsidR="00BE3673" w:rsidRDefault="00000000">
      <w:pPr>
        <w:pStyle w:val="ListParagraph"/>
        <w:numPr>
          <w:ilvl w:val="0"/>
          <w:numId w:val="2"/>
        </w:numPr>
        <w:spacing w:after="70"/>
      </w:pPr>
      <w:r>
        <w:t>1,300+ automated tests, including adversarial capability-security tests, hard-kill/soft-kill persistence and recovery tests, and cross-venue federation tests.</w:t>
      </w:r>
    </w:p>
    <w:p w14:paraId="3F485581" w14:textId="77777777" w:rsidR="00BE3673" w:rsidRDefault="00000000">
      <w:pPr>
        <w:pStyle w:val="ListParagraph"/>
        <w:numPr>
          <w:ilvl w:val="0"/>
          <w:numId w:val="2"/>
        </w:numPr>
        <w:spacing w:after="70"/>
      </w:pPr>
      <w:r>
        <w:t>Pre-1.0; remaining work stated explicitly in an open roadmap: completing capability enforcement across namespaces, rate limiting, observability, cross-venue trust policies, and signed operations for per-job cryptographic attribution — a documented implemented/planned boundary that simplifies technical diligence.</w:t>
      </w:r>
    </w:p>
    <w:p w14:paraId="55051087" w14:textId="77777777" w:rsidR="00BE3673" w:rsidRDefault="00000000">
      <w:pPr>
        <w:pStyle w:val="Heading1"/>
        <w:pageBreakBefore/>
      </w:pPr>
      <w:r>
        <w:lastRenderedPageBreak/>
        <w:t>Appendix: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BE3673" w14:paraId="792E9C58"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3E57DCA4" w14:textId="77777777" w:rsidR="00BE3673" w:rsidRDefault="00000000">
            <w:r>
              <w:rPr>
                <w:b/>
                <w:bCs/>
                <w:sz w:val="19"/>
                <w:szCs w:val="19"/>
              </w:rPr>
              <w:t>Layer</w:t>
            </w:r>
          </w:p>
        </w:tc>
        <w:tc>
          <w:tcPr>
            <w:tcW w:w="7260" w:type="dxa"/>
            <w:tcBorders>
              <w:top w:val="single" w:sz="1" w:space="0" w:color="BBBBBB"/>
              <w:left w:val="single" w:sz="1" w:space="0" w:color="BBBBBB"/>
              <w:bottom w:val="single" w:sz="1" w:space="0" w:color="BBBBBB"/>
              <w:right w:val="single" w:sz="1" w:space="0" w:color="BBBBBB"/>
            </w:tcBorders>
            <w:shd w:val="clear" w:color="auto" w:fill="E8F0F2"/>
            <w:tcMar>
              <w:top w:w="60" w:type="dxa"/>
              <w:left w:w="110" w:type="dxa"/>
              <w:bottom w:w="60" w:type="dxa"/>
              <w:right w:w="110" w:type="dxa"/>
            </w:tcMar>
          </w:tcPr>
          <w:p w14:paraId="4BB85200" w14:textId="77777777" w:rsidR="00BE3673" w:rsidRDefault="00000000">
            <w:r>
              <w:rPr>
                <w:b/>
                <w:bCs/>
                <w:sz w:val="19"/>
                <w:szCs w:val="19"/>
              </w:rPr>
              <w:t>Technologies</w:t>
            </w:r>
          </w:p>
        </w:tc>
      </w:tr>
      <w:tr w:rsidR="00BE3673" w14:paraId="7881D243"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30CDB7" w14:textId="77777777" w:rsidR="00BE3673" w:rsidRDefault="00000000">
            <w:r>
              <w:rPr>
                <w:sz w:val="19"/>
                <w:szCs w:val="19"/>
              </w:rPr>
              <w:t>Runtime</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7508EC4" w14:textId="77777777" w:rsidR="00BE3673" w:rsidRDefault="00000000">
            <w:r>
              <w:rPr>
                <w:sz w:val="19"/>
                <w:szCs w:val="19"/>
              </w:rPr>
              <w:t>Java 21+ (virtual threads for IO-bound work), Maven multi-module build, Javalin HTTP server, single executable JAR / Docker image (Alpine)</w:t>
            </w:r>
          </w:p>
        </w:tc>
      </w:tr>
      <w:tr w:rsidR="00BE3673" w14:paraId="525C3767"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6C451C" w14:textId="77777777" w:rsidR="00BE3673" w:rsidRDefault="00000000">
            <w:r>
              <w:rPr>
                <w:sz w:val="19"/>
                <w:szCs w:val="19"/>
              </w:rPr>
              <w:t>State substrate</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A404E1" w14:textId="77777777" w:rsidR="00BE3673" w:rsidRDefault="00000000">
            <w:r>
              <w:rPr>
                <w:sz w:val="19"/>
                <w:szCs w:val="19"/>
              </w:rPr>
              <w:t>Convex lattice (CRDT merge), CAD3 encoding, SHA3-256 content addressing, DLFS decentralised file system, pluggable storage backends</w:t>
            </w:r>
          </w:p>
        </w:tc>
      </w:tr>
      <w:tr w:rsidR="00BE3673" w14:paraId="708D4E54"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6C65A70" w14:textId="77777777" w:rsidR="00BE3673" w:rsidRDefault="00000000">
            <w:r>
              <w:rPr>
                <w:sz w:val="19"/>
                <w:szCs w:val="19"/>
              </w:rPr>
              <w:t>Protocols</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88435D" w14:textId="77777777" w:rsidR="00BE3673" w:rsidRDefault="00000000">
            <w:r>
              <w:rPr>
                <w:sz w:val="19"/>
                <w:szCs w:val="19"/>
              </w:rPr>
              <w:t>REST with OpenAPI/Swagger, MCP (JSON-RPC), A2A, DID discovery (did:key, did:web), SSE event streaming</w:t>
            </w:r>
          </w:p>
        </w:tc>
      </w:tr>
      <w:tr w:rsidR="00BE3673" w14:paraId="786C443F"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802DCFB" w14:textId="77777777" w:rsidR="00BE3673" w:rsidRDefault="00000000">
            <w:r>
              <w:rPr>
                <w:sz w:val="19"/>
                <w:szCs w:val="19"/>
              </w:rPr>
              <w:t>AI integration</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E47BC0" w14:textId="77777777" w:rsidR="00BE3673" w:rsidRDefault="00000000">
            <w:r>
              <w:rPr>
                <w:sz w:val="19"/>
                <w:szCs w:val="19"/>
              </w:rPr>
              <w:t>LangChain4j bindings (OpenAI, Anthropic, Gemini, DeepSeek, Ollama), MCP SDK, ~20 pluggable adapters</w:t>
            </w:r>
          </w:p>
        </w:tc>
      </w:tr>
      <w:tr w:rsidR="00BE3673" w14:paraId="610280A4"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C831A5F" w14:textId="77777777" w:rsidR="00BE3673" w:rsidRDefault="00000000">
            <w:r>
              <w:rPr>
                <w:sz w:val="19"/>
                <w:szCs w:val="19"/>
              </w:rPr>
              <w:t>Security</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97A784" w14:textId="77777777" w:rsidR="00BE3673" w:rsidRDefault="00000000">
            <w:r>
              <w:rPr>
                <w:sz w:val="19"/>
                <w:szCs w:val="19"/>
              </w:rPr>
              <w:t>Ed25519 signatures, UCAN capability tokens, W3C DIDs, per-user encrypted secret store, strategy-based auth (bearer, keypair, local)</w:t>
            </w:r>
          </w:p>
        </w:tc>
      </w:tr>
      <w:tr w:rsidR="00BE3673" w14:paraId="2F1789C5"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80E0000" w14:textId="77777777" w:rsidR="00BE3673" w:rsidRDefault="00000000">
            <w:r>
              <w:rPr>
                <w:sz w:val="19"/>
                <w:szCs w:val="19"/>
              </w:rPr>
              <w:t>Client SDKs</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22D379" w14:textId="77777777" w:rsidR="00BE3673" w:rsidRDefault="00000000">
            <w:r>
              <w:rPr>
                <w:sz w:val="19"/>
                <w:szCs w:val="19"/>
              </w:rPr>
              <w:t>TypeScript (npm: @covia/covia-sdk), Python (PyPI: covia), Java (covia-core)</w:t>
            </w:r>
          </w:p>
        </w:tc>
      </w:tr>
      <w:tr w:rsidR="00BE3673" w14:paraId="296625DD"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0D28FA" w14:textId="77777777" w:rsidR="00BE3673" w:rsidRDefault="00000000">
            <w:r>
              <w:rPr>
                <w:sz w:val="19"/>
                <w:szCs w:val="19"/>
              </w:rPr>
              <w:t>Quality &amp; licence</w:t>
            </w:r>
          </w:p>
        </w:tc>
        <w:tc>
          <w:tcPr>
            <w:tcW w:w="7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E9D390" w14:textId="77777777" w:rsidR="00BE3673" w:rsidRDefault="00000000">
            <w:r>
              <w:rPr>
                <w:sz w:val="19"/>
                <w:szCs w:val="19"/>
              </w:rPr>
              <w:t>JUnit, 1,300+ automated tests, CI snapshot releases (GitHub Actions), open source under EPL-2.0</w:t>
            </w:r>
          </w:p>
        </w:tc>
      </w:tr>
    </w:tbl>
    <w:p w14:paraId="4EC74E00" w14:textId="77777777" w:rsidR="00DB0671" w:rsidRDefault="00DB0671"/>
    <w:sectPr w:rsidR="00DB0671">
      <w:headerReference w:type="default" r:id="rId7"/>
      <w:footerReference w:type="default" r:id="rId8"/>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CC6C" w14:textId="77777777" w:rsidR="00DB0671" w:rsidRDefault="00DB0671">
      <w:r>
        <w:separator/>
      </w:r>
    </w:p>
  </w:endnote>
  <w:endnote w:type="continuationSeparator" w:id="0">
    <w:p w14:paraId="3E16ED18" w14:textId="77777777" w:rsidR="00DB0671" w:rsidRDefault="00DB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42AF" w14:textId="77777777" w:rsidR="00BE3673" w:rsidRDefault="00000000">
    <w:pPr>
      <w:tabs>
        <w:tab w:val="right" w:pos="9026"/>
      </w:tabs>
    </w:pPr>
    <w:r>
      <w:rPr>
        <w:color w:val="777777"/>
        <w:sz w:val="16"/>
        <w:szCs w:val="16"/>
      </w:rPr>
      <w:t>Prepared for investor due diligence · June 2026</w:t>
    </w:r>
    <w:r>
      <w:rPr>
        <w:sz w:val="16"/>
        <w:szCs w:val="16"/>
      </w:rPr>
      <w:tab/>
    </w: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083D2E">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083D2E">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8A155" w14:textId="77777777" w:rsidR="00DB0671" w:rsidRDefault="00DB0671">
      <w:r>
        <w:separator/>
      </w:r>
    </w:p>
  </w:footnote>
  <w:footnote w:type="continuationSeparator" w:id="0">
    <w:p w14:paraId="047AAE09" w14:textId="77777777" w:rsidR="00DB0671" w:rsidRDefault="00DB0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E60F" w14:textId="77777777" w:rsidR="00BE3673" w:rsidRDefault="00000000">
    <w:pPr>
      <w:pBdr>
        <w:bottom w:val="single" w:sz="4" w:space="4" w:color="1F4E5F"/>
      </w:pBdr>
      <w:tabs>
        <w:tab w:val="right" w:pos="9026"/>
      </w:tabs>
    </w:pPr>
    <w:r>
      <w:rPr>
        <w:b/>
        <w:bCs/>
        <w:color w:val="1F4E5F"/>
        <w:sz w:val="18"/>
        <w:szCs w:val="18"/>
      </w:rPr>
      <w:t>COVIA</w:t>
    </w:r>
    <w:r>
      <w:rPr>
        <w:color w:val="777777"/>
        <w:sz w:val="18"/>
        <w:szCs w:val="18"/>
      </w:rPr>
      <w:tab/>
      <w:t>Technology Note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702E6"/>
    <w:multiLevelType w:val="hybridMultilevel"/>
    <w:tmpl w:val="DF206C7A"/>
    <w:lvl w:ilvl="0" w:tplc="E834AF0A">
      <w:start w:val="1"/>
      <w:numFmt w:val="bullet"/>
      <w:lvlText w:val="•"/>
      <w:lvlJc w:val="left"/>
      <w:pPr>
        <w:ind w:left="540" w:hanging="270"/>
      </w:pPr>
    </w:lvl>
    <w:lvl w:ilvl="1" w:tplc="BAA0203E">
      <w:numFmt w:val="decimal"/>
      <w:lvlText w:val=""/>
      <w:lvlJc w:val="left"/>
    </w:lvl>
    <w:lvl w:ilvl="2" w:tplc="6898115C">
      <w:numFmt w:val="decimal"/>
      <w:lvlText w:val=""/>
      <w:lvlJc w:val="left"/>
    </w:lvl>
    <w:lvl w:ilvl="3" w:tplc="68A02062">
      <w:numFmt w:val="decimal"/>
      <w:lvlText w:val=""/>
      <w:lvlJc w:val="left"/>
    </w:lvl>
    <w:lvl w:ilvl="4" w:tplc="8F7C0356">
      <w:numFmt w:val="decimal"/>
      <w:lvlText w:val=""/>
      <w:lvlJc w:val="left"/>
    </w:lvl>
    <w:lvl w:ilvl="5" w:tplc="4BFC5B48">
      <w:numFmt w:val="decimal"/>
      <w:lvlText w:val=""/>
      <w:lvlJc w:val="left"/>
    </w:lvl>
    <w:lvl w:ilvl="6" w:tplc="7018BD1E">
      <w:numFmt w:val="decimal"/>
      <w:lvlText w:val=""/>
      <w:lvlJc w:val="left"/>
    </w:lvl>
    <w:lvl w:ilvl="7" w:tplc="A11426C2">
      <w:numFmt w:val="decimal"/>
      <w:lvlText w:val=""/>
      <w:lvlJc w:val="left"/>
    </w:lvl>
    <w:lvl w:ilvl="8" w:tplc="4E1AA9F8">
      <w:numFmt w:val="decimal"/>
      <w:lvlText w:val=""/>
      <w:lvlJc w:val="left"/>
    </w:lvl>
  </w:abstractNum>
  <w:abstractNum w:abstractNumId="1" w15:restartNumberingAfterBreak="0">
    <w:nsid w:val="389A1D86"/>
    <w:multiLevelType w:val="hybridMultilevel"/>
    <w:tmpl w:val="CCB48FE4"/>
    <w:lvl w:ilvl="0" w:tplc="A1BAE134">
      <w:start w:val="1"/>
      <w:numFmt w:val="bullet"/>
      <w:lvlText w:val="●"/>
      <w:lvlJc w:val="left"/>
      <w:pPr>
        <w:ind w:left="720" w:hanging="360"/>
      </w:pPr>
    </w:lvl>
    <w:lvl w:ilvl="1" w:tplc="1EA4E7F6">
      <w:start w:val="1"/>
      <w:numFmt w:val="bullet"/>
      <w:lvlText w:val="○"/>
      <w:lvlJc w:val="left"/>
      <w:pPr>
        <w:ind w:left="1440" w:hanging="360"/>
      </w:pPr>
    </w:lvl>
    <w:lvl w:ilvl="2" w:tplc="7FAC76BC">
      <w:start w:val="1"/>
      <w:numFmt w:val="bullet"/>
      <w:lvlText w:val="■"/>
      <w:lvlJc w:val="left"/>
      <w:pPr>
        <w:ind w:left="2160" w:hanging="360"/>
      </w:pPr>
    </w:lvl>
    <w:lvl w:ilvl="3" w:tplc="A1A0F5F0">
      <w:start w:val="1"/>
      <w:numFmt w:val="bullet"/>
      <w:lvlText w:val="●"/>
      <w:lvlJc w:val="left"/>
      <w:pPr>
        <w:ind w:left="2880" w:hanging="360"/>
      </w:pPr>
    </w:lvl>
    <w:lvl w:ilvl="4" w:tplc="A84CDD86">
      <w:start w:val="1"/>
      <w:numFmt w:val="bullet"/>
      <w:lvlText w:val="○"/>
      <w:lvlJc w:val="left"/>
      <w:pPr>
        <w:ind w:left="3600" w:hanging="360"/>
      </w:pPr>
    </w:lvl>
    <w:lvl w:ilvl="5" w:tplc="1BD409F6">
      <w:start w:val="1"/>
      <w:numFmt w:val="bullet"/>
      <w:lvlText w:val="■"/>
      <w:lvlJc w:val="left"/>
      <w:pPr>
        <w:ind w:left="4320" w:hanging="360"/>
      </w:pPr>
    </w:lvl>
    <w:lvl w:ilvl="6" w:tplc="975AF678">
      <w:start w:val="1"/>
      <w:numFmt w:val="bullet"/>
      <w:lvlText w:val="●"/>
      <w:lvlJc w:val="left"/>
      <w:pPr>
        <w:ind w:left="5040" w:hanging="360"/>
      </w:pPr>
    </w:lvl>
    <w:lvl w:ilvl="7" w:tplc="F704E306">
      <w:start w:val="1"/>
      <w:numFmt w:val="bullet"/>
      <w:lvlText w:val="●"/>
      <w:lvlJc w:val="left"/>
      <w:pPr>
        <w:ind w:left="5760" w:hanging="360"/>
      </w:pPr>
    </w:lvl>
    <w:lvl w:ilvl="8" w:tplc="166EFC26">
      <w:start w:val="1"/>
      <w:numFmt w:val="bullet"/>
      <w:lvlText w:val="●"/>
      <w:lvlJc w:val="left"/>
      <w:pPr>
        <w:ind w:left="6480" w:hanging="360"/>
      </w:pPr>
    </w:lvl>
  </w:abstractNum>
  <w:num w:numId="1" w16cid:durableId="833493980">
    <w:abstractNumId w:val="1"/>
    <w:lvlOverride w:ilvl="0">
      <w:startOverride w:val="1"/>
    </w:lvlOverride>
  </w:num>
  <w:num w:numId="2" w16cid:durableId="193080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673"/>
    <w:rsid w:val="00083D2E"/>
    <w:rsid w:val="007F4CE5"/>
    <w:rsid w:val="00BE3673"/>
    <w:rsid w:val="00DB0671"/>
    <w:rsid w:val="00E73600"/>
    <w:rsid w:val="00ED5D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9875"/>
  <w15:docId w15:val="{6D25EDBF-F9C2-48B2-9C50-A0BC3470B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20"/>
      <w:outlineLvl w:val="0"/>
    </w:pPr>
    <w:rPr>
      <w:b/>
      <w:bCs/>
      <w:color w:val="1F4E5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2368</Words>
  <Characters>13501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A</cp:lastModifiedBy>
  <cp:revision>3</cp:revision>
  <dcterms:created xsi:type="dcterms:W3CDTF">2026-06-11T09:15:00Z</dcterms:created>
  <dcterms:modified xsi:type="dcterms:W3CDTF">2026-06-11T09:57:00Z</dcterms:modified>
</cp:coreProperties>
</file>