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Epidemiologische</w:t>
      </w:r>
      <w:r>
        <w:t xml:space="preserve"> </w:t>
      </w:r>
      <w:r>
        <w:t xml:space="preserve">Lagebeurteilung</w:t>
      </w:r>
    </w:p>
    <w:p>
      <w:pPr>
        <w:pStyle w:val="Author"/>
      </w:pPr>
      <w:r>
        <w:t xml:space="preserve">Swiss</w:t>
      </w:r>
      <w:r>
        <w:t xml:space="preserve"> </w:t>
      </w:r>
      <w:r>
        <w:t xml:space="preserve">National</w:t>
      </w:r>
      <w:r>
        <w:t xml:space="preserve"> </w:t>
      </w:r>
      <w:r>
        <w:t xml:space="preserve">COVID-19</w:t>
      </w:r>
      <w:r>
        <w:t xml:space="preserve"> </w:t>
      </w:r>
      <w:r>
        <w:t xml:space="preserve">Science</w:t>
      </w:r>
      <w:r>
        <w:t xml:space="preserve"> </w:t>
      </w:r>
      <w:r>
        <w:t xml:space="preserve">Task</w:t>
      </w:r>
      <w:r>
        <w:t xml:space="preserve"> </w:t>
      </w:r>
      <w:r>
        <w:t xml:space="preserve">Force</w:t>
      </w:r>
    </w:p>
    <w:p>
      <w:pPr>
        <w:pStyle w:val="Date"/>
      </w:pPr>
      <w:r>
        <w:t xml:space="preserve">03.12.2020</w:t>
      </w:r>
    </w:p>
    <w:bookmarkStart w:id="37" w:name="allgemeine-situation"/>
    <w:p>
      <w:pPr>
        <w:pStyle w:val="Heading2"/>
      </w:pPr>
      <w:r>
        <w:t xml:space="preserve">Allgemeine Situation</w:t>
      </w:r>
    </w:p>
    <w:p>
      <w:pPr>
        <w:pStyle w:val="FirstParagraph"/>
      </w:pPr>
      <w:r>
        <w:t xml:space="preserve">Über die ganze Schweiz zeigt die SARS-CoV-2-Epidemie einen rückläufigen Verlauf. Die effektive Reproduktionszahl</w:t>
      </w:r>
      <w:r>
        <w:t xml:space="preserve"> </w:t>
      </w:r>
      <w:r>
        <w:rPr>
          <w:i/>
        </w:rPr>
        <w:t xml:space="preserve">R</w:t>
      </w:r>
      <w:r>
        <w:rPr>
          <w:vertAlign w:val="subscript"/>
          <w:i/>
        </w:rPr>
        <w:t xml:space="preserve">e</w:t>
      </w:r>
      <w:r>
        <w:t xml:space="preserve"> </w:t>
      </w:r>
      <w:r>
        <w:t xml:space="preserve">beträgt:</w:t>
      </w:r>
      <w:r>
        <w:rPr>
          <w:rStyle w:val="FootnoteReference"/>
        </w:rPr>
        <w:footnoteReference w:id="20"/>
      </w:r>
    </w:p>
    <w:p>
      <w:pPr>
        <w:numPr>
          <w:ilvl w:val="0"/>
          <w:numId w:val="1001"/>
        </w:numPr>
      </w:pPr>
      <w:r>
        <w:t xml:space="preserve">0,79 (95% Unsicherheitsintervall, UI: 0,78-0,81) aufgrund der bestätigten Fälle (per 16.11.2020)</w:t>
      </w:r>
    </w:p>
    <w:p>
      <w:pPr>
        <w:numPr>
          <w:ilvl w:val="0"/>
          <w:numId w:val="1001"/>
        </w:numPr>
      </w:pPr>
      <w:r>
        <w:t xml:space="preserve">0,76 (95% UI: 0,68-0,84) aufgrund der Hospitalisationen (per 11.11.2020)</w:t>
      </w:r>
    </w:p>
    <w:p>
      <w:pPr>
        <w:numPr>
          <w:ilvl w:val="0"/>
          <w:numId w:val="1001"/>
        </w:numPr>
      </w:pPr>
      <w:r>
        <w:t xml:space="preserve">0,9 (95% UI: 0,79-1,01) aufgrund der Todesfälle (per 5.11.2020)</w:t>
      </w:r>
    </w:p>
    <w:p>
      <w:pPr>
        <w:pStyle w:val="FirstParagraph"/>
      </w:pPr>
      <w:r>
        <w:rPr>
          <w:i/>
        </w:rPr>
        <w:t xml:space="preserve">R</w:t>
      </w:r>
      <w:r>
        <w:rPr>
          <w:vertAlign w:val="subscript"/>
          <w:i/>
        </w:rPr>
        <w:t xml:space="preserve">e</w:t>
      </w:r>
      <w:r>
        <w:t xml:space="preserve"> </w:t>
      </w:r>
      <w:r>
        <w:t xml:space="preserve">befindet sich also für alle drei Indikatoren unter der kritischen Schwelle von 1 und deutet damit auf einen Rückgang der Epidemie hin. Diese Analyse wird gestützt durch die beobachteten Verdopplungs- bzw. Halbwertszeiten der bestätigten Fälle und Hospitalisationen über die letzten 14 Tage.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Die Anzahl der COVID-19-Patienten auf Intensivstationen (483-541)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und der täglichen Todesfälle (61-102)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bleiben über die letzten 14 Tage auf hohem Niveau relativ stabil. Die kumulierte Anzahl der bestätigten Fälle über die letzten 14 Tage liegt bei 547 pro 100’000 Einwohner.</w:t>
      </w:r>
    </w:p>
    <w:p>
      <w:pPr>
        <w:pStyle w:val="BodyText"/>
      </w:pPr>
      <w:r>
        <w:t xml:space="preserve">Seit dem 1. Oktober 2020 weist das Bundesamt für Gesundheit 2’715 laborbestätigte Todesfälle aus.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Die Kantone meldeten in dieser Zeit 3’203 Todesfälle.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Die Sterblichkeitsstatistik vom Bundesamt für Statistik weist über die letzten 5 gemeldeten Wochen eine Übersterblichkeit in der Altersgruppe 65 Jahre und älter auf.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Diese Übersterblichkeit zeigt sich in allen Grossregionen der Schweiz.</w:t>
      </w:r>
      <w:r>
        <w:rPr>
          <w:rStyle w:val="FootnoteReference"/>
        </w:rPr>
        <w:footnoteReference w:id="35"/>
      </w:r>
    </w:p>
    <w:bookmarkEnd w:id="37"/>
    <w:bookmarkStart w:id="42" w:name="regionale-unterschiede"/>
    <w:p>
      <w:pPr>
        <w:pStyle w:val="Heading2"/>
      </w:pPr>
      <w:r>
        <w:t xml:space="preserve">Regionale Unterschiede</w:t>
      </w:r>
    </w:p>
    <w:p>
      <w:pPr>
        <w:pStyle w:val="FirstParagraph"/>
      </w:pPr>
      <w:r>
        <w:t xml:space="preserve">Die regionalen und kantonalen Unterschiede im Verlauf der SARS-CoV-2-Epidemie sind beträchtlich. Die kumulierte Anzahl der täglich bestätigten Fälle über die letzten 14 Tage pro 100’000 Einwohner liegt zwischen 350 (Nidwalden) und 902 (Ticino). In nur 2 (Région lémanique mit 0,52; 95% UI: 0,5-0,54, Espace Mittelland mit 0,74; 95% UI: 0,71-0,77) von 7 Grossregionen liegt</w:t>
      </w:r>
      <w:r>
        <w:t xml:space="preserve"> </w:t>
      </w:r>
      <w:r>
        <w:rPr>
          <w:i/>
        </w:rPr>
        <w:t xml:space="preserve">R</w:t>
      </w:r>
      <w:r>
        <w:rPr>
          <w:vertAlign w:val="subscript"/>
          <w:i/>
        </w:rPr>
        <w:t xml:space="preserve">e</w:t>
      </w:r>
      <w:r>
        <w:t xml:space="preserve"> </w:t>
      </w:r>
      <w:r>
        <w:t xml:space="preserve">aufgrund der bestätigten Fälle (Median) derzeit unter dem von der Swiss National COVID-19 Science Task Force vorgeschlagenen Zielwert von 0,8, welcher zu einer Halbierung der Anzahl Neuinfektionen innerhalb maximal 14 Tagen führt.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Die anderen Grossregionen weisen Werte von</w:t>
      </w:r>
      <w:r>
        <w:t xml:space="preserve"> </w:t>
      </w:r>
      <w:r>
        <w:rPr>
          <w:i/>
        </w:rPr>
        <w:t xml:space="preserve">R</w:t>
      </w:r>
      <w:r>
        <w:rPr>
          <w:vertAlign w:val="subscript"/>
          <w:i/>
        </w:rPr>
        <w:t xml:space="preserve">e</w:t>
      </w:r>
      <w:r>
        <w:t xml:space="preserve"> </w:t>
      </w:r>
      <w:r>
        <w:t xml:space="preserve">auf, welche über dieser Grenze liegen: Ticino (0,87; 95% UI: 0,8-0,93), Zentralschweiz (0,88; 95% UI: 0,82-0,94), Zürich (0,91; 95% UI: 0,87-0,95), Ostschweiz (0,97; 95% UI: 0,93-1,02), Nordwestschweiz (1; 95% UI: 0,95-1,05). Die Werte von</w:t>
      </w:r>
      <w:r>
        <w:t xml:space="preserve"> </w:t>
      </w:r>
      <w:r>
        <w:rPr>
          <w:i/>
        </w:rPr>
        <w:t xml:space="preserve">R</w:t>
      </w:r>
      <w:r>
        <w:rPr>
          <w:vertAlign w:val="subscript"/>
          <w:i/>
        </w:rPr>
        <w:t xml:space="preserve">e</w:t>
      </w:r>
      <w:r>
        <w:t xml:space="preserve"> </w:t>
      </w:r>
      <w:r>
        <w:t xml:space="preserve">können auf kantonaler Ebene auch innerhalb einer Grossregion beträchtliche Unterschiede aufweisen.</w:t>
      </w:r>
      <w:r>
        <w:rPr>
          <w:rStyle w:val="FootnoteReference"/>
        </w:rPr>
        <w:footnoteReference w:id="40"/>
      </w:r>
    </w:p>
    <w:bookmarkEnd w:id="42"/>
    <w:bookmarkStart w:id="44" w:name="beurteilung"/>
    <w:p>
      <w:pPr>
        <w:pStyle w:val="Heading2"/>
      </w:pPr>
      <w:r>
        <w:t xml:space="preserve">Beurteilung</w:t>
      </w:r>
    </w:p>
    <w:p>
      <w:pPr>
        <w:pStyle w:val="FirstParagraph"/>
      </w:pPr>
      <w:r>
        <w:t xml:space="preserve">Nach dem raschen Anstieg der SARS-CoV-2-Epidemie in der ganzen Schweiz im Verlauf vom Oktober 2020 zeigt sich auf nationaler Ebene ein Rückgang. Schweizweit liegt</w:t>
      </w:r>
      <w:r>
        <w:t xml:space="preserve"> </w:t>
      </w:r>
      <w:r>
        <w:rPr>
          <w:i/>
        </w:rPr>
        <w:t xml:space="preserve">R</w:t>
      </w:r>
      <w:r>
        <w:rPr>
          <w:vertAlign w:val="subscript"/>
          <w:i/>
        </w:rPr>
        <w:t xml:space="preserve">e</w:t>
      </w:r>
      <w:r>
        <w:t xml:space="preserve"> </w:t>
      </w:r>
      <w:r>
        <w:t xml:space="preserve">jedoch für 2 von 3 Indikatoren oberhalb des von der Swiss National COVID-19 Science Task Force vorgeschlagenen Zielwerts von 0,8. Es zeigen sich zudem starke regionale Unterschiede. Während einige Kantone/Grossregionen einen deutlichen Rückgang der Epidemie aufweisen, zeigen andere Kantone/Grossregionen einen stabilen oder sogar ansteigenden Verlauf. Aufgrund von Meldeverzögerungen, der hohen Testpositivität und einer variierenden Anzahl Tests müssen die einzelnen Schätzwerte von</w:t>
      </w:r>
      <w:r>
        <w:t xml:space="preserve"> </w:t>
      </w:r>
      <w:r>
        <w:rPr>
          <w:i/>
        </w:rPr>
        <w:t xml:space="preserve">R</w:t>
      </w:r>
      <w:r>
        <w:rPr>
          <w:vertAlign w:val="subscript"/>
          <w:i/>
        </w:rPr>
        <w:t xml:space="preserve">e</w:t>
      </w:r>
      <w:r>
        <w:t xml:space="preserve"> </w:t>
      </w:r>
      <w:r>
        <w:t xml:space="preserve">mit Vorsicht interpretiert werden.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Die Testpositivität ist deutlich über dem von der Weltgesundheitsorganisation empfohlenen Schwellenwert von 5%. Die aktuelle Belastung für das Gesundheitssystem und die Zahl der täglichen Todesfälle ist in vielen Kantonen nach wie vor hoch.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https://ncs-tf.ch/de/lagebericht</w:t>
        </w:r>
      </w:hyperlink>
      <w:r>
        <w:t xml:space="preserve"> </w:t>
      </w:r>
      <w:r>
        <w:t xml:space="preserve">und</w:t>
      </w:r>
      <w:r>
        <w:t xml:space="preserve"> </w:t>
      </w:r>
      <w:hyperlink r:id="rId22">
        <w:r>
          <w:rPr>
            <w:rStyle w:val="Hyperlink"/>
          </w:rPr>
          <w:t xml:space="preserve">https://ibz-shiny.ethz.ch/covid-19-re/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https://ibz-shiny.ethz.ch/covidDashboard/trends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https://icumonitoring.ch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https://www.covid19.admin.ch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https://www.covid19.admin.ch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https://github.com/openZH/covid_19</w:t>
        </w:r>
      </w:hyperlink>
      <w:r>
        <w:t xml:space="preserve"> </w:t>
      </w:r>
      <w:r>
        <w:t xml:space="preserve">und</w:t>
      </w:r>
      <w:r>
        <w:t xml:space="preserve"> </w:t>
      </w:r>
      <w:hyperlink r:id="rId32">
        <w:r>
          <w:rPr>
            <w:rStyle w:val="Hyperlink"/>
          </w:rPr>
          <w:t xml:space="preserve">https://github.com/daenuprobst/covid19-cases-switzerland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Hyperlink"/>
          </w:rPr>
          <w:t xml:space="preserve">https://www.bfs.admin.ch/bfs/de/home/statistiken/gesundheit/gesundheitszustand/sterblichkeit-todesursachen.html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https://www.experimental.bfs.admin.ch/expstat/de/home/innovative-methoden/momo.html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https://ncs-tf.ch/de/policy-briefs/ueberblick-und-lagebericht-13-nov-20-de-2/download</w:t>
        </w:r>
      </w:hyperlink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1">
        <w:r>
          <w:rPr>
            <w:rStyle w:val="Hyperlink"/>
          </w:rPr>
          <w:t xml:space="preserve">https://ibz-shiny.ethz.ch/covidDashboard/tables</w:t>
        </w:r>
      </w:hyperlink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https://ncs-tf.ch/de/lagebericht</w:t>
        </w:r>
      </w:hyperlink>
      <w:r>
        <w:t xml:space="preserve"> </w:t>
      </w:r>
      <w:r>
        <w:t xml:space="preserve">und</w:t>
      </w:r>
      <w:r>
        <w:t xml:space="preserve"> </w:t>
      </w:r>
      <w:hyperlink r:id="rId22">
        <w:r>
          <w:rPr>
            <w:rStyle w:val="Hyperlink"/>
          </w:rPr>
          <w:t xml:space="preserve">https://ibz-shiny.ethz.ch/covid-19-re/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github.com/daenuprobst/covid19-cases-switzerland" TargetMode="External" /><Relationship Type="http://schemas.openxmlformats.org/officeDocument/2006/relationships/hyperlink" Id="rId31" Target="https://github.com/openZH/covid_19" TargetMode="External" /><Relationship Type="http://schemas.openxmlformats.org/officeDocument/2006/relationships/hyperlink" Id="rId22" Target="https://ibz-shiny.ethz.ch/covid-19-re/" TargetMode="External" /><Relationship Type="http://schemas.openxmlformats.org/officeDocument/2006/relationships/hyperlink" Id="rId41" Target="https://ibz-shiny.ethz.ch/covidDashboard/tables" TargetMode="External" /><Relationship Type="http://schemas.openxmlformats.org/officeDocument/2006/relationships/hyperlink" Id="rId24" Target="https://ibz-shiny.ethz.ch/covidDashboard/trends" TargetMode="External" /><Relationship Type="http://schemas.openxmlformats.org/officeDocument/2006/relationships/hyperlink" Id="rId26" Target="https://icumonitoring.ch" TargetMode="External" /><Relationship Type="http://schemas.openxmlformats.org/officeDocument/2006/relationships/hyperlink" Id="rId21" Target="https://ncs-tf.ch/de/lagebericht" TargetMode="External" /><Relationship Type="http://schemas.openxmlformats.org/officeDocument/2006/relationships/hyperlink" Id="rId39" Target="https://ncs-tf.ch/de/policy-briefs/ueberblick-und-lagebericht-13-nov-20-de-2/download" TargetMode="External" /><Relationship Type="http://schemas.openxmlformats.org/officeDocument/2006/relationships/hyperlink" Id="rId34" Target="https://www.bfs.admin.ch/bfs/de/home/statistiken/gesundheit/gesundheitszustand/sterblichkeit-todesursachen.html" TargetMode="External" /><Relationship Type="http://schemas.openxmlformats.org/officeDocument/2006/relationships/hyperlink" Id="rId28" Target="https://www.covid19.admin.ch" TargetMode="External" /><Relationship Type="http://schemas.openxmlformats.org/officeDocument/2006/relationships/hyperlink" Id="rId36" Target="https://www.experimental.bfs.admin.ch/expstat/de/home/innovative-methoden/momo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daenuprobst/covid19-cases-switzerland" TargetMode="External" /><Relationship Type="http://schemas.openxmlformats.org/officeDocument/2006/relationships/hyperlink" Id="rId31" Target="https://github.com/openZH/covid_19" TargetMode="External" /><Relationship Type="http://schemas.openxmlformats.org/officeDocument/2006/relationships/hyperlink" Id="rId22" Target="https://ibz-shiny.ethz.ch/covid-19-re/" TargetMode="External" /><Relationship Type="http://schemas.openxmlformats.org/officeDocument/2006/relationships/hyperlink" Id="rId41" Target="https://ibz-shiny.ethz.ch/covidDashboard/tables" TargetMode="External" /><Relationship Type="http://schemas.openxmlformats.org/officeDocument/2006/relationships/hyperlink" Id="rId24" Target="https://ibz-shiny.ethz.ch/covidDashboard/trends" TargetMode="External" /><Relationship Type="http://schemas.openxmlformats.org/officeDocument/2006/relationships/hyperlink" Id="rId26" Target="https://icumonitoring.ch" TargetMode="External" /><Relationship Type="http://schemas.openxmlformats.org/officeDocument/2006/relationships/hyperlink" Id="rId21" Target="https://ncs-tf.ch/de/lagebericht" TargetMode="External" /><Relationship Type="http://schemas.openxmlformats.org/officeDocument/2006/relationships/hyperlink" Id="rId39" Target="https://ncs-tf.ch/de/policy-briefs/ueberblick-und-lagebericht-13-nov-20-de-2/download" TargetMode="External" /><Relationship Type="http://schemas.openxmlformats.org/officeDocument/2006/relationships/hyperlink" Id="rId34" Target="https://www.bfs.admin.ch/bfs/de/home/statistiken/gesundheit/gesundheitszustand/sterblichkeit-todesursachen.html" TargetMode="External" /><Relationship Type="http://schemas.openxmlformats.org/officeDocument/2006/relationships/hyperlink" Id="rId28" Target="https://www.covid19.admin.ch" TargetMode="External" /><Relationship Type="http://schemas.openxmlformats.org/officeDocument/2006/relationships/hyperlink" Id="rId36" Target="https://www.experimental.bfs.admin.ch/expstat/de/home/innovative-methoden/mom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Epidemiologische Lagebeurteilung</dc:title>
  <dc:creator>Swiss National COVID-19 Science Task Force</dc:creator>
  <cp:keywords/>
  <dcterms:created xsi:type="dcterms:W3CDTF">2020-12-03T12:32:51Z</dcterms:created>
  <dcterms:modified xsi:type="dcterms:W3CDTF">2020-12-03T12:32:51Z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03.12.2020</vt:lpwstr>
  </property>
  <property fmtid="{D5CDD505-2E9C-101B-9397-08002B2CF9AE}" pid="3" name="output">
    <vt:lpwstr/>
  </property>
</Properties>
</file>