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performance</w:t>
      </w:r>
      <w:r>
        <w:t xml:space="preserve"> </w:t>
      </w:r>
      <w:r>
        <w:t xml:space="preserve">of</w:t>
      </w:r>
      <w:r>
        <w:t xml:space="preserve"> </w:t>
      </w:r>
      <w:r>
        <w:t xml:space="preserve">multi-model</w:t>
      </w:r>
      <w:r>
        <w:t xml:space="preserve"> </w:t>
      </w:r>
      <w:r>
        <w:t xml:space="preserve">ensemble</w:t>
      </w:r>
      <w:r>
        <w:t xml:space="preserve"> </w:t>
      </w:r>
      <w:r>
        <w:t xml:space="preserve">forecasts</w:t>
      </w:r>
      <w:r>
        <w:t xml:space="preserve"> </w:t>
      </w:r>
      <w:r>
        <w:t xml:space="preserve">of</w:t>
      </w:r>
      <w:r>
        <w:t xml:space="preserve"> </w:t>
      </w:r>
      <w:r>
        <w:t xml:space="preserve">COVID-19</w:t>
      </w:r>
      <w:r>
        <w:t xml:space="preserve"> </w:t>
      </w:r>
      <w:r>
        <w:t xml:space="preserve">across</w:t>
      </w:r>
      <w:r>
        <w:t xml:space="preserve"> </w:t>
      </w:r>
      <w:r>
        <w:t xml:space="preserve">European</w:t>
      </w:r>
      <w:r>
        <w:t xml:space="preserve"> </w:t>
      </w:r>
      <w:r>
        <w:t xml:space="preserve">nations</w:t>
      </w:r>
    </w:p>
    <w:p>
      <w:pPr>
        <w:pStyle w:val="FirstParagraph"/>
      </w:pPr>
      <w:r>
        <w:rPr>
          <w:iCs/>
          <w:i/>
        </w:rPr>
        <w:t xml:space="preserve">Order tbc;</w:t>
      </w:r>
      <w:r>
        <w:t xml:space="preserve"> </w:t>
      </w:r>
      <w:r>
        <w:t xml:space="preserve">Katharine Sherratt, Hugo Gruson,</w:t>
      </w:r>
      <w:r>
        <w:t xml:space="preserve"> </w:t>
      </w:r>
      <w:r>
        <w:rPr>
          <w:iCs/>
          <w:i/>
        </w:rPr>
        <w:t xml:space="preserve">Any co-authors</w:t>
      </w:r>
      <w:r>
        <w:t xml:space="preserve">,</w:t>
      </w:r>
      <w:r>
        <w:t xml:space="preserve"> </w:t>
      </w:r>
      <w:r>
        <w:rPr>
          <w:iCs/>
          <w:i/>
        </w:rPr>
        <w:t xml:space="preserve">Team authors</w:t>
      </w:r>
      <w:r>
        <w:t xml:space="preserve">,</w:t>
      </w:r>
      <w:r>
        <w:t xml:space="preserve"> </w:t>
      </w:r>
      <w:r>
        <w:rPr>
          <w:iCs/>
          <w:i/>
        </w:rPr>
        <w:t xml:space="preserve">Advisory team authors</w:t>
      </w:r>
      <w:r>
        <w:t xml:space="preserve">,</w:t>
      </w:r>
      <w:r>
        <w:t xml:space="preserve"> </w:t>
      </w:r>
      <w:r>
        <w:rPr>
          <w:iCs/>
          <w:i/>
        </w:rPr>
        <w:t xml:space="preserve">ECDC authors</w:t>
      </w:r>
      <w:r>
        <w:t xml:space="preserve">, Johannes Bracher, Sebastian Funk</w:t>
      </w:r>
    </w:p>
    <w:p>
      <w:pPr>
        <w:pStyle w:val="BodyText"/>
      </w:pPr>
      <w:r>
        <w:rPr>
          <w:iCs/>
          <w:i/>
        </w:rPr>
        <w:t xml:space="preserve">(Acknowledge first round contributions: Bastian Prasse, Enrique Alvarez-Lacalle, Sam Abbott; also: Marco Mingione, Francesco Bartolucci, Jan Meinke, Jan Pablo Burgard, Stefan Heyder, Veronika Eclerová, Clara Prats Soler, Aniruddha Adiga, Fulvia Pennoni)</w:t>
      </w:r>
    </w:p>
    <w:bookmarkStart w:id="20" w:name="abstract"/>
    <w:p>
      <w:pPr>
        <w:pStyle w:val="Heading1"/>
      </w:pPr>
      <w:r>
        <w:t xml:space="preserve">Abstract</w:t>
      </w:r>
    </w:p>
    <w:p>
      <w:pPr>
        <w:pStyle w:val="FirstParagraph"/>
      </w:pPr>
      <w:r>
        <w:rPr>
          <w:iCs/>
          <w:i/>
        </w:rPr>
        <w:t xml:space="preserve">Background</w:t>
      </w:r>
      <w:r>
        <w:t xml:space="preserve"> </w:t>
      </w:r>
      <w:r>
        <w:t xml:space="preserve">Short-term forecasts of infectious disease burden can contribute to situational awareness and aid capacity planning. Based on best practice in other fields and recent insights in infectious disease epidemiology, one can maximise the predictive performance of such forecasts if multiple models are combined into an ensemble. Here we report on the performance of ensembles in predicting COVID-19 cases and deaths across Europe between 08 March 2021 and 07 March 2022.</w:t>
      </w:r>
    </w:p>
    <w:p>
      <w:pPr>
        <w:pStyle w:val="BodyText"/>
      </w:pPr>
      <w:r>
        <w:rPr>
          <w:iCs/>
          <w:i/>
        </w:rPr>
        <w:t xml:space="preserve">Methods</w:t>
      </w:r>
      <w:r>
        <w:t xml:space="preserve"> </w:t>
      </w:r>
      <w:r>
        <w:t xml:space="preserve">We used open-source tools to develop a public European COVID-19 Forecast Hub. We invited groups globally to contribute weekly forecasts for COVID-19 cases and deaths over the next one to four weeks. Forecasts were submitted using standardised quantiles of the predictive distribution. Each week we created an ensemble forecast, where each predictive quantile was calculated as the equally-weighted average (initially the mean and then the median from the 26th of July) of all individual models’ predictive quantiles. We measured the performance of each model using the relative Weighted Interval Score (WIS), comparing models’ forecast accuracy relative to all other models, then scaled against a baseline model of no change. We retrospectively explored alternative methods for ensemble forecasts, including weighted averages based on models’ past predictive performance.</w:t>
      </w:r>
    </w:p>
    <w:p>
      <w:pPr>
        <w:pStyle w:val="BodyText"/>
      </w:pPr>
      <w:r>
        <w:rPr>
          <w:iCs/>
          <w:i/>
        </w:rPr>
        <w:t xml:space="preserve">Results</w:t>
      </w:r>
      <w:r>
        <w:t xml:space="preserve"> </w:t>
      </w:r>
      <w:r>
        <w:t xml:space="preserve">Over 52 weeks we collected and combined up to 28 forecast models for 32 countries. We found a weekly ensemble had a strong and consistently reliable performance across countries over time. Across all horizons and locations, the ensemble performed better on scaled relative WIS than 84% of participating models’ forecasts of incident cases (with a total N=862), and 92% of participating models’ forecasts of deaths (N=746). Across a one to four week time horizon, ensemble performance declined with longer forecast periods when forecasting cases, but remained stable over four weeks for incident death forecasts. In every forecast across 32 countries, the ensemble outperformed 50% of submitted models when forecasting either cases or deaths, frequently outperforming all of its individual component models. Among several choices of ensemble methods we found that the most influential and best choice was to use a median average of models instead of using the mean, regardless of methods of weighting component forecast models.</w:t>
      </w:r>
    </w:p>
    <w:p>
      <w:pPr>
        <w:pStyle w:val="BodyText"/>
      </w:pPr>
      <w:r>
        <w:rPr>
          <w:iCs/>
          <w:i/>
        </w:rPr>
        <w:t xml:space="preserve">Conclusions</w:t>
      </w:r>
      <w:r>
        <w:t xml:space="preserve"> </w:t>
      </w:r>
      <w:r>
        <w:t xml:space="preserve">Our results support the use of combining forecasts from individual models into an ensemble in order to improve predictive performance across epidemiological targets and populations during infectious disease epidemics. Our findings suggested that for an emerging pathogen with many individual models, median ensemble methods may improve predictive performance more than mean ensemble methods. Our findings also highlight that forecast consumers should place more weight on incident death forecasts versus incident case forecasts for forecast horizons greater than two weeks.</w:t>
      </w:r>
    </w:p>
    <w:p>
      <w:pPr>
        <w:pStyle w:val="BodyText"/>
      </w:pPr>
      <w:r>
        <w:rPr>
          <w:iCs/>
          <w:i/>
        </w:rPr>
        <w:t xml:space="preserve">Code and data availability</w:t>
      </w:r>
      <w:r>
        <w:t xml:space="preserve"> </w:t>
      </w:r>
      <w:r>
        <w:t xml:space="preserve">All data and code are publicly available on Github: covid19-forecast-hub-europe/euro-hub-ensemble.</w:t>
      </w:r>
    </w:p>
    <w:p>
      <w:pPr>
        <w:pStyle w:val="BodyText"/>
      </w:pPr>
      <w:r>
        <w:rPr>
          <w:iCs/>
          <w:i/>
        </w:rPr>
        <w:t xml:space="preserve">This document was generated on</w:t>
      </w:r>
      <w:r>
        <w:t xml:space="preserve"> </w:t>
      </w:r>
      <w:r>
        <w:t xml:space="preserve">2022-03-30</w:t>
      </w:r>
    </w:p>
    <w:bookmarkEnd w:id="20"/>
    <w:bookmarkStart w:id="21" w:name="background"/>
    <w:p>
      <w:pPr>
        <w:pStyle w:val="Heading1"/>
      </w:pPr>
      <w:r>
        <w:t xml:space="preserve">Background</w:t>
      </w:r>
    </w:p>
    <w:p>
      <w:pPr>
        <w:pStyle w:val="FirstParagraph"/>
      </w:pPr>
      <w:r>
        <w:t xml:space="preserve">Epidemiological forecasts make quantitative statements about a disease outcome in the near future. Forecasting targets can include measures of prevalent or incident disease and its severity, for some population over a specified time horizon. Researchers, policy makers, and the general public have used such forecasts to understand and respond to the global outbreaks of COVID-19 since early 2020</w:t>
      </w:r>
      <w:r>
        <w:t xml:space="preserve"> </w:t>
      </w:r>
      <w:hyperlink w:anchor="ref-basshuysenThreeWaysWhich2021">
        <w:r>
          <w:rPr>
            <w:rStyle w:val="Hyperlink"/>
          </w:rPr>
          <w:t xml:space="preserve">[1]</w:t>
        </w:r>
      </w:hyperlink>
      <w:r>
        <w:t xml:space="preserve">. Forecasters use a variety of methods and models for creating and publishing forecasts, varying in both defining the forecast outcome and in reporting the probability distribution of outcomes</w:t>
      </w:r>
      <w:r>
        <w:t xml:space="preserve"> </w:t>
      </w:r>
      <w:hyperlink w:anchor="X73740ba5ae1e48785becb158079538390cdac86">
        <w:r>
          <w:rPr>
            <w:rStyle w:val="Hyperlink"/>
          </w:rPr>
          <w:t xml:space="preserve">[2]</w:t>
        </w:r>
      </w:hyperlink>
      <w:r>
        <w:t xml:space="preserve">,</w:t>
      </w:r>
      <w:r>
        <w:t xml:space="preserve"> </w:t>
      </w:r>
      <w:hyperlink w:anchor="ref-jamesUseMisuseMathematical2021">
        <w:r>
          <w:rPr>
            <w:rStyle w:val="Hyperlink"/>
          </w:rPr>
          <w:t xml:space="preserve">[3]</w:t>
        </w:r>
      </w:hyperlink>
      <w:r>
        <w:t xml:space="preserve">. Such variation between forecasts makes it difficult to compare predictive performance between forecast models. These barriers to comparing and evaluating forecasts make it difficult to derive objective arguments for using one forecast over another. This hampers the selection of a representative forecast and hinders finding a reliable basis for decisions.</w:t>
      </w:r>
    </w:p>
    <w:p>
      <w:pPr>
        <w:pStyle w:val="BodyText"/>
      </w:pPr>
      <w:r>
        <w:t xml:space="preserve">A</w:t>
      </w:r>
      <w:r>
        <w:t xml:space="preserve"> </w:t>
      </w:r>
      <w:r>
        <w:t xml:space="preserve">“</w:t>
      </w:r>
      <w:r>
        <w:t xml:space="preserve">forecast hub</w:t>
      </w:r>
      <w:r>
        <w:t xml:space="preserve">”</w:t>
      </w:r>
      <w:r>
        <w:t xml:space="preserve"> </w:t>
      </w:r>
      <w:r>
        <w:t xml:space="preserve">is a centralised effort to improve the transparency and usefulness of forecasts, by standardising and collating the work of many independent teams producing forecasts</w:t>
      </w:r>
      <w:r>
        <w:t xml:space="preserve"> </w:t>
      </w:r>
      <w:hyperlink w:anchor="X18f5674be8732f75b4b702b614d5c156dfe729c">
        <w:r>
          <w:rPr>
            <w:rStyle w:val="Hyperlink"/>
          </w:rPr>
          <w:t xml:space="preserve">[4]</w:t>
        </w:r>
      </w:hyperlink>
      <w:r>
        <w:t xml:space="preserve">. A hub sets a commonly agreed-upon structure for forecast targets, such as type of disease event, spatio-temporal units, or the set of quantiles of the probability distribution to include from probabilistic forecasts. For instance, a hub may collect predictions of the total number of cases reported in a given country for each day in the next two weeks. Forecasters can adopt this format and contribute forecasts for centralised storage in the public domain. This shared infrastructure allows forecasts produced from diverse teams and methods to be visualised and quantitatively compared on a like-for-like basis, which can strengthen public and policy use of disease forecasts</w:t>
      </w:r>
      <w:r>
        <w:t xml:space="preserve"> </w:t>
      </w:r>
      <w:hyperlink w:anchor="ref-cdcCoronavirusDisease20192020">
        <w:r>
          <w:rPr>
            <w:rStyle w:val="Hyperlink"/>
          </w:rPr>
          <w:t xml:space="preserve">[5]</w:t>
        </w:r>
      </w:hyperlink>
      <w:r>
        <w:t xml:space="preserve">. The underlying approach to creating a forecast hub was pioneered for forecasting influenza in the USA and adapted for forecasts of short-term COVID-19 cases and deaths in the US</w:t>
      </w:r>
      <w:r>
        <w:t xml:space="preserve"> </w:t>
      </w:r>
      <w:hyperlink w:anchor="ref-cramerUnitedStatesCOVID192021">
        <w:r>
          <w:rPr>
            <w:rStyle w:val="Hyperlink"/>
          </w:rPr>
          <w:t xml:space="preserve">[6]</w:t>
        </w:r>
      </w:hyperlink>
      <w:r>
        <w:t xml:space="preserve">,</w:t>
      </w:r>
      <w:r>
        <w:t xml:space="preserve"> </w:t>
      </w:r>
      <w:hyperlink w:anchor="ref-rayEnsembleForecastsCoronavirus2020e">
        <w:r>
          <w:rPr>
            <w:rStyle w:val="Hyperlink"/>
          </w:rPr>
          <w:t xml:space="preserve">[7]</w:t>
        </w:r>
      </w:hyperlink>
      <w:r>
        <w:t xml:space="preserve">, with similar efforts elsewhere</w:t>
      </w:r>
      <w:r>
        <w:t xml:space="preserve"> </w:t>
      </w:r>
      <w:hyperlink w:anchor="Xd14d2324531eaa93f7c847f3a26de8400e85aab">
        <w:r>
          <w:rPr>
            <w:rStyle w:val="Hyperlink"/>
          </w:rPr>
          <w:t xml:space="preserve">[8]</w:t>
        </w:r>
      </w:hyperlink>
      <w:r>
        <w:t xml:space="preserve">–</w:t>
      </w:r>
      <w:hyperlink w:anchor="Xc1b63187e868990bbebc9badd48b222d0979204">
        <w:r>
          <w:rPr>
            <w:rStyle w:val="Hyperlink"/>
          </w:rPr>
          <w:t xml:space="preserve">[10]</w:t>
        </w:r>
      </w:hyperlink>
      <w:r>
        <w:t xml:space="preserve">.</w:t>
      </w:r>
    </w:p>
    <w:p>
      <w:pPr>
        <w:pStyle w:val="BodyText"/>
      </w:pPr>
      <w:r>
        <w:t xml:space="preserve">Standardising forecasts allows for combining multiple forecasts into a single ensemble with the potential for an improved predictive performance. Evidence from previous efforts in multi-model infectious disease forecasting suggests that forecasts from an ensemble of models can be consistently high performing compared to any one of the component models</w:t>
      </w:r>
      <w:r>
        <w:t xml:space="preserve"> </w:t>
      </w:r>
      <w:hyperlink w:anchor="ref-reichAccuracyRealtimeMultimodel2019">
        <w:r>
          <w:rPr>
            <w:rStyle w:val="Hyperlink"/>
          </w:rPr>
          <w:t xml:space="preserve">[11]</w:t>
        </w:r>
      </w:hyperlink>
      <w:r>
        <w:t xml:space="preserve">–</w:t>
      </w:r>
      <w:hyperlink w:anchor="ref-viboudRAPIDDEbolaForecasting2018">
        <w:r>
          <w:rPr>
            <w:rStyle w:val="Hyperlink"/>
          </w:rPr>
          <w:t xml:space="preserve">[13]</w:t>
        </w:r>
      </w:hyperlink>
      <w:r>
        <w:t xml:space="preserve">. Elsewhere, weather forecasting has a long-standing use of building ensembles of models using diverse methods with standardised data and formatting in order to improve performance</w:t>
      </w:r>
      <w:r>
        <w:t xml:space="preserve"> </w:t>
      </w:r>
      <w:hyperlink w:anchor="ref-buizzaIntroductionSpecialIssue2019">
        <w:r>
          <w:rPr>
            <w:rStyle w:val="Hyperlink"/>
          </w:rPr>
          <w:t xml:space="preserve">[14]</w:t>
        </w:r>
      </w:hyperlink>
      <w:r>
        <w:t xml:space="preserve">,</w:t>
      </w:r>
      <w:r>
        <w:t xml:space="preserve"> </w:t>
      </w:r>
      <w:hyperlink w:anchor="ref-moranEpidemicForecastingMessier2016">
        <w:r>
          <w:rPr>
            <w:rStyle w:val="Hyperlink"/>
          </w:rPr>
          <w:t xml:space="preserve">[15]</w:t>
        </w:r>
      </w:hyperlink>
      <w:r>
        <w:t xml:space="preserve">.</w:t>
      </w:r>
    </w:p>
    <w:p>
      <w:pPr>
        <w:pStyle w:val="BodyText"/>
      </w:pPr>
      <w:r>
        <w:t xml:space="preserve">The European COVID-19 Forecast Hub</w:t>
      </w:r>
      <w:r>
        <w:t xml:space="preserve"> </w:t>
      </w:r>
      <w:hyperlink w:anchor="Xd23cf91425449ddbf1e6dda2c60a8019c1dc273">
        <w:r>
          <w:rPr>
            <w:rStyle w:val="Hyperlink"/>
          </w:rPr>
          <w:t xml:space="preserve">[16]</w:t>
        </w:r>
      </w:hyperlink>
      <w:r>
        <w:t xml:space="preserve"> </w:t>
      </w:r>
      <w:r>
        <w:t xml:space="preserve">is a project to collate short term forecasts of COVID-19 across 32 countries in the European region. The Hub is funded and supported by the European Centre for Disease Prevention and Control (ECDC), with the primary aim to provide reliable information about the near-term epidemiology of the COVID-19 pandemic to the research and policy communities and the general public. Second, the Hub aims to create infrastructure for storing and analysing epidemiological forecasts made in real time by diverse research teams and methods across Europe. Third, the Hub aims to maintain a community of infectious disease modellers underpinned by open science principles.</w:t>
      </w:r>
    </w:p>
    <w:p>
      <w:pPr>
        <w:pStyle w:val="BodyText"/>
      </w:pPr>
      <w:r>
        <w:t xml:space="preserve">We started formally collating and combining contributions to the European Forecast Hub in March 2021. Here, we investigate the predictive performance of an ensemble of all forecasts contributed to the Hub in real time each week, as well as the performance of variations of ensemble methods created retrospectively.</w:t>
      </w:r>
    </w:p>
    <w:bookmarkEnd w:id="21"/>
    <w:bookmarkStart w:id="26" w:name="methods"/>
    <w:p>
      <w:pPr>
        <w:pStyle w:val="Heading1"/>
      </w:pPr>
      <w:r>
        <w:t xml:space="preserve">Methods</w:t>
      </w:r>
    </w:p>
    <w:p>
      <w:pPr>
        <w:pStyle w:val="FirstParagraph"/>
      </w:pPr>
      <w:r>
        <w:t xml:space="preserve">We developed infrastructure to host and analyse forecasts, focussing on compatibility with the US</w:t>
      </w:r>
      <w:r>
        <w:t xml:space="preserve"> </w:t>
      </w:r>
      <w:hyperlink w:anchor="Xb49eaf8cd17e4d6f30462d802fd8b4f315a8029">
        <w:r>
          <w:rPr>
            <w:rStyle w:val="Hyperlink"/>
          </w:rPr>
          <w:t xml:space="preserve">[17]</w:t>
        </w:r>
      </w:hyperlink>
      <w:r>
        <w:t xml:space="preserve">,</w:t>
      </w:r>
      <w:r>
        <w:t xml:space="preserve"> </w:t>
      </w:r>
      <w:hyperlink w:anchor="Xed62315e8a98d6da04ede855d56eeb43dd9ade1">
        <w:r>
          <w:rPr>
            <w:rStyle w:val="Hyperlink"/>
          </w:rPr>
          <w:t xml:space="preserve">[18]</w:t>
        </w:r>
      </w:hyperlink>
      <w:r>
        <w:t xml:space="preserve"> </w:t>
      </w:r>
      <w:r>
        <w:t xml:space="preserve">and the German and Polish COVID-19</w:t>
      </w:r>
      <w:r>
        <w:t xml:space="preserve"> </w:t>
      </w:r>
      <w:hyperlink w:anchor="ref-bracherGermanPolishCOVID192020">
        <w:r>
          <w:rPr>
            <w:rStyle w:val="Hyperlink"/>
          </w:rPr>
          <w:t xml:space="preserve">[19]</w:t>
        </w:r>
      </w:hyperlink>
      <w:r>
        <w:t xml:space="preserve"> </w:t>
      </w:r>
      <w:r>
        <w:t xml:space="preserve">forecast hubs.</w:t>
      </w:r>
    </w:p>
    <w:bookmarkStart w:id="23" w:name="forecast-targets-and-standardisation"/>
    <w:p>
      <w:pPr>
        <w:pStyle w:val="Heading3"/>
      </w:pPr>
      <w:r>
        <w:t xml:space="preserve">Forecast targets and standardisation</w:t>
      </w:r>
    </w:p>
    <w:p>
      <w:pPr>
        <w:pStyle w:val="FirstParagraph"/>
      </w:pPr>
      <w:r>
        <w:t xml:space="preserve">We sought forecasts for two measures of COVID-19 incidence: the total reported number of cases and deaths per week. We considered forecasts for 32 countries in Europe, including all countries of the European Union and European Free Trade Area, and the United Kingdom. We compared forecasts against observed data reported by Johns Hopkins University (JHU,</w:t>
      </w:r>
      <w:r>
        <w:t xml:space="preserve"> </w:t>
      </w:r>
      <w:hyperlink w:anchor="ref-dongInteractiveWebbasedDashboard2020">
        <w:r>
          <w:rPr>
            <w:rStyle w:val="Hyperlink"/>
          </w:rPr>
          <w:t xml:space="preserve">[20]</w:t>
        </w:r>
      </w:hyperlink>
      <w:r>
        <w:t xml:space="preserve">). JHU data included a mix of national and aggregated subnational data for the 32 countries in the Hub. Incidence was aggregated over the Morbidity and Mortality Weekly Report (MMWR) epidemiological week definition of Sunday through Saturday.</w:t>
      </w:r>
    </w:p>
    <w:p>
      <w:pPr>
        <w:pStyle w:val="BodyText"/>
      </w:pPr>
      <w:r>
        <w:t xml:space="preserve">When predicting any single forecast target, teams could express uncertainty by submitting predictions across a range of a pre-specified set of 23 quantiles in the probability distribution. Teams could also submit a single point forecast without uncertainty. At the first submission we asked teams to add a single set of metadata briefly describing the forecasting team and methods. No restrictions were placed on who could submit forecasts, and to increase participation we actively contacted known forecasting teams across Europe and the US and advertised among the ECDC network. Teams submitted a broad spectrum of model types, ranging from mechanistic to empirical models, agent-based and statistical models, and ensembles of multiple quantitative or qualitative models (described at</w:t>
      </w:r>
      <w:r>
        <w:t xml:space="preserve"> </w:t>
      </w:r>
      <w:hyperlink r:id="rId22">
        <w:r>
          <w:rPr>
            <w:rStyle w:val="Hyperlink"/>
          </w:rPr>
          <w:t xml:space="preserve">https://covid19forecasthub.eu/community.html</w:t>
        </w:r>
      </w:hyperlink>
      <w:r>
        <w:t xml:space="preserve">). We maintain a full project specification with a detailed submissions protocol</w:t>
      </w:r>
      <w:r>
        <w:t xml:space="preserve"> </w:t>
      </w:r>
      <w:hyperlink w:anchor="Xf593520eb71ed456aa38974ca37b9123d8e1450">
        <w:r>
          <w:rPr>
            <w:rStyle w:val="Hyperlink"/>
          </w:rPr>
          <w:t xml:space="preserve">[21]</w:t>
        </w:r>
      </w:hyperlink>
      <w:r>
        <w:t xml:space="preserve">.</w:t>
      </w:r>
    </w:p>
    <w:p>
      <w:pPr>
        <w:pStyle w:val="BodyText"/>
      </w:pPr>
      <w:r>
        <w:t xml:space="preserve">With the complete dataset for the latest forecasting week available each Sunday, teams typically submitted forecasts to the hub on Monday. We implemented an automated validation programme to check that each new forecast conformed to standardised formatting. The validation step ensured a monotonic increase of predictions with each increasing quantile, integer-valued counts of predicted cases, as well as consistent date and location definitions.</w:t>
      </w:r>
    </w:p>
    <w:p>
      <w:pPr>
        <w:pStyle w:val="BodyText"/>
      </w:pPr>
      <w:r>
        <w:t xml:space="preserve">Each week we built an ensemble of all forecasts updated after all forecasts had been validated. From the first week of forecasting from 8 March 2021, the ensemble method for summarising across forecasts was the arithmetic mean of all models at each predictive quantile for a given location, target, and horizon. From 26 July 2021 onwards the ensemble instead used a median of all predictive quantiles, in order to mitigate the wide uncertainty produced by some highly anomalous forecasts. We created an open and publicly accessible interface to the forecasts and ensemble, including an online visualisation tool allowing viewers to see past data and interact with one or multiple forecasts for each country and target for up to four weeks’ horizon</w:t>
      </w:r>
      <w:r>
        <w:t xml:space="preserve"> </w:t>
      </w:r>
      <w:hyperlink w:anchor="X143c8ab6a43eafc6a1b6f87e6a6b2222845c6cd">
        <w:r>
          <w:rPr>
            <w:rStyle w:val="Hyperlink"/>
          </w:rPr>
          <w:t xml:space="preserve">[22]</w:t>
        </w:r>
      </w:hyperlink>
      <w:r>
        <w:t xml:space="preserve">. All forecast and meta data are freely available and held on Zoltar, a platform for hosting epidemiological forecasts</w:t>
      </w:r>
      <w:r>
        <w:t xml:space="preserve"> </w:t>
      </w:r>
      <w:hyperlink w:anchor="ref-epiforecastsProjectECDCEuropean2021">
        <w:r>
          <w:rPr>
            <w:rStyle w:val="Hyperlink"/>
          </w:rPr>
          <w:t xml:space="preserve">[23]</w:t>
        </w:r>
      </w:hyperlink>
      <w:r>
        <w:t xml:space="preserve">,</w:t>
      </w:r>
      <w:r>
        <w:t xml:space="preserve"> </w:t>
      </w:r>
      <w:hyperlink w:anchor="ref-reichZoltarForecastArchive2021">
        <w:r>
          <w:rPr>
            <w:rStyle w:val="Hyperlink"/>
          </w:rPr>
          <w:t xml:space="preserve">[24]</w:t>
        </w:r>
      </w:hyperlink>
      <w:r>
        <w:t xml:space="preserve">.</w:t>
      </w:r>
    </w:p>
    <w:bookmarkEnd w:id="23"/>
    <w:bookmarkStart w:id="25" w:name="forecast-evaluation"/>
    <w:p>
      <w:pPr>
        <w:pStyle w:val="Heading3"/>
      </w:pPr>
      <w:r>
        <w:t xml:space="preserve">Forecast evaluation</w:t>
      </w:r>
    </w:p>
    <w:p>
      <w:pPr>
        <w:pStyle w:val="FirstParagraph"/>
      </w:pPr>
      <w:r>
        <w:t xml:space="preserve">We evaluated all previous forecasts against actual observed values for each model, stratified by the forecast horizon, location, and target. We calculated scores using the scoringutils R package</w:t>
      </w:r>
      <w:r>
        <w:t xml:space="preserve"> </w:t>
      </w:r>
      <w:hyperlink w:anchor="Xa302aa91ec56f5a27772aa1cdc718236cff37c9">
        <w:r>
          <w:rPr>
            <w:rStyle w:val="Hyperlink"/>
          </w:rPr>
          <w:t xml:space="preserve">[25]</w:t>
        </w:r>
      </w:hyperlink>
      <w:r>
        <w:t xml:space="preserve">. We removed any forecast surrounding (in the week of the first week after) a strongly anomalous data point. We defined anomalous as where any subsequent data release revised that data point by over 5%.</w:t>
      </w:r>
    </w:p>
    <w:p>
      <w:pPr>
        <w:pStyle w:val="BodyText"/>
      </w:pPr>
      <w:r>
        <w:t xml:space="preserve">For each model, we established its overall predictive performance using the weighted interval score (WIS) and the accuracy of its prediction boundaries as the coverage of the predictive intervals. We calculated coverage at a given interval level k, where</w:t>
      </w:r>
      <w:r>
        <w:t xml:space="preserve"> </w:t>
      </w:r>
      <m:oMath>
        <m:r>
          <m:t>k</m:t>
        </m:r>
        <m:r>
          <m:rPr>
            <m:sty m:val="p"/>
          </m:rPr>
          <m:t>∈</m:t>
        </m:r>
        <m:d>
          <m:dPr>
            <m:begChr m:val="["/>
            <m:endChr m:val="]"/>
            <m:sepChr m:val=""/>
            <m:grow/>
          </m:dPr>
          <m:e>
            <m:r>
              <m:t>0</m:t>
            </m:r>
            <m:r>
              <m:rPr>
                <m:sty m:val="p"/>
              </m:rPr>
              <m:t>,</m:t>
            </m:r>
            <m:r>
              <m:t>1</m:t>
            </m:r>
          </m:e>
        </m:d>
      </m:oMath>
      <w:r>
        <w:t xml:space="preserve">, as the proportion</w:t>
      </w:r>
      <w:r>
        <w:t xml:space="preserve"> </w:t>
      </w:r>
      <m:oMath>
        <m:r>
          <m:t>p</m:t>
        </m:r>
      </m:oMath>
      <w:r>
        <w:t xml:space="preserve"> </w:t>
      </w:r>
      <w:r>
        <w:t xml:space="preserve">of observations that fell within the corresponding central predictive intervals across locations and forecast dates. A perfectly calibrated model would have</w:t>
      </w:r>
      <w:r>
        <w:t xml:space="preserve"> </w:t>
      </w:r>
      <m:oMath>
        <m:r>
          <m:t>p</m:t>
        </m:r>
        <m:r>
          <m:rPr>
            <m:sty m:val="p"/>
          </m:rPr>
          <m:t>=</m:t>
        </m:r>
        <m:r>
          <m:t>k</m:t>
        </m:r>
      </m:oMath>
      <w:r>
        <w:t xml:space="preserve"> </w:t>
      </w:r>
      <w:r>
        <w:t xml:space="preserve">at all 11 levels (corresponding to 22 quantiles excluding the median). An under confident model at level</w:t>
      </w:r>
      <w:r>
        <w:t xml:space="preserve"> </w:t>
      </w:r>
      <m:oMath>
        <m:r>
          <m:t>k</m:t>
        </m:r>
      </m:oMath>
      <w:r>
        <w:t xml:space="preserve"> </w:t>
      </w:r>
      <w:r>
        <w:t xml:space="preserve">would have</w:t>
      </w:r>
      <w:r>
        <w:t xml:space="preserve"> </w:t>
      </w:r>
      <m:oMath>
        <m:r>
          <m:t>p</m:t>
        </m:r>
        <m:r>
          <m:rPr>
            <m:sty m:val="p"/>
          </m:rPr>
          <m:t>&gt;</m:t>
        </m:r>
        <m:r>
          <m:t>k</m:t>
        </m:r>
      </m:oMath>
      <w:r>
        <w:t xml:space="preserve">, i.e. more observations fall within a given interval than expected. In contrast, an overconfident model at level</w:t>
      </w:r>
      <w:r>
        <w:t xml:space="preserve"> </w:t>
      </w:r>
      <m:oMath>
        <m:r>
          <m:t>k</m:t>
        </m:r>
      </m:oMath>
      <w:r>
        <w:t xml:space="preserve"> </w:t>
      </w:r>
      <w:r>
        <w:t xml:space="preserve">would have</w:t>
      </w:r>
      <w:r>
        <w:t xml:space="preserve"> </w:t>
      </w:r>
      <m:oMath>
        <m:r>
          <m:t>p</m:t>
        </m:r>
        <m:r>
          <m:rPr>
            <m:sty m:val="p"/>
          </m:rPr>
          <m:t>&lt;</m:t>
        </m:r>
        <m:r>
          <m:t>k</m:t>
        </m:r>
      </m:oMath>
      <w:r>
        <w:t xml:space="preserve">, i.e. fewer observations fall within a given interval than expected. We here focus on coverage at the</w:t>
      </w:r>
      <w:r>
        <w:t xml:space="preserve"> </w:t>
      </w:r>
      <m:oMath>
        <m:r>
          <m:t>k</m:t>
        </m:r>
        <m:r>
          <m:rPr>
            <m:sty m:val="p"/>
          </m:rPr>
          <m:t>=</m:t>
        </m:r>
        <m:r>
          <m:t>0.5</m:t>
        </m:r>
      </m:oMath>
      <w:r>
        <w:t xml:space="preserve"> </w:t>
      </w:r>
      <w:r>
        <w:t xml:space="preserve">and</w:t>
      </w:r>
      <w:r>
        <w:t xml:space="preserve"> </w:t>
      </w:r>
      <m:oMath>
        <m:r>
          <m:t>k</m:t>
        </m:r>
        <m:r>
          <m:rPr>
            <m:sty m:val="p"/>
          </m:rPr>
          <m:t>=</m:t>
        </m:r>
        <m:r>
          <m:t>0.95</m:t>
        </m:r>
      </m:oMath>
      <w:r>
        <w:t xml:space="preserve"> </w:t>
      </w:r>
      <w:r>
        <w:t xml:space="preserve">level.</w:t>
      </w:r>
    </w:p>
    <w:p>
      <w:pPr>
        <w:pStyle w:val="BodyText"/>
      </w:pPr>
      <w:r>
        <w:t xml:space="preserve">We assessed weekly forecasts using the WIS, across all quantiles that were being gathered</w:t>
      </w:r>
      <w:r>
        <w:t xml:space="preserve"> </w:t>
      </w:r>
      <w:hyperlink w:anchor="Xfb403e0b4ff1eb940a41bfdd822f5987463418f">
        <w:r>
          <w:rPr>
            <w:rStyle w:val="Hyperlink"/>
          </w:rPr>
          <w:t xml:space="preserve">[26]</w:t>
        </w:r>
      </w:hyperlink>
      <w:r>
        <w:t xml:space="preserve">. The WIS is a strictly proper scoring rule, that is, it is optimised for predictions that come from the data-generating model. As a consequence, the WIS encourages forecasters to report predictions representing their true belief about the future</w:t>
      </w:r>
      <w:r>
        <w:t xml:space="preserve"> </w:t>
      </w:r>
      <w:hyperlink w:anchor="ref-gneitingStrictlyProperScoring2007">
        <w:r>
          <w:rPr>
            <w:rStyle w:val="Hyperlink"/>
          </w:rPr>
          <w:t xml:space="preserve">[27]</w:t>
        </w:r>
      </w:hyperlink>
      <w:r>
        <w:t xml:space="preserve">. The WIS represents an approach to scoring forecasts based on uncertainty represented as forecast values across a set of quantiles</w:t>
      </w:r>
      <w:r>
        <w:t xml:space="preserve"> </w:t>
      </w:r>
      <w:hyperlink w:anchor="Xfb403e0b4ff1eb940a41bfdd822f5987463418f">
        <w:r>
          <w:rPr>
            <w:rStyle w:val="Hyperlink"/>
          </w:rPr>
          <w:t xml:space="preserve">[26]</w:t>
        </w:r>
      </w:hyperlink>
      <w:r>
        <w:t xml:space="preserve">. The WIS represents a parsimonious approach to scoring forecasts when only quantiles are available. Each forecast for a given location and date is scored based on an observed count of weekly incidence, the median of the predictive distribution and the width of the predictive upper and lower quantiles corresponding to the central predictive interval level (see</w:t>
      </w:r>
      <w:r>
        <w:t xml:space="preserve"> </w:t>
      </w:r>
      <w:hyperlink w:anchor="Xfb403e0b4ff1eb940a41bfdd822f5987463418f">
        <w:r>
          <w:rPr>
            <w:rStyle w:val="Hyperlink"/>
          </w:rPr>
          <w:t xml:space="preserve">[26]</w:t>
        </w:r>
      </w:hyperlink>
      <w:r>
        <w:t xml:space="preserve">).</w:t>
      </w:r>
    </w:p>
    <w:p>
      <w:pPr>
        <w:pStyle w:val="BodyText"/>
      </w:pPr>
      <w:r>
        <w:t xml:space="preserve">As not all models provided forecasts for all locations and dates, to compare predictive performance in the face of various levels of missingness, we calculated a relative WIS. This is a measure of forecast performance which takes into account that different teams may not cover the same set of forecast targets (i.e., weeks and locations). Loosely speaking, a relative WIS of x means that averaged over the targets a given team addressed, its WIS was x times higher or lower than the performance of the baseline model. Smaller values in the relative WIS are thus better and a value below one means that the model has above average performance. The relative WIS is computed using a</w:t>
      </w:r>
      <w:r>
        <w:t xml:space="preserve"> </w:t>
      </w:r>
      <w:r>
        <w:rPr>
          <w:iCs/>
          <w:i/>
        </w:rPr>
        <w:t xml:space="preserve">pairwise comparison tournament</w:t>
      </w:r>
      <w:r>
        <w:t xml:space="preserve"> </w:t>
      </w:r>
      <w:r>
        <w:t xml:space="preserve">where for each pair of models a mean score ratio is computed based on the set of shared targets. The relative WIS of a model with respect to another model is then the ratio of their respective geometric mean of the mean score ratios.</w:t>
      </w:r>
    </w:p>
    <w:p>
      <w:pPr>
        <w:pStyle w:val="BodyText"/>
      </w:pPr>
      <w:r>
        <w:t xml:space="preserve">We then took the relative WIS of each model and scaled this against the relative WIS of a baseline model, for each forecast target, location, date, and horizon. The baseline model assumes case or death counts stay the same as the latest data point over all future horizons, with expanding uncertainty, described previously in</w:t>
      </w:r>
      <w:r>
        <w:t xml:space="preserve"> </w:t>
      </w:r>
      <w:hyperlink w:anchor="Xc8963ac7015ad6ac08b187c1a38cad49a07775b">
        <w:r>
          <w:rPr>
            <w:rStyle w:val="Hyperlink"/>
          </w:rPr>
          <w:t xml:space="preserve">[28]</w:t>
        </w:r>
      </w:hyperlink>
      <w:r>
        <w:t xml:space="preserve">. Here we report the relative WIS of each model with respect to the baseline model.</w:t>
      </w:r>
    </w:p>
    <w:bookmarkStart w:id="24" w:name="ensemble-methods"/>
    <w:p>
      <w:pPr>
        <w:pStyle w:val="Heading4"/>
      </w:pPr>
      <w:r>
        <w:t xml:space="preserve">Ensemble methods</w:t>
      </w:r>
    </w:p>
    <w:p>
      <w:pPr>
        <w:pStyle w:val="FirstParagraph"/>
      </w:pPr>
      <w:r>
        <w:t xml:space="preserve">We retrospectively explored alternative methods for combining forecasts for each target at each week. A natural way to combine probability distributions available in a quantile format, such as the ones collated in the European COVID-19 Forecast Hub, is</w:t>
      </w:r>
      <w:r>
        <w:t xml:space="preserve"> </w:t>
      </w:r>
      <w:hyperlink w:anchor="ref-genestVincentizationRevisited1992">
        <w:r>
          <w:rPr>
            <w:rStyle w:val="Hyperlink"/>
          </w:rPr>
          <w:t xml:space="preserve">[29]</w:t>
        </w:r>
      </w:hyperlink>
    </w:p>
    <w:p>
      <w:pPr>
        <w:pStyle w:val="BodyText"/>
      </w:pPr>
      <m:oMathPara>
        <m:oMathParaPr>
          <m:jc m:val="center"/>
        </m:oMathParaPr>
        <m:oMath>
          <m:sSup>
            <m:e>
              <m:r>
                <m:t>F</m:t>
              </m:r>
            </m:e>
            <m:sup>
              <m:r>
                <m:rPr>
                  <m:sty m:val="p"/>
                </m:rPr>
                <m:t>−</m:t>
              </m:r>
              <m:r>
                <m:t>1</m:t>
              </m:r>
            </m:sup>
          </m:sSup>
          <m:d>
            <m:dPr>
              <m:begChr m:val="("/>
              <m:endChr m:val=")"/>
              <m:sepChr m:val=""/>
              <m:grow/>
            </m:dPr>
            <m:e>
              <m:r>
                <m:t>α</m:t>
              </m:r>
            </m:e>
          </m:d>
          <m:r>
            <m:rPr>
              <m:sty m:val="p"/>
            </m:rPr>
            <m:t>=</m:t>
          </m:r>
          <m:nary>
            <m:naryPr>
              <m:chr m:val="∑"/>
              <m:limLoc m:val="undOvr"/>
              <m:subHide m:val="0"/>
              <m:supHide m:val="0"/>
            </m:naryPr>
            <m:sub>
              <m:r>
                <m:t>i</m:t>
              </m:r>
              <m:r>
                <m:rPr>
                  <m:sty m:val="p"/>
                </m:rPr>
                <m:t>=</m:t>
              </m:r>
              <m:r>
                <m:t>1</m:t>
              </m:r>
            </m:sub>
            <m:sup>
              <m:r>
                <m:t>n</m:t>
              </m:r>
            </m:sup>
            <m:e>
              <m:sSub>
                <m:e>
                  <m:r>
                    <m:t>w</m:t>
                  </m:r>
                </m:e>
                <m:sub>
                  <m:r>
                    <m:t>i</m:t>
                  </m:r>
                </m:sub>
              </m:sSub>
            </m:e>
          </m:nary>
          <m:sSubSup>
            <m:e>
              <m:r>
                <m:t>F</m:t>
              </m:r>
            </m:e>
            <m:sub>
              <m:r>
                <m:t>i</m:t>
              </m:r>
            </m:sub>
            <m:sup>
              <m:r>
                <m:rPr>
                  <m:sty m:val="p"/>
                </m:rPr>
                <m:t>−</m:t>
              </m:r>
              <m:r>
                <m:t>1</m:t>
              </m:r>
            </m:sup>
          </m:sSubSup>
          <m:d>
            <m:dPr>
              <m:begChr m:val="("/>
              <m:endChr m:val=")"/>
              <m:sepChr m:val=""/>
              <m:grow/>
            </m:dPr>
            <m:e>
              <m:r>
                <m:t>α</m:t>
              </m:r>
            </m:e>
          </m:d>
        </m:oMath>
      </m:oMathPara>
    </w:p>
    <w:p>
      <w:pPr>
        <w:pStyle w:val="FirstParagraph"/>
      </w:pPr>
      <w:r>
        <w:t xml:space="preserve">Where</w:t>
      </w:r>
      <w:r>
        <w:t xml:space="preserve"> </w:t>
      </w:r>
      <m:oMath>
        <m:sSub>
          <m:e>
            <m:r>
              <m:t>F</m:t>
            </m:r>
          </m:e>
          <m:sub>
            <m:r>
              <m:t>1</m:t>
            </m:r>
          </m:sub>
        </m:sSub>
        <m:r>
          <m:rPr>
            <m:sty m:val="p"/>
          </m:rPr>
          <m:t>…</m:t>
        </m:r>
        <m:sSub>
          <m:e>
            <m:r>
              <m:t>F</m:t>
            </m:r>
          </m:e>
          <m:sub>
            <m:r>
              <m:t>n</m:t>
            </m:r>
          </m:sub>
        </m:sSub>
      </m:oMath>
      <w:r>
        <w:t xml:space="preserve"> </w:t>
      </w:r>
      <w:r>
        <w:t xml:space="preserve">are the cumulative distribution functions of the individual probability distributions (in our case, the predictive distributions of each forecast model</w:t>
      </w:r>
      <w:r>
        <w:t xml:space="preserve"> </w:t>
      </w:r>
      <m:oMath>
        <m:r>
          <m:t>i</m:t>
        </m:r>
      </m:oMath>
      <w:r>
        <w:t xml:space="preserve"> </w:t>
      </w:r>
      <w:r>
        <w:t xml:space="preserve">contributed to the hub),</w:t>
      </w:r>
      <w:r>
        <w:t xml:space="preserve"> </w:t>
      </w:r>
      <m:oMath>
        <m:sSub>
          <m:e>
            <m:r>
              <m:t>w</m:t>
            </m:r>
          </m:e>
          <m:sub>
            <m:r>
              <m:t>i</m:t>
            </m:r>
          </m:sub>
        </m:sSub>
      </m:oMath>
      <w:r>
        <w:t xml:space="preserve"> </w:t>
      </w:r>
      <w:r>
        <w:t xml:space="preserve">are a set of weights in</w:t>
      </w:r>
      <w:r>
        <w:t xml:space="preserve"> </w:t>
      </w:r>
      <m:oMath>
        <m:d>
          <m:dPr>
            <m:begChr m:val="["/>
            <m:endChr m:val="]"/>
            <m:sepChr m:val=""/>
            <m:grow/>
          </m:dPr>
          <m:e>
            <m:r>
              <m:t>0</m:t>
            </m:r>
            <m:r>
              <m:rPr>
                <m:sty m:val="p"/>
              </m:rPr>
              <m:t>,</m:t>
            </m:r>
            <m:r>
              <m:t>1</m:t>
            </m:r>
          </m:e>
        </m:d>
      </m:oMath>
      <w:r>
        <w:t xml:space="preserve">; and</w:t>
      </w:r>
      <w:r>
        <w:t xml:space="preserve"> </w:t>
      </w:r>
      <m:oMath>
        <m:r>
          <m:t>α</m:t>
        </m:r>
      </m:oMath>
      <w:r>
        <w:t xml:space="preserve"> </w:t>
      </w:r>
      <w:r>
        <w:t xml:space="preserve">are the quantile levels such that</w:t>
      </w:r>
    </w:p>
    <w:p>
      <w:pPr>
        <w:pStyle w:val="BodyText"/>
      </w:pPr>
      <m:oMathPara>
        <m:oMathParaPr>
          <m:jc m:val="center"/>
        </m:oMathParaPr>
        <m:oMath>
          <m:sSup>
            <m:e>
              <m:r>
                <m:t>F</m:t>
              </m:r>
            </m:e>
            <m:sup>
              <m:r>
                <m:rPr>
                  <m:sty m:val="p"/>
                </m:rPr>
                <m:t>−</m:t>
              </m:r>
              <m:r>
                <m:t>1</m:t>
              </m:r>
            </m:sup>
          </m:sSup>
          <m:d>
            <m:dPr>
              <m:begChr m:val="("/>
              <m:endChr m:val=")"/>
              <m:sepChr m:val=""/>
              <m:grow/>
            </m:dPr>
            <m:e>
              <m:r>
                <m:t>α</m:t>
              </m:r>
            </m:e>
          </m:d>
          <m:r>
            <m:rPr>
              <m:sty m:val="p"/>
            </m:rPr>
            <m:t>=</m:t>
          </m:r>
          <m:r>
            <m:rPr>
              <m:sty m:val="p"/>
            </m:rPr>
            <m:t>i</m:t>
          </m:r>
          <m:r>
            <m:rPr>
              <m:sty m:val="p"/>
            </m:rPr>
            <m:t>n</m:t>
          </m:r>
          <m:r>
            <m:rPr>
              <m:sty m:val="p"/>
            </m:rPr>
            <m:t>f</m:t>
          </m:r>
          <m:r>
            <m:rPr>
              <m:sty m:val="p"/>
            </m:rPr>
            <m:t>{</m:t>
          </m:r>
          <m:r>
            <m:t>t</m:t>
          </m:r>
          <m:r>
            <m:rPr>
              <m:sty m:val="p"/>
            </m:rPr>
            <m:t>:</m:t>
          </m:r>
          <m:sSub>
            <m:e>
              <m:r>
                <m:t>F</m:t>
              </m:r>
            </m:e>
            <m:sub>
              <m:r>
                <m:t>i</m:t>
              </m:r>
            </m:sub>
          </m:sSub>
          <m:d>
            <m:dPr>
              <m:begChr m:val="("/>
              <m:endChr m:val=")"/>
              <m:sepChr m:val=""/>
              <m:grow/>
            </m:dPr>
            <m:e>
              <m:r>
                <m:t>t</m:t>
              </m:r>
            </m:e>
          </m:d>
          <m:r>
            <m:rPr>
              <m:sty m:val="p"/>
            </m:rPr>
            <m:t>≥</m:t>
          </m:r>
          <m:r>
            <m:t>α</m:t>
          </m:r>
          <m:r>
            <m:rPr>
              <m:sty m:val="p"/>
            </m:rPr>
            <m:t>}</m:t>
          </m:r>
        </m:oMath>
      </m:oMathPara>
    </w:p>
    <w:p>
      <w:pPr>
        <w:pStyle w:val="FirstParagraph"/>
      </w:pPr>
      <w:r>
        <w:t xml:space="preserve">Different ensemble choices then mainly translate to the choice of weights</w:t>
      </w:r>
      <w:r>
        <w:t xml:space="preserve"> </w:t>
      </w:r>
      <m:oMath>
        <m:sSub>
          <m:e>
            <m:r>
              <m:t>w</m:t>
            </m:r>
          </m:e>
          <m:sub>
            <m:r>
              <m:t>i</m:t>
            </m:r>
          </m:sub>
        </m:sSub>
      </m:oMath>
      <w:r>
        <w:t xml:space="preserve">.</w:t>
      </w:r>
      <w:r>
        <w:t xml:space="preserve"> </w:t>
      </w:r>
      <w:r>
        <w:t xml:space="preserve">The simplest choice of weights</w:t>
      </w:r>
      <w:r>
        <w:t xml:space="preserve"> </w:t>
      </w:r>
      <m:oMath>
        <m:sSub>
          <m:e>
            <m:r>
              <m:t>w</m:t>
            </m:r>
          </m:e>
          <m:sub>
            <m:r>
              <m:t>i</m:t>
            </m:r>
          </m:sub>
        </m:sSub>
      </m:oMath>
      <w:r>
        <w:t xml:space="preserve"> </w:t>
      </w:r>
      <w:r>
        <w:t xml:space="preserve">is to set them all equal so that they sum up to 1,</w:t>
      </w:r>
      <w:r>
        <w:t xml:space="preserve"> </w:t>
      </w:r>
      <m:oMath>
        <m:sSub>
          <m:e>
            <m:r>
              <m:t>w</m:t>
            </m:r>
          </m:e>
          <m:sub>
            <m:r>
              <m:t>i</m:t>
            </m:r>
          </m:sub>
        </m:sSub>
        <m:r>
          <m:rPr>
            <m:sty m:val="p"/>
          </m:rPr>
          <m:t>=</m:t>
        </m:r>
        <m:r>
          <m:t>1</m:t>
        </m:r>
        <m:r>
          <m:rPr>
            <m:sty m:val="p"/>
          </m:rPr>
          <m:t>/</m:t>
        </m:r>
        <m:r>
          <m:t>n</m:t>
        </m:r>
      </m:oMath>
      <w:r>
        <w:t xml:space="preserve">, resulting in an arithmetic mean ensemble. However, with this method a single outlier can have a very strong effect on the ensemble forecast. To avoid this overrepresentation, we can choose a set of weights to apply to forecasts before they are combined at each quantile level. Numerous options exist for choosing these weights with the aim to maximise predictive performance, including choosing weights to reflect each forecast’s past performance (thereby moving from an untrained to a trained ensemble). A straightforward choice is so-called inverse score weighting, which was recently found in the US to outperform unweighted scores during some time periods</w:t>
      </w:r>
      <w:r>
        <w:t xml:space="preserve"> </w:t>
      </w:r>
      <w:hyperlink w:anchor="X1980eff6c3109b81e73f0ab65d20fc92f139c2a">
        <w:r>
          <w:rPr>
            <w:rStyle w:val="Hyperlink"/>
          </w:rPr>
          <w:t xml:space="preserve">[30]</w:t>
        </w:r>
      </w:hyperlink>
      <w:r>
        <w:t xml:space="preserve"> </w:t>
      </w:r>
      <w:r>
        <w:t xml:space="preserve">but not confirmed in a similar study in Germany and Poland Poland</w:t>
      </w:r>
      <w:r>
        <w:t xml:space="preserve"> </w:t>
      </w:r>
      <w:hyperlink w:anchor="Xd14d2324531eaa93f7c847f3a26de8400e85aab">
        <w:r>
          <w:rPr>
            <w:rStyle w:val="Hyperlink"/>
          </w:rPr>
          <w:t xml:space="preserve">[8]</w:t>
        </w:r>
      </w:hyperlink>
      <w:r>
        <w:t xml:space="preserve">. In this case, the weights are calculated as</w:t>
      </w:r>
    </w:p>
    <w:p>
      <w:pPr>
        <w:pStyle w:val="BodyText"/>
      </w:pPr>
      <m:oMathPara>
        <m:oMathParaPr>
          <m:jc m:val="center"/>
        </m:oMathParaPr>
        <m:oMath>
          <m:sSub>
            <m:e>
              <m:r>
                <m:t>w</m:t>
              </m:r>
            </m:e>
            <m:sub>
              <m:r>
                <m:t>i</m:t>
              </m:r>
            </m:sub>
          </m:sSub>
          <m:r>
            <m:rPr>
              <m:sty m:val="p"/>
            </m:rPr>
            <m:t>=</m:t>
          </m:r>
          <m:f>
            <m:fPr>
              <m:type m:val="bar"/>
            </m:fPr>
            <m:num>
              <m:r>
                <m:t>1</m:t>
              </m:r>
            </m:num>
            <m:den>
              <m:sSub>
                <m:e>
                  <m:r>
                    <m:t>S</m:t>
                  </m:r>
                </m:e>
                <m:sub>
                  <m:r>
                    <m:t>i</m:t>
                  </m:r>
                </m:sub>
              </m:sSub>
            </m:den>
          </m:f>
        </m:oMath>
      </m:oMathPara>
    </w:p>
    <w:p>
      <w:pPr>
        <w:pStyle w:val="FirstParagraph"/>
      </w:pPr>
      <w:r>
        <w:t xml:space="preserve">where</w:t>
      </w:r>
      <w:r>
        <w:t xml:space="preserve"> </w:t>
      </w:r>
      <m:oMath>
        <m:sSub>
          <m:e>
            <m:r>
              <m:t>S</m:t>
            </m:r>
          </m:e>
          <m:sub>
            <m:r>
              <m:t>i</m:t>
            </m:r>
          </m:sub>
        </m:sSub>
      </m:oMath>
      <w:r>
        <w:t xml:space="preserve"> </w:t>
      </w:r>
      <w:r>
        <w:t xml:space="preserve">reflects the forecast skill of forecaster</w:t>
      </w:r>
      <w:r>
        <w:t xml:space="preserve"> </w:t>
      </w:r>
      <m:oMath>
        <m:r>
          <m:t>i</m:t>
        </m:r>
      </m:oMath>
      <w:r>
        <w:t xml:space="preserve">, normalised so that weights sum to 1.</w:t>
      </w:r>
    </w:p>
    <w:p>
      <w:pPr>
        <w:pStyle w:val="BodyText"/>
      </w:pPr>
      <w:r>
        <w:t xml:space="preserve">Alternatively, previous research has found that an unweighted median ensemble, where the arithmetic mean of each quantile is replaced by a median, yields very competitive performance while maintaining robustness to outlying forecasts</w:t>
      </w:r>
      <w:r>
        <w:t xml:space="preserve"> </w:t>
      </w:r>
      <w:hyperlink w:anchor="ref-rayComparingTrainedUntrained2022">
        <w:r>
          <w:rPr>
            <w:rStyle w:val="Hyperlink"/>
          </w:rPr>
          <w:t xml:space="preserve">[31]</w:t>
        </w:r>
      </w:hyperlink>
      <w:r>
        <w:t xml:space="preserve">. Building on this, it is possible to use the same weights described above to create a weighted median. This uses the Harrel-Davis quantile estimator with a beta function to approximate the weighted percentiles</w:t>
      </w:r>
      <w:r>
        <w:t xml:space="preserve"> </w:t>
      </w:r>
      <w:hyperlink w:anchor="X21e09437c27bc076b12ed3f0421d4c7df35e72c">
        <w:r>
          <w:rPr>
            <w:rStyle w:val="Hyperlink"/>
          </w:rPr>
          <w:t xml:space="preserve">[32]</w:t>
        </w:r>
      </w:hyperlink>
      <w:r>
        <w:t xml:space="preserve">,</w:t>
      </w:r>
      <w:r>
        <w:t xml:space="preserve"> </w:t>
      </w:r>
      <w:hyperlink w:anchor="ref-rdocumentationCNORMVersionWeighted">
        <w:r>
          <w:rPr>
            <w:rStyle w:val="Hyperlink"/>
          </w:rPr>
          <w:t xml:space="preserve">[33]</w:t>
        </w:r>
      </w:hyperlink>
      <w:r>
        <w:t xml:space="preserve">. Here we considered unweighted and inverse relative WIS weighted mean and median ensembles.</w:t>
      </w:r>
    </w:p>
    <w:bookmarkEnd w:id="24"/>
    <w:bookmarkEnd w:id="25"/>
    <w:bookmarkEnd w:id="26"/>
    <w:bookmarkStart w:id="30" w:name="results"/>
    <w:p>
      <w:pPr>
        <w:pStyle w:val="Heading1"/>
      </w:pPr>
      <w:r>
        <w:t xml:space="preserve">Results</w:t>
      </w:r>
    </w:p>
    <w:p>
      <w:pPr>
        <w:pStyle w:val="FirstParagraph"/>
      </w:pPr>
      <w:r>
        <w:t xml:space="preserve">We collected forecasts submitted weekly in real time over the 52 week period from 08 March 2021 to 07 March 2022. Each week we used all available forecasts to create a weekly real-time ensemble model (referred to as</w:t>
      </w:r>
      <w:r>
        <w:t xml:space="preserve"> </w:t>
      </w:r>
      <w:r>
        <w:t xml:space="preserve">“</w:t>
      </w:r>
      <w:r>
        <w:t xml:space="preserve">the ensemble</w:t>
      </w:r>
      <w:r>
        <w:t xml:space="preserve">”</w:t>
      </w:r>
      <w:r>
        <w:t xml:space="preserve"> </w:t>
      </w:r>
      <w:r>
        <w:t xml:space="preserve">from here on) for each of the 256 possible forecast targets: incident cases and deaths in 32 locations over the following one through four weeks. The ensemble model was an unweighted average from March through July 2021 and then an unweighted median (figure 3).</w:t>
      </w:r>
    </w:p>
    <w:p>
      <w:pPr>
        <w:pStyle w:val="BodyText"/>
      </w:pPr>
      <w:r>
        <w:t xml:space="preserve">The number of models contributing to each ensemble forecast varied over time and by forecasting target (SI figure 1). Over the whole study period 26 independently participating forecasting teams contributed results from 28 unique forecasting models. While not all modellers created forecasts for all locations, horizons, or variables, no ensemble forecast was composed of less than 3 independent models. At most, 15 models contributed forecasts for cases in Germany at the 1 week horizon, with an accumulated 592 forecasts for that single target over the study period (with the ensemble of all models in Germany shown in figure 3). In contrast, deaths in Finland at the 2 week horizon saw the smallest number of forecasts, with only 6 independent models contributing a total 24 forecasts. Similarly, not all teams forecast across all quantiles of the predictive distribution for each target, with only 23 models providing the full set of 23 quantiles.</w:t>
      </w:r>
    </w:p>
    <w:p>
      <w:pPr>
        <w:pStyle w:val="CaptionedFigure"/>
      </w:pPr>
      <w:r>
        <w:drawing>
          <wp:inline>
            <wp:extent cx="5334000" cy="2286000"/>
            <wp:effectExtent b="0" l="0" r="0" t="0"/>
            <wp:docPr descr="Ensemble forecasts of weekly incident cases in Germany over periods of increasing SARS-CoV-2 variants Delta (B.1.617.2, left) and Omicron (B.1.1.529, right). Black indicates observed data. Coloured ribbons represent each weekly forecast of 1-4 weeks ahead (showing median, 50%, and 90% probability). For each variant, forecasts are shown over an x-axis bounded by the earliest dates at which 5% and 99% of sequenced cases were identified as the respective variant of concern, while vertical dotted lines indicate the approximate date that the variant reached dominance (&gt;50% sequenced cases)." title="" id="1" name="Picture"/>
            <a:graphic>
              <a:graphicData uri="http://schemas.openxmlformats.org/drawingml/2006/picture">
                <pic:pic>
                  <pic:nvPicPr>
                    <pic:cNvPr descr="abstract-results_files/figure-docx/figure-1-1.png" id="0" name="Picture"/>
                    <pic:cNvPicPr>
                      <a:picLocks noChangeArrowheads="1" noChangeAspect="1"/>
                    </pic:cNvPicPr>
                  </pic:nvPicPr>
                  <pic:blipFill>
                    <a:blip r:embed="rId27"/>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rPr>
          <w:iCs/>
          <w:i/>
        </w:rPr>
        <w:t xml:space="preserve">Ensemble forecasts of weekly incident cases in Germany over periods of increasing SARS-CoV-2 variants Delta (B.1.617.2, left) and Omicron (B.1.1.529, right). Black indicates observed data. Coloured ribbons represent each weekly forecast of 1-4 weeks ahead (showing median, 50%, and 90% probability). For each variant, forecasts are shown over an x-axis bounded by the earliest dates at which 5% and 99% of sequenced cases were identified as the respective variant of concern, while vertical dotted lines indicate the approximate date that the variant reached dominance (&gt;50% sequenced cases).</w:t>
      </w:r>
    </w:p>
    <w:p>
      <w:pPr>
        <w:pStyle w:val="BodyText"/>
      </w:pPr>
      <w:r>
        <w:t xml:space="preserve">Using all models and the ensemble, we created 2106 forecasting scores where each score summarises a unique combination of forecasting model, variable, country, and week ahead horizon (SI figure 2). We qualitatively reviewed the absolute performance of forecasts in terms of accuracy in predicting numbers of incident cases and deaths. We observed that forecasts were often most accurate in times of stable epidemic behaviour, while struggling to accurately predict at longer horizons around inflection points, for example during rapid changes in population-level behaviour or surveillance. Forecast models varied widely in their ability to predict and account for the introduction of new variants, giving the ensemble forecast over these periods a high level of uncertainty (figure 3). In this study we focus only on the comparative performance of forecasting models relative to each other.</w:t>
      </w:r>
    </w:p>
    <w:p>
      <w:pPr>
        <w:pStyle w:val="BodyText"/>
      </w:pPr>
      <w:r>
        <w:t xml:space="preserve">In relative terms, the ensemble of all models performed well compared to both its component models and the baseline. By relative WIS scaled against a baseline of 1 (where a score &lt;1 indicates outperforming the baseline), the median score for participating models across all submitted forecasts was 1.04, while the median score of forecasts from the ensemble model was 0.71.</w:t>
      </w:r>
    </w:p>
    <w:p>
      <w:pPr>
        <w:pStyle w:val="BodyText"/>
      </w:pPr>
      <w:r>
        <w:t xml:space="preserve">Across all horizons and locations, the ensemble performed better on scaled relative WIS than 84% of participating model scores when forecasting cases (with a total N=862), and 92% of participating model scores for forecasts of incident deaths (N=746).</w:t>
      </w:r>
    </w:p>
    <w:p>
      <w:pPr>
        <w:pStyle w:val="CaptionedFigure"/>
      </w:pPr>
      <w:r>
        <w:drawing>
          <wp:inline>
            <wp:extent cx="4620126" cy="5544151"/>
            <wp:effectExtent b="0" l="0" r="0" t="0"/>
            <wp:docPr descr="Performance of short-term forecasts aggregated across all individually submitted models and the Hub ensemble, by horizon, forecasting cases (left) and deaths (right). Performance measured by relative weighted interval score scaled against a baseline (dotted line, 1), and coverage of uncertainty at the 50% and 95% levels. Boxplot, with width proportional to number of observations, show interquartile ranges with outlying scores as faded points. The target range for each set of scores is shaded in yellow." title="" id="1" name="Picture"/>
            <a:graphic>
              <a:graphicData uri="http://schemas.openxmlformats.org/drawingml/2006/picture">
                <pic:pic>
                  <pic:nvPicPr>
                    <pic:cNvPr descr="abstract-results_files/figure-docx/figure-2-1.png" id="0" name="Picture"/>
                    <pic:cNvPicPr>
                      <a:picLocks noChangeArrowheads="1" noChangeAspect="1"/>
                    </pic:cNvPicPr>
                  </pic:nvPicPr>
                  <pic:blipFill>
                    <a:blip r:embed="rId28"/>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rPr>
          <w:iCs/>
          <w:i/>
        </w:rPr>
        <w:t xml:space="preserve">Performance of short-term forecasts aggregated across all individually submitted models and the Hub ensemble, by horizon, forecasting cases (left) and deaths (right). Performance measured by relative weighted interval score scaled against a baseline (dotted line, 1), and coverage of uncertainty at the 50% and 95% levels. Boxplot, with width proportional to number of observations, show interquartile ranges with outlying scores as faded points. The target range for each set of scores is shaded in yellow.</w:t>
      </w:r>
    </w:p>
    <w:p>
      <w:pPr>
        <w:pStyle w:val="BodyText"/>
      </w:pPr>
      <w:r>
        <w:t xml:space="preserve">The performance of individual and ensemble forecasts varied by length of the forecast horizon (figure 3). At each horizon, the typical performance of the ensemble outperformed both the baseline model and the aggregated scores of all its component models, although we saw wide variation between individual models in performance across horizons.</w:t>
      </w:r>
    </w:p>
    <w:p>
      <w:pPr>
        <w:pStyle w:val="BodyText"/>
      </w:pPr>
      <w:r>
        <w:t xml:space="preserve">Both individual models and the ensemble saw a trend of worsening performance at longer horizons when forecasting cases, while performance remained more stable when estimating deaths. By scaled relative WIS, the median performance of the ensemble across locations worsened from 0.62 for one-week ahead forecasts to 0.9 when forecasting four weeks ahead. Performance for forecasts of deaths was more stable over one through four weeks, with median ensemble performance moving from 0.685 to 0.76 across the four week horizons.</w:t>
      </w:r>
    </w:p>
    <w:p>
      <w:pPr>
        <w:pStyle w:val="BodyText"/>
      </w:pPr>
      <w:r>
        <w:t xml:space="preserve">We observed similar trends in performance across horizon when considering how well the ensemble was calibrated with respect to the observed data. At one week ahead the case ensemble was well calibrated (ca. 50% and 95% nominal coverage at the 50% and 95% levels respectively). This did not hold at longer forecast horizons as the case forecasts became increasingly over-confident. Meanwhile, the ensemble of death forecasts was well calibrated at the 95% level across all horizons, and the calibration of death forecasts at the 50% level increased in accuracy with lengthening horizons.</w:t>
      </w:r>
    </w:p>
    <w:p>
      <w:pPr>
        <w:pStyle w:val="CaptionedFigure"/>
      </w:pPr>
      <w:r>
        <w:drawing>
          <wp:inline>
            <wp:extent cx="5334000" cy="3809999"/>
            <wp:effectExtent b="0" l="0" r="0" t="0"/>
            <wp:docPr descr="Performance of short-term forecasts across models and median ensemble (asterisk), by country, forecasting cases (top) and deaths (bottom) for two-week ahead forecasts, according to the relative weighted interval score. Boxplots show interquartile ranges, with outliers as faded points, and the ensemble model performance is marked by an asterisk. y-axis is cut-off to an upper bound of 4 for readability." title="" id="1" name="Picture"/>
            <a:graphic>
              <a:graphicData uri="http://schemas.openxmlformats.org/drawingml/2006/picture">
                <pic:pic>
                  <pic:nvPicPr>
                    <pic:cNvPr descr="abstract-results_files/figure-docx/figure-3-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rPr>
          <w:iCs/>
          <w:i/>
        </w:rPr>
        <w:t xml:space="preserve">Performance of short-term forecasts across models and</w:t>
      </w:r>
      <w:r>
        <w:rPr>
          <w:iCs/>
          <w:i/>
        </w:rPr>
        <w:t xml:space="preserve"> </w:t>
      </w:r>
      <w:r>
        <w:rPr>
          <w:iCs/>
          <w:i/>
        </w:rPr>
        <w:t xml:space="preserve">median ensemble (asterisk), by country, forecasting cases (top) and deaths (bottom) for two-week ahead forecasts, according to the relative weighted interval score. Boxplots show interquartile ranges, with outliers as faded points, and the ensemble model performance is marked by an asterisk. y-axis is cut-off to an upper bound of 4 for readability.</w:t>
      </w:r>
    </w:p>
    <w:p>
      <w:pPr>
        <w:pStyle w:val="BodyText"/>
      </w:pPr>
      <w:r>
        <w:t xml:space="preserve">The ensemble also performed consistently well in comparison to individual models when forecasting across countries (figure 3). Across 32 countries, on aggregate forecasting for one through four weeks, when forecasting cases the ensemble oupterformed 75% of component models in 21 countries, and outperformed all available models in 3 countries. When forecasting deaths, the ensemble outperformed 75% and 100% of models in 30 and 9 countries respectively. Considering only the the two-week horizon shown in figure 3, the ensemble of case forecasts outperformed 75% models in 24 countries and all models in only 12 countries. At the two-week horizon for forecasts of deaths, the ensemble outperformed 75% and 100% of its component models in 30 and 26 countries respectively.</w:t>
      </w:r>
    </w:p>
    <w:p>
      <w:pPr>
        <w:pStyle w:val="BodyText"/>
      </w:pPr>
      <w:r>
        <w:t xml:space="preserve">Predictive performance of main ensembles, as measured by the scaled relative WIS.</w:t>
      </w:r>
    </w:p>
    <w:p>
      <w:pPr>
        <w:pStyle w:val="BodyText"/>
      </w:pPr>
      <w:r>
        <w:t xml:space="preserve">Horizon</w:t>
      </w:r>
    </w:p>
    <w:p>
      <w:pPr>
        <w:pStyle w:val="BodyText"/>
      </w:pPr>
      <w:r>
        <w:t xml:space="preserve">Weighted mean</w:t>
      </w:r>
    </w:p>
    <w:p>
      <w:pPr>
        <w:pStyle w:val="BodyText"/>
      </w:pPr>
      <w:r>
        <w:t xml:space="preserve">Weighted median</w:t>
      </w:r>
    </w:p>
    <w:p>
      <w:pPr>
        <w:pStyle w:val="BodyText"/>
      </w:pPr>
      <w:r>
        <w:t xml:space="preserve">Unweighted mean</w:t>
      </w:r>
    </w:p>
    <w:p>
      <w:pPr>
        <w:pStyle w:val="BodyText"/>
      </w:pPr>
      <w:r>
        <w:t xml:space="preserve">Unweighted median</w:t>
      </w:r>
    </w:p>
    <w:p>
      <w:pPr>
        <w:pStyle w:val="BodyText"/>
      </w:pPr>
      <w:r>
        <w:t xml:space="preserve">Cases</w:t>
      </w:r>
    </w:p>
    <w:p>
      <w:pPr>
        <w:pStyle w:val="BodyText"/>
      </w:pPr>
      <w:r>
        <w:t xml:space="preserve">1 week</w:t>
      </w:r>
    </w:p>
    <w:p>
      <w:pPr>
        <w:pStyle w:val="BodyText"/>
      </w:pPr>
      <w:r>
        <w:t xml:space="preserve">0.59</w:t>
      </w:r>
    </w:p>
    <w:p>
      <w:pPr>
        <w:pStyle w:val="BodyText"/>
      </w:pPr>
      <w:r>
        <w:t xml:space="preserve">0.62</w:t>
      </w:r>
    </w:p>
    <w:p>
      <w:pPr>
        <w:pStyle w:val="BodyText"/>
      </w:pPr>
      <w:r>
        <w:t xml:space="preserve">0.59</w:t>
      </w:r>
    </w:p>
    <w:p>
      <w:pPr>
        <w:pStyle w:val="BodyText"/>
      </w:pPr>
      <w:r>
        <w:t xml:space="preserve">0.61</w:t>
      </w:r>
    </w:p>
    <w:p>
      <w:pPr>
        <w:pStyle w:val="BodyText"/>
      </w:pPr>
      <w:r>
        <w:t xml:space="preserve">2 weeks</w:t>
      </w:r>
    </w:p>
    <w:p>
      <w:pPr>
        <w:pStyle w:val="BodyText"/>
      </w:pPr>
      <w:r>
        <w:t xml:space="preserve">0.67</w:t>
      </w:r>
    </w:p>
    <w:p>
      <w:pPr>
        <w:pStyle w:val="BodyText"/>
      </w:pPr>
      <w:r>
        <w:t xml:space="preserve">0.67</w:t>
      </w:r>
    </w:p>
    <w:p>
      <w:pPr>
        <w:pStyle w:val="BodyText"/>
      </w:pPr>
      <w:r>
        <w:t xml:space="preserve">0.67</w:t>
      </w:r>
    </w:p>
    <w:p>
      <w:pPr>
        <w:pStyle w:val="BodyText"/>
      </w:pPr>
      <w:r>
        <w:t xml:space="preserve">0.67</w:t>
      </w:r>
    </w:p>
    <w:p>
      <w:pPr>
        <w:pStyle w:val="BodyText"/>
      </w:pPr>
      <w:r>
        <w:t xml:space="preserve">3 weeks</w:t>
      </w:r>
    </w:p>
    <w:p>
      <w:pPr>
        <w:pStyle w:val="BodyText"/>
      </w:pPr>
      <w:r>
        <w:t xml:space="preserve">0.79</w:t>
      </w:r>
    </w:p>
    <w:p>
      <w:pPr>
        <w:pStyle w:val="BodyText"/>
      </w:pPr>
      <w:r>
        <w:t xml:space="preserve">0.70</w:t>
      </w:r>
    </w:p>
    <w:p>
      <w:pPr>
        <w:pStyle w:val="BodyText"/>
      </w:pPr>
      <w:r>
        <w:t xml:space="preserve">0.81</w:t>
      </w:r>
    </w:p>
    <w:p>
      <w:pPr>
        <w:pStyle w:val="BodyText"/>
      </w:pPr>
      <w:r>
        <w:t xml:space="preserve">0.71</w:t>
      </w:r>
    </w:p>
    <w:p>
      <w:pPr>
        <w:pStyle w:val="BodyText"/>
      </w:pPr>
      <w:r>
        <w:t xml:space="preserve">4 weeks</w:t>
      </w:r>
    </w:p>
    <w:p>
      <w:pPr>
        <w:pStyle w:val="BodyText"/>
      </w:pPr>
      <w:r>
        <w:t xml:space="preserve">1.06</w:t>
      </w:r>
    </w:p>
    <w:p>
      <w:pPr>
        <w:pStyle w:val="BodyText"/>
      </w:pPr>
      <w:r>
        <w:t xml:space="preserve">0.75</w:t>
      </w:r>
    </w:p>
    <w:p>
      <w:pPr>
        <w:pStyle w:val="BodyText"/>
      </w:pPr>
      <w:r>
        <w:t xml:space="preserve">1.09</w:t>
      </w:r>
    </w:p>
    <w:p>
      <w:pPr>
        <w:pStyle w:val="BodyText"/>
      </w:pPr>
      <w:r>
        <w:t xml:space="preserve">0.79</w:t>
      </w:r>
    </w:p>
    <w:p>
      <w:pPr>
        <w:pStyle w:val="BodyText"/>
      </w:pPr>
      <w:r>
        <w:t xml:space="preserve">Deaths</w:t>
      </w:r>
    </w:p>
    <w:p>
      <w:pPr>
        <w:pStyle w:val="BodyText"/>
      </w:pPr>
      <w:r>
        <w:t xml:space="preserve">1 week</w:t>
      </w:r>
    </w:p>
    <w:p>
      <w:pPr>
        <w:pStyle w:val="BodyText"/>
      </w:pPr>
      <w:r>
        <w:t xml:space="preserve">0.63</w:t>
      </w:r>
    </w:p>
    <w:p>
      <w:pPr>
        <w:pStyle w:val="BodyText"/>
      </w:pPr>
      <w:r>
        <w:t xml:space="preserve">0.59</w:t>
      </w:r>
    </w:p>
    <w:p>
      <w:pPr>
        <w:pStyle w:val="BodyText"/>
      </w:pPr>
      <w:r>
        <w:t xml:space="preserve">1.00</w:t>
      </w:r>
    </w:p>
    <w:p>
      <w:pPr>
        <w:pStyle w:val="BodyText"/>
      </w:pPr>
      <w:r>
        <w:t xml:space="preserve">0.59</w:t>
      </w:r>
    </w:p>
    <w:p>
      <w:pPr>
        <w:pStyle w:val="BodyText"/>
      </w:pPr>
      <w:r>
        <w:t xml:space="preserve">2 weeks</w:t>
      </w:r>
    </w:p>
    <w:p>
      <w:pPr>
        <w:pStyle w:val="BodyText"/>
      </w:pPr>
      <w:r>
        <w:t xml:space="preserve">0.57</w:t>
      </w:r>
    </w:p>
    <w:p>
      <w:pPr>
        <w:pStyle w:val="BodyText"/>
      </w:pPr>
      <w:r>
        <w:t xml:space="preserve">0.54</w:t>
      </w:r>
    </w:p>
    <w:p>
      <w:pPr>
        <w:pStyle w:val="BodyText"/>
      </w:pPr>
      <w:r>
        <w:t xml:space="preserve">0.81</w:t>
      </w:r>
    </w:p>
    <w:p>
      <w:pPr>
        <w:pStyle w:val="BodyText"/>
      </w:pPr>
      <w:r>
        <w:t xml:space="preserve">0.53</w:t>
      </w:r>
    </w:p>
    <w:p>
      <w:pPr>
        <w:pStyle w:val="BodyText"/>
      </w:pPr>
      <w:r>
        <w:t xml:space="preserve">3 weeks</w:t>
      </w:r>
    </w:p>
    <w:p>
      <w:pPr>
        <w:pStyle w:val="BodyText"/>
      </w:pPr>
      <w:r>
        <w:t xml:space="preserve">0.64</w:t>
      </w:r>
    </w:p>
    <w:p>
      <w:pPr>
        <w:pStyle w:val="BodyText"/>
      </w:pPr>
      <w:r>
        <w:t xml:space="preserve">0.56</w:t>
      </w:r>
    </w:p>
    <w:p>
      <w:pPr>
        <w:pStyle w:val="BodyText"/>
      </w:pPr>
      <w:r>
        <w:t xml:space="preserve">0.83</w:t>
      </w:r>
    </w:p>
    <w:p>
      <w:pPr>
        <w:pStyle w:val="BodyText"/>
      </w:pPr>
      <w:r>
        <w:t xml:space="preserve">0.54</w:t>
      </w:r>
    </w:p>
    <w:p>
      <w:pPr>
        <w:pStyle w:val="BodyText"/>
      </w:pPr>
      <w:r>
        <w:t xml:space="preserve">4 weeks</w:t>
      </w:r>
    </w:p>
    <w:p>
      <w:pPr>
        <w:pStyle w:val="BodyText"/>
      </w:pPr>
      <w:r>
        <w:t xml:space="preserve">0.83</w:t>
      </w:r>
    </w:p>
    <w:p>
      <w:pPr>
        <w:pStyle w:val="BodyText"/>
      </w:pPr>
      <w:r>
        <w:t xml:space="preserve">0.64</w:t>
      </w:r>
    </w:p>
    <w:p>
      <w:pPr>
        <w:pStyle w:val="BodyText"/>
      </w:pPr>
      <w:r>
        <w:t xml:space="preserve">0.82</w:t>
      </w:r>
    </w:p>
    <w:p>
      <w:pPr>
        <w:pStyle w:val="BodyText"/>
      </w:pPr>
      <w:r>
        <w:t xml:space="preserve">0.62</w:t>
      </w:r>
    </w:p>
    <w:p>
      <w:pPr>
        <w:pStyle w:val="BodyText"/>
      </w:pPr>
      <w:r>
        <w:t xml:space="preserve">We considered alternative methods for creating ensembles from the participating forecasts, using either a mean or median to combine either weighted or unweighted forecasts (table 1). Across locations we observed that the median outperformed the mean across all one through four week horizons and both cases and death targets, for all but cases at the 1 week horizon. This held regardless of whether the component forecasts were weighted or unweighted by their individual past performance. Between methods of combination, weighting made little difference to the performance of the median ensemble, but slightly improved performance of the mean ensemble.</w:t>
      </w:r>
    </w:p>
    <w:bookmarkEnd w:id="30"/>
    <w:bookmarkStart w:id="135" w:name="discussion"/>
    <w:p>
      <w:pPr>
        <w:pStyle w:val="Heading1"/>
      </w:pPr>
      <w:r>
        <w:t xml:space="preserve">Discussion</w:t>
      </w:r>
    </w:p>
    <w:p>
      <w:pPr>
        <w:pStyle w:val="FirstParagraph"/>
      </w:pPr>
      <w:r>
        <w:t xml:space="preserve">We collated 12 months of forecasts of COVID-19 cases and deaths across 32 countries in Europe, collecting from multiple independent teams and using a principled approach to standardising both forecast targets and the uncertainty around predictions. We combined these into an ensemble forecast and compared the relative performance of forecasts among models, finding that the ensemble forecasts produced among the most consistent predictive performance across countries and horizons over time compared to any individual model.</w:t>
      </w:r>
    </w:p>
    <w:p>
      <w:pPr>
        <w:pStyle w:val="BodyText"/>
      </w:pPr>
      <w:r>
        <w:t xml:space="preserve">Our results support previous findings that ensemble forecasts are or are near the best performing models with respect to error and appropriate coverage of uncertainty</w:t>
      </w:r>
      <w:r>
        <w:t xml:space="preserve"> </w:t>
      </w:r>
      <w:hyperlink w:anchor="ref-funkShorttermForecastsInform2020">
        <w:r>
          <w:rPr>
            <w:rStyle w:val="Hyperlink"/>
          </w:rPr>
          <w:t xml:space="preserve">[9]</w:t>
        </w:r>
      </w:hyperlink>
      <w:r>
        <w:t xml:space="preserve">,</w:t>
      </w:r>
      <w:r>
        <w:t xml:space="preserve"> </w:t>
      </w:r>
      <w:hyperlink w:anchor="Xc8963ac7015ad6ac08b187c1a38cad49a07775b">
        <w:r>
          <w:rPr>
            <w:rStyle w:val="Hyperlink"/>
          </w:rPr>
          <w:t xml:space="preserve">[28]</w:t>
        </w:r>
      </w:hyperlink>
      <w:r>
        <w:t xml:space="preserve">,</w:t>
      </w:r>
      <w:r>
        <w:t xml:space="preserve"> </w:t>
      </w:r>
      <w:hyperlink w:anchor="ref-viboudRAPIDDEbolaForecasting2018">
        <w:r>
          <w:rPr>
            <w:rStyle w:val="Hyperlink"/>
          </w:rPr>
          <w:t xml:space="preserve">[13]</w:t>
        </w:r>
      </w:hyperlink>
      <w:r>
        <w:t xml:space="preserve">. While the ensemble was consistently high performing, it was not strictly dominant across all forecast targets, with others also seeing this in comparable studies of COVID-19 forecasts</w:t>
      </w:r>
      <w:r>
        <w:t xml:space="preserve"> </w:t>
      </w:r>
      <w:hyperlink w:anchor="Xd14d2324531eaa93f7c847f3a26de8400e85aab">
        <w:r>
          <w:rPr>
            <w:rStyle w:val="Hyperlink"/>
          </w:rPr>
          <w:t xml:space="preserve">[8]</w:t>
        </w:r>
      </w:hyperlink>
      <w:r>
        <w:t xml:space="preserve">,</w:t>
      </w:r>
      <w:r>
        <w:t xml:space="preserve"> </w:t>
      </w:r>
      <w:hyperlink w:anchor="X43c8ecfe4d226d9d3c0e5c324d06eaece2138f5">
        <w:r>
          <w:rPr>
            <w:rStyle w:val="Hyperlink"/>
          </w:rPr>
          <w:t xml:space="preserve">[34]</w:t>
        </w:r>
      </w:hyperlink>
      <w:r>
        <w:t xml:space="preserve">. Our finding suggests the usefulness of an ensemble as a robust summary when forecasting across many spatio-temporal targets, without replacing the importance of communicating the full range of model predictions.</w:t>
      </w:r>
    </w:p>
    <w:p>
      <w:pPr>
        <w:pStyle w:val="BodyText"/>
      </w:pPr>
      <w:r>
        <w:t xml:space="preserve">We identified the adaptability of an ensemble forecast to changing conditions as a particular benefit from applying our approach to the COVID-19 outbreak in Europe. As epidemic dynamics became increasingly heterogeneous, the forecasting performance of any single model over time and across multiple countries became at least partly dependent on the ability, speed, and precision with which it could adapt to new conditions for each forecast target. This variability in the relative performance of models over time makes using an ensemble, balancing across all models, particularly relevant in rapidly changing epidemic conditions.</w:t>
      </w:r>
    </w:p>
    <w:p>
      <w:pPr>
        <w:pStyle w:val="BodyText"/>
      </w:pPr>
      <w:r>
        <w:t xml:space="preserve">In particular, our results suggest the limited value of reporting case forecasts further into the future. Previous work has similarly found rapidly declining performance for case forecasts with increasing horizon</w:t>
      </w:r>
      <w:r>
        <w:t xml:space="preserve"> </w:t>
      </w:r>
      <w:hyperlink w:anchor="Xc8963ac7015ad6ac08b187c1a38cad49a07775b">
        <w:r>
          <w:rPr>
            <w:rStyle w:val="Hyperlink"/>
          </w:rPr>
          <w:t xml:space="preserve">[28]</w:t>
        </w:r>
      </w:hyperlink>
      <w:r>
        <w:t xml:space="preserve">,</w:t>
      </w:r>
      <w:r>
        <w:t xml:space="preserve"> </w:t>
      </w:r>
      <w:hyperlink w:anchor="ref-castroTurningPointEnd2020">
        <w:r>
          <w:rPr>
            <w:rStyle w:val="Hyperlink"/>
          </w:rPr>
          <w:t xml:space="preserve">[35]</w:t>
        </w:r>
      </w:hyperlink>
      <w:r>
        <w:t xml:space="preserve">. COVID-19 has a typical serial interval of less than a week, which implies that case forecasts of more than two weeks can only hold if rates of transmission and detection remain predictable over the entire period. In our study’s context, this would be a strong assumption with many instances of rapidly changing policies and individual behaviour observed over the period.</w:t>
      </w:r>
    </w:p>
    <w:p>
      <w:pPr>
        <w:pStyle w:val="BodyText"/>
      </w:pPr>
      <w:r>
        <w:t xml:space="preserve">In contrast, our results highlight the more stable performance of death forecasts over lengthening time horizons. Specifically, we found the ensemble in this study continued to outperform both other models and the baseline at up to four weeks ahead. In general, previous work has found death forecasts perform well with up to six weeks lead time</w:t>
      </w:r>
      <w:r>
        <w:t xml:space="preserve"> </w:t>
      </w:r>
      <w:hyperlink w:anchor="Xa32ba5cfc2291f8b7f2b15f4351bbdd13a37517">
        <w:r>
          <w:rPr>
            <w:rStyle w:val="Hyperlink"/>
          </w:rPr>
          <w:t xml:space="preserve">[36]</w:t>
        </w:r>
      </w:hyperlink>
      <w:r>
        <w:t xml:space="preserve">. We could interpret this as due to the longer time lag between infection and death</w:t>
      </w:r>
      <w:r>
        <w:t xml:space="preserve"> </w:t>
      </w:r>
      <w:hyperlink w:anchor="ref-jinLagDailyReported2021">
        <w:r>
          <w:rPr>
            <w:rStyle w:val="Hyperlink"/>
          </w:rPr>
          <w:t xml:space="preserve">[37]</w:t>
        </w:r>
      </w:hyperlink>
      <w:r>
        <w:t xml:space="preserve">, and higher consistency of reporting in surveillance data</w:t>
      </w:r>
      <w:r>
        <w:t xml:space="preserve"> </w:t>
      </w:r>
      <w:hyperlink w:anchor="ref-catalaRobustEstimationDiagnostic2021">
        <w:r>
          <w:rPr>
            <w:rStyle w:val="Hyperlink"/>
          </w:rPr>
          <w:t xml:space="preserve">[38]</w:t>
        </w:r>
      </w:hyperlink>
      <w:r>
        <w:t xml:space="preserve">, which allow forecasters to incorporate the effect of changes in transmission. Additionally, the performance of trend-based forecasts may have benefited from the slower changes to trends in incident deaths caused by increasing vaccination rates.</w:t>
      </w:r>
    </w:p>
    <w:p>
      <w:pPr>
        <w:pStyle w:val="BodyText"/>
      </w:pPr>
      <w:r>
        <w:t xml:space="preserve">When exploring variations in ensemble methods, we found that the choice of simple mean or median had the most consistent impact on performance, regardless of the method of weighting. Other work has supported the importance of the median in providing a stable forecast that better accounts for outliers than the mean</w:t>
      </w:r>
      <w:r>
        <w:t xml:space="preserve"> </w:t>
      </w:r>
      <w:hyperlink w:anchor="X43c8ecfe4d226d9d3c0e5c324d06eaece2138f5">
        <w:r>
          <w:rPr>
            <w:rStyle w:val="Hyperlink"/>
          </w:rPr>
          <w:t xml:space="preserve">[34]</w:t>
        </w:r>
      </w:hyperlink>
      <w:r>
        <w:t xml:space="preserve">. However, our results did not show a strong performance benefit for any one methodological choice, joining the existing mixed evidence for any optimal ensemble method for combining short term probabilistic infectious disease forecasts. In similar analyses of US COVID-19 forecasts many methods of combination have performed competitively, including the simple mean and weighted approaches outperforming unweighted or median methods</w:t>
      </w:r>
      <w:r>
        <w:t xml:space="preserve"> </w:t>
      </w:r>
      <w:hyperlink w:anchor="X1980eff6c3109b81e73f0ab65d20fc92f139c2a">
        <w:r>
          <w:rPr>
            <w:rStyle w:val="Hyperlink"/>
          </w:rPr>
          <w:t xml:space="preserve">[30]</w:t>
        </w:r>
      </w:hyperlink>
      <w:r>
        <w:t xml:space="preserve">. This contrasts with later analyses finding weighted methods to give similar performance to a median average</w:t>
      </w:r>
      <w:r>
        <w:t xml:space="preserve"> </w:t>
      </w:r>
      <w:hyperlink w:anchor="ref-rayEnsembleForecastsCoronavirus2020e">
        <w:r>
          <w:rPr>
            <w:rStyle w:val="Hyperlink"/>
          </w:rPr>
          <w:t xml:space="preserve">[7]</w:t>
        </w:r>
      </w:hyperlink>
      <w:r>
        <w:t xml:space="preserve">,</w:t>
      </w:r>
      <w:r>
        <w:t xml:space="preserve"> </w:t>
      </w:r>
      <w:hyperlink w:anchor="X43c8ecfe4d226d9d3c0e5c324d06eaece2138f5">
        <w:r>
          <w:rPr>
            <w:rStyle w:val="Hyperlink"/>
          </w:rPr>
          <w:t xml:space="preserve">[34]</w:t>
        </w:r>
      </w:hyperlink>
      <w:r>
        <w:t xml:space="preserve">. We can partly explain this inconsistency if performance of each method depends on the outcome being predicted (cases, deaths), its count (incident, cumulative) and absolute level, the changing disease dynamics, and the varying quality and quantity of forecasting teams over time.</w:t>
      </w:r>
    </w:p>
    <w:p>
      <w:pPr>
        <w:pStyle w:val="BodyText"/>
      </w:pPr>
      <w:r>
        <w:t xml:space="preserve">We also identified benefits of our approach beyond the results of this analysis. Open access to visualised forecasts and data is useful for both academics and the public in an emergency setting when forecasts can influence individual to international actions that change epidemic dynamics</w:t>
      </w:r>
      <w:r>
        <w:t xml:space="preserve"> </w:t>
      </w:r>
      <w:hyperlink w:anchor="ref-basshuysenThreeWaysWhich2021">
        <w:r>
          <w:rPr>
            <w:rStyle w:val="Hyperlink"/>
          </w:rPr>
          <w:t xml:space="preserve">[1]</w:t>
        </w:r>
      </w:hyperlink>
      <w:r>
        <w:t xml:space="preserve">. Existing participatory modelling efforts for COVID-19 have been useful for policy communication</w:t>
      </w:r>
      <w:r>
        <w:t xml:space="preserve"> </w:t>
      </w:r>
      <w:hyperlink w:anchor="ref-cdcCoronavirusDisease20192020">
        <w:r>
          <w:rPr>
            <w:rStyle w:val="Hyperlink"/>
          </w:rPr>
          <w:t xml:space="preserve">[5]</w:t>
        </w:r>
      </w:hyperlink>
      <w:r>
        <w:t xml:space="preserve">, while multi-country efforts have included only single models adapted to country-specific parameters</w:t>
      </w:r>
      <w:r>
        <w:t xml:space="preserve"> </w:t>
      </w:r>
      <w:hyperlink w:anchor="ref-aguasModellingCOVID19Pandemic2020">
        <w:r>
          <w:rPr>
            <w:rStyle w:val="Hyperlink"/>
          </w:rPr>
          <w:t xml:space="preserve">[39]</w:t>
        </w:r>
      </w:hyperlink>
      <w:r>
        <w:t xml:space="preserve">,</w:t>
      </w:r>
      <w:r>
        <w:t xml:space="preserve"> </w:t>
      </w:r>
      <w:hyperlink w:anchor="Xbb2312c0d694b25f5b80aa129c32108d7574e42">
        <w:r>
          <w:rPr>
            <w:rStyle w:val="Hyperlink"/>
          </w:rPr>
          <w:t xml:space="preserve">[40]</w:t>
        </w:r>
      </w:hyperlink>
      <w:r>
        <w:t xml:space="preserve">,</w:t>
      </w:r>
      <w:r>
        <w:t xml:space="preserve"> </w:t>
      </w:r>
      <w:hyperlink w:anchor="ref-agostoMonitoringCOVID19Contagion2021">
        <w:r>
          <w:rPr>
            <w:rStyle w:val="Hyperlink"/>
          </w:rPr>
          <w:t xml:space="preserve">[41]</w:t>
        </w:r>
      </w:hyperlink>
      <w:r>
        <w:t xml:space="preserve">. By expanding participation to many modelling teams, our work can create robust ensemble forecasts across Europe while allowing comparison across forecasts built with different interpretations of current data, on a like for like scale in real time. At the same time, collating time-stamped predictions ensures that we can test true out-of-sample performance of models and avoid retrospective claims of performance. Testing the limits of forecasting ability with these comparisons forms an important part of communicating any model-based prediction to decision makers.</w:t>
      </w:r>
    </w:p>
    <w:p>
      <w:pPr>
        <w:pStyle w:val="BodyText"/>
      </w:pPr>
      <w:r>
        <w:t xml:space="preserve">We noted several limitations in our approach to assessing the relative performance of an ensemble among forecast models. Our results are the outcome of evaluating forecasts against a specific performance metric and baseline, where multiple options for evaluation exist and the choice reflects the aim of the evaluation process. Here we have largely used the weighted interval score</w:t>
      </w:r>
      <w:r>
        <w:t xml:space="preserve"> </w:t>
      </w:r>
      <w:hyperlink w:anchor="ref-gneitingStrictlyProperScoring2007">
        <w:r>
          <w:rPr>
            <w:rStyle w:val="Hyperlink"/>
          </w:rPr>
          <w:t xml:space="preserve">[27]</w:t>
        </w:r>
      </w:hyperlink>
      <w:r>
        <w:t xml:space="preserve">, which attempts to balance the assessment of probabilistic forecast sharpness with over- and under-prediction. Alternative metrics serve different purposes. The log score would more strongly penalise a single erroneous forecast and might be more useful for a very conservative evaluation. Applying an equal level of tolerance to forecasts falling within some range of the observed data, or using only the absolute error of point forecasts, may be simpler metrics to communicate results to lay audiences</w:t>
      </w:r>
      <w:r>
        <w:t xml:space="preserve"> </w:t>
      </w:r>
      <w:hyperlink w:anchor="ref-reichReplyBracherScoring2019">
        <w:r>
          <w:rPr>
            <w:rStyle w:val="Hyperlink"/>
          </w:rPr>
          <w:t xml:space="preserve">[42]</w:t>
        </w:r>
      </w:hyperlink>
      <w:r>
        <w:t xml:space="preserve">,</w:t>
      </w:r>
      <w:r>
        <w:t xml:space="preserve"> </w:t>
      </w:r>
      <w:hyperlink w:anchor="Xfb403e0b4ff1eb940a41bfdd822f5987463418f">
        <w:r>
          <w:rPr>
            <w:rStyle w:val="Hyperlink"/>
          </w:rPr>
          <w:t xml:space="preserve">[26]</w:t>
        </w:r>
      </w:hyperlink>
      <w:r>
        <w:t xml:space="preserve">.</w:t>
      </w:r>
    </w:p>
    <w:p>
      <w:pPr>
        <w:pStyle w:val="BodyText"/>
      </w:pPr>
      <w:r>
        <w:t xml:space="preserve">We aimed to focus on comparing scores among the set of available models rather than exploring absolute forecast accuracy relative to observed data. To do this we applied a pairwise averaging method for the WIS, which also meant that we created scores that were comparable between models even when many forecasters contributed only partially across the matrix of forecast targets. However, the pairwise method has not been formally tested against simulated data and we have not independently investigated its accuracy. We then normalised these scores against the score of a flat-line forecast model for each target, but the choice of appropriate baseline for epidemic forecast models is not clear. For example, since epidemics are non-stationary and in theory follow an exponential growth and decay, an alternative baseline could have modelled a straight line on the log scale. The model used here is supported by previous work</w:t>
      </w:r>
      <w:r>
        <w:t xml:space="preserve"> </w:t>
      </w:r>
      <w:hyperlink w:anchor="Xc8963ac7015ad6ac08b187c1a38cad49a07775b">
        <w:r>
          <w:rPr>
            <w:rStyle w:val="Hyperlink"/>
          </w:rPr>
          <w:t xml:space="preserve">[28]</w:t>
        </w:r>
      </w:hyperlink>
      <w:r>
        <w:t xml:space="preserve">, and while previous evaluation in a similar context has suggested that choice of baseline affects relative performance in general</w:t>
      </w:r>
      <w:r>
        <w:t xml:space="preserve"> </w:t>
      </w:r>
      <w:hyperlink w:anchor="X1ea52653609a5915e94bc079c3ce91b3ad650b5">
        <w:r>
          <w:rPr>
            <w:rStyle w:val="Hyperlink"/>
          </w:rPr>
          <w:t xml:space="preserve">[43]</w:t>
        </w:r>
      </w:hyperlink>
      <w:r>
        <w:t xml:space="preserve">, we believe this does not substantively affect the specific result that ensembles outperform individual models. Further work could also consider how well our results compare when using an alternative baseline suitable for epidemics, for example an exponential growth model.</w:t>
      </w:r>
    </w:p>
    <w:p>
      <w:pPr>
        <w:pStyle w:val="BodyText"/>
      </w:pPr>
      <w:r>
        <w:t xml:space="preserve">Our results could have been influenced by the sample of contributing forecasts. We accepted all modelling teams’ participation and teams used a wide variety of methods, each with individual advantages and limitations. Meanwhile, teams may have changed their forecast methods, and entered and exited the hub over time. The ensemble therefore included forecasts based on models with changing assumptions each week, and we did not test how far the stability or methods of component forecasts influenced the resulting ensemble. This could be significant, for example during a time of low incidence, where including only compartmental models in an ensemble improved predictive performance relative to including forecasts from a wider variety of methods</w:t>
      </w:r>
      <w:r>
        <w:t xml:space="preserve"> </w:t>
      </w:r>
      <w:hyperlink w:anchor="X1980eff6c3109b81e73f0ab65d20fc92f139c2a">
        <w:r>
          <w:rPr>
            <w:rStyle w:val="Hyperlink"/>
          </w:rPr>
          <w:t xml:space="preserve">[30]</w:t>
        </w:r>
      </w:hyperlink>
      <w:r>
        <w:t xml:space="preserve">. However, the same study found the most consistent ensemble over time was that which included all forecasts regardless of method, with performance increasing with the number of forecast models, so our results are unlikely to have changed by excluding any contributing forecasts.</w:t>
      </w:r>
    </w:p>
    <w:p>
      <w:pPr>
        <w:pStyle w:val="BodyText"/>
      </w:pPr>
      <w:r>
        <w:t xml:space="preserve">Our assessment of forecast performance may have been inaccurate due to limitations in the observed data against which we evaluated forecasts. We sourced data from a globally aggregated database to maintain compatibility across 32 countries</w:t>
      </w:r>
      <w:r>
        <w:t xml:space="preserve"> </w:t>
      </w:r>
      <w:hyperlink w:anchor="ref-dongInteractiveWebbasedDashboard2020">
        <w:r>
          <w:rPr>
            <w:rStyle w:val="Hyperlink"/>
          </w:rPr>
          <w:t xml:space="preserve">[20]</w:t>
        </w:r>
      </w:hyperlink>
      <w:r>
        <w:t xml:space="preserve">. However, this made it difficult to identify the origin of lags and inconsistencies between national data streams, and to what extent these could bias forecasts for different targets. In particular we saw some real time data revised retrospectively, introducing bias in either direction where the data used to create forecasts was not the same as that used to evaluate it. We attempted to mitigate this using by using an automated process for determining data revisions, and excluding forecasts made at a time of missing, unreliable, or heavily revised data.</w:t>
      </w:r>
    </w:p>
    <w:p>
      <w:pPr>
        <w:pStyle w:val="BodyText"/>
      </w:pPr>
      <w:r>
        <w:t xml:space="preserve">We see additional scope to adapt the Hub format to the changing COVID-19 situation across Europe. We have extended the Forecast Hub infrastructure to include short term forecasts for hospitalisations with COVID-19, which is a challenging task due to limited data across the locations covered by the hub. As the policy focus shifts from immediate response to anticipating changes brought by vaccinations or the geographic spread of new variants</w:t>
      </w:r>
      <w:r>
        <w:t xml:space="preserve"> </w:t>
      </w:r>
      <w:hyperlink w:anchor="Xcbecc359757b9028e03d651ca1084f26c0679da">
        <w:r>
          <w:rPr>
            <w:rStyle w:val="Hyperlink"/>
          </w:rPr>
          <w:t xml:space="preserve">[44]</w:t>
        </w:r>
      </w:hyperlink>
      <w:r>
        <w:t xml:space="preserve">, we are also separately investigating models for longer term scenarios in addition to the short term forecasts in a similar framework to existing scenario modelling work in the US</w:t>
      </w:r>
      <w:r>
        <w:t xml:space="preserve"> </w:t>
      </w:r>
      <w:hyperlink w:anchor="ref-borcheringModelingFutureCOVID192021">
        <w:r>
          <w:rPr>
            <w:rStyle w:val="Hyperlink"/>
          </w:rPr>
          <w:t xml:space="preserve">[45]</w:t>
        </w:r>
      </w:hyperlink>
      <w:r>
        <w:t xml:space="preserve">.</w:t>
      </w:r>
    </w:p>
    <w:p>
      <w:pPr>
        <w:pStyle w:val="BodyText"/>
      </w:pPr>
      <w:r>
        <w:t xml:space="preserve">This study raises many further questions which could inform epidemic forecast modellers and users. The dataset created by the European Forecast Hub is an openly accessible, standardised, and extensively documented catalogue of real time forecasting work from a range of teams and models across Europe</w:t>
      </w:r>
      <w:r>
        <w:t xml:space="preserve"> </w:t>
      </w:r>
      <w:hyperlink w:anchor="X143c8ab6a43eafc6a1b6f87e6a6b2222845c6cd">
        <w:r>
          <w:rPr>
            <w:rStyle w:val="Hyperlink"/>
          </w:rPr>
          <w:t xml:space="preserve">[22]</w:t>
        </w:r>
      </w:hyperlink>
      <w:r>
        <w:t xml:space="preserve">, and we recommend its use for further research on forecast performance. In the code developed for this study we hope to provide a worked example of downloading and using both the forecasts and their evaluation scores.</w:t>
      </w:r>
    </w:p>
    <w:p>
      <w:pPr>
        <w:pStyle w:val="BodyText"/>
      </w:pPr>
      <w:r>
        <w:t xml:space="preserve">Most obviously, here we have identified the relative performance of an ensemble approach compared to individual models without exploring the absolute performance of forecasts in making accurate or useful predictions. In retrospect, we both collected and created several forecasts with substantial errors compared to observed data. Others have observed persistent limitations on the ability to forecast infectious disease outbreaks, due to the complexity of the system being modelled</w:t>
      </w:r>
      <w:r>
        <w:t xml:space="preserve"> </w:t>
      </w:r>
      <w:hyperlink w:anchor="X377fe7ff4603ccbfb6be7f58a84f068d7bf8ae0">
        <w:r>
          <w:rPr>
            <w:rStyle w:val="Hyperlink"/>
          </w:rPr>
          <w:t xml:space="preserve">[46]</w:t>
        </w:r>
      </w:hyperlink>
      <w:r>
        <w:t xml:space="preserve">,</w:t>
      </w:r>
      <w:r>
        <w:t xml:space="preserve"> </w:t>
      </w:r>
      <w:hyperlink w:anchor="ref-castroTurningPointEnd2020">
        <w:r>
          <w:rPr>
            <w:rStyle w:val="Hyperlink"/>
          </w:rPr>
          <w:t xml:space="preserve">[35]</w:t>
        </w:r>
      </w:hyperlink>
      <w:r>
        <w:t xml:space="preserve">,</w:t>
      </w:r>
      <w:r>
        <w:t xml:space="preserve"> </w:t>
      </w:r>
      <w:hyperlink w:anchor="Xd296f68d78ad523c879054e45a3025aeea01f9a">
        <w:r>
          <w:rPr>
            <w:rStyle w:val="Hyperlink"/>
          </w:rPr>
          <w:t xml:space="preserve">[47]</w:t>
        </w:r>
      </w:hyperlink>
      <w:r>
        <w:t xml:space="preserve"> </w:t>
      </w:r>
      <w:r>
        <w:t xml:space="preserve">and models’ sensitivity to both the basic and time-varying reproduction numbers</w:t>
      </w:r>
      <w:r>
        <w:t xml:space="preserve"> </w:t>
      </w:r>
      <w:hyperlink w:anchor="ref-viboudRAPIDDEbolaForecasting2018">
        <w:r>
          <w:rPr>
            <w:rStyle w:val="Hyperlink"/>
          </w:rPr>
          <w:t xml:space="preserve">[13]</w:t>
        </w:r>
      </w:hyperlink>
      <w:r>
        <w:t xml:space="preserve">,</w:t>
      </w:r>
      <w:r>
        <w:t xml:space="preserve"> </w:t>
      </w:r>
      <w:hyperlink w:anchor="ref-coriKeyDataOutbreak2017">
        <w:r>
          <w:rPr>
            <w:rStyle w:val="Hyperlink"/>
          </w:rPr>
          <w:t xml:space="preserve">[48]</w:t>
        </w:r>
      </w:hyperlink>
      <w:r>
        <w:t xml:space="preserve">,</w:t>
      </w:r>
      <w:r>
        <w:t xml:space="preserve"> </w:t>
      </w:r>
      <w:hyperlink w:anchor="ref-desaiRealtimeEpidemicForecasting2019">
        <w:r>
          <w:rPr>
            <w:rStyle w:val="Hyperlink"/>
          </w:rPr>
          <w:t xml:space="preserve">[49]</w:t>
        </w:r>
      </w:hyperlink>
      <w:r>
        <w:t xml:space="preserve">.</w:t>
      </w:r>
    </w:p>
    <w:p>
      <w:pPr>
        <w:pStyle w:val="BodyText"/>
      </w:pPr>
      <w:r>
        <w:t xml:space="preserve">Over the study period, we saw multiple fundamental changes in viral-, individual-, and population-level factors driving the transmission of COVID-19 across Europe. In early 2021, the introduction of vaccination started to change population-level associations between infections, cases, and deaths [</w:t>
      </w:r>
      <w:hyperlink w:anchor="Xd7934e4f2e7412bab1d32e487b0b992639550f0">
        <w:r>
          <w:rPr>
            <w:rStyle w:val="Hyperlink"/>
          </w:rPr>
          <w:t xml:space="preserve">[50]</w:t>
        </w:r>
      </w:hyperlink>
      <w:r>
        <w:t xml:space="preserve">, while the Delta variant emerged and became dominant in Europe</w:t>
      </w:r>
      <w:r>
        <w:t xml:space="preserve"> </w:t>
      </w:r>
      <w:hyperlink w:anchor="Xcec8835d712a9dc9cb970faea9480157a8bac2a">
        <w:r>
          <w:rPr>
            <w:rStyle w:val="Hyperlink"/>
          </w:rPr>
          <w:t xml:space="preserve">[51]</w:t>
        </w:r>
      </w:hyperlink>
      <w:r>
        <w:t xml:space="preserve">. Similarly from late 2021 we saw the interaction of individually waning immunity during the emergence and global spread of the Omicron variant</w:t>
      </w:r>
      <w:r>
        <w:t xml:space="preserve"> </w:t>
      </w:r>
      <w:hyperlink w:anchor="Xeda41576fd28c0b8ed4eb38a2744fb2418be433">
        <w:r>
          <w:rPr>
            <w:rStyle w:val="Hyperlink"/>
          </w:rPr>
          <w:t xml:space="preserve">[52]</w:t>
        </w:r>
      </w:hyperlink>
      <w:r>
        <w:t xml:space="preserve">. Meanwhile, neither the extent nor timing of these factors were uniform across European countries covered by the Forecast Hub</w:t>
      </w:r>
      <w:r>
        <w:t xml:space="preserve"> </w:t>
      </w:r>
      <w:hyperlink w:anchor="Xcbecc359757b9028e03d651ca1084f26c0679da">
        <w:r>
          <w:rPr>
            <w:rStyle w:val="Hyperlink"/>
          </w:rPr>
          <w:t xml:space="preserve">[44]</w:t>
        </w:r>
      </w:hyperlink>
      <w:r>
        <w:t xml:space="preserve">. Future work could explore the impact on forecast models of changing epidemiology at a broad spatial scale by combining analyses of trends and turning points in cases and deaths with forecast performance, or extending to include data on vaccination, variant, or policy changes over time.</w:t>
      </w:r>
    </w:p>
    <w:p>
      <w:pPr>
        <w:pStyle w:val="BodyText"/>
      </w:pPr>
      <w:r>
        <w:t xml:space="preserve">There is also a wide range of methods for combining forecasts which could improve performance of an ensemble or continue to demonstrate the value of a simple approach. This includes altering the inclusion criteria of forecast models based on different thresholds of past performance, excluding or including only forecasts that predict the lowest- and highest-values (trimming)</w:t>
      </w:r>
      <w:r>
        <w:t xml:space="preserve"> </w:t>
      </w:r>
      <w:hyperlink w:anchor="X1980eff6c3109b81e73f0ab65d20fc92f139c2a">
        <w:r>
          <w:rPr>
            <w:rStyle w:val="Hyperlink"/>
          </w:rPr>
          <w:t xml:space="preserve">[30]</w:t>
        </w:r>
      </w:hyperlink>
      <w:r>
        <w:t xml:space="preserve">, or using alternative weighting methods such as quantile regression averaging</w:t>
      </w:r>
      <w:r>
        <w:t xml:space="preserve"> </w:t>
      </w:r>
      <w:hyperlink w:anchor="ref-funkShorttermForecastsInform2020">
        <w:r>
          <w:rPr>
            <w:rStyle w:val="Hyperlink"/>
          </w:rPr>
          <w:t xml:space="preserve">[9]</w:t>
        </w:r>
      </w:hyperlink>
      <w:r>
        <w:t xml:space="preserve">. Exploring these questions would add to our understanding of real time performance, supporting and improving future forecasting efforts.</w:t>
      </w:r>
    </w:p>
    <w:p>
      <w:pPr>
        <w:pStyle w:val="BodyText"/>
      </w:pPr>
      <w:r>
        <w:t xml:space="preserve">For applied public health work, we recommend adapting and using our open-source infrastructure to standardise and improve epidemiological forecasts. The hub structure maximises the transparency and accuracy of real-time forecasts and can reduce reliance on individual models as a basis for action during an epidemic. The benefits of combining multiple models into an ensemble come from individual models’ wide variation in forecast performance across varying targets, and this is particularly true during emerging epidemics where forecasters vary in how quickly their models are able to adapt to new information. Setting up the infrastructure for this could be an important component to future epidemic and pandemic preparedness. As it is free to develop, highly modular, and well documented, the infrastructure we have developed in this project may make this easier and faster to do.</w:t>
      </w:r>
    </w:p>
    <w:p>
      <w:pPr>
        <w:pStyle w:val="BodyText"/>
      </w:pPr>
      <w:r>
        <w:t xml:space="preserve">In conclusion, we have shown that during a rapidly evolving epidemic spreading through multiple populations, an ensemble forecast performed highly consistently across a large matrix of forecast targets, typically outperforming the majority of its separate component models. In addition, we have demonstrated some limits to predictability, especially for case forecasts, while showing that ensemble methods based on past model performance were unable to reliably improve forecast performance. Our work constitutes a step towards both unifying COVID-19 forecasts and improving our understanding of them.</w:t>
      </w:r>
    </w:p>
    <w:bookmarkStart w:id="134" w:name="refs"/>
    <w:bookmarkStart w:id="32" w:name="ref-basshuysenThreeWaysWhich2021"/>
    <w:p>
      <w:pPr>
        <w:pStyle w:val="Bibliography"/>
      </w:pPr>
      <w:r>
        <w:t xml:space="preserve">[1]</w:t>
      </w:r>
      <w:r>
        <w:t xml:space="preserve"> </w:t>
      </w:r>
      <w:r>
        <w:t xml:space="preserve">	</w:t>
      </w:r>
      <w:r>
        <w:t xml:space="preserve">P. van Basshuysen, L. White, D. Khosrowi, and M. Frisch,</w:t>
      </w:r>
      <w:r>
        <w:t xml:space="preserve"> </w:t>
      </w:r>
      <w:r>
        <w:t xml:space="preserve">“Three</w:t>
      </w:r>
      <w:r>
        <w:t xml:space="preserve"> </w:t>
      </w:r>
      <w:r>
        <w:t xml:space="preserve">Ways</w:t>
      </w:r>
      <w:r>
        <w:t xml:space="preserve"> </w:t>
      </w:r>
      <w:r>
        <w:t xml:space="preserve">in</w:t>
      </w:r>
      <w:r>
        <w:t xml:space="preserve"> </w:t>
      </w:r>
      <w:r>
        <w:t xml:space="preserve">Which Pandemic Models May Perform</w:t>
      </w:r>
      <w:r>
        <w:t xml:space="preserve"> </w:t>
      </w:r>
      <w:r>
        <w:t xml:space="preserve">a</w:t>
      </w:r>
      <w:r>
        <w:t xml:space="preserve"> </w:t>
      </w:r>
      <w:r>
        <w:t xml:space="preserve">Pandemic</w:t>
      </w:r>
      <w:r>
        <w:t xml:space="preserve">,”</w:t>
      </w:r>
      <w:r>
        <w:t xml:space="preserve"> </w:t>
      </w:r>
      <w:r>
        <w:rPr>
          <w:iCs/>
          <w:i/>
        </w:rPr>
        <w:t xml:space="preserve">Erasmus Journal for Philosophy and Economics</w:t>
      </w:r>
      <w:r>
        <w:t xml:space="preserve">, vol. 14, no. 1, 1, pp. 110-127-110-127, Jul. 2021, doi:</w:t>
      </w:r>
      <w:r>
        <w:t xml:space="preserve"> </w:t>
      </w:r>
      <w:hyperlink r:id="rId31">
        <w:r>
          <w:rPr>
            <w:rStyle w:val="Hyperlink"/>
          </w:rPr>
          <w:t xml:space="preserve">10.23941/ejpe.v14i1.582</w:t>
        </w:r>
      </w:hyperlink>
      <w:r>
        <w:t xml:space="preserve">.</w:t>
      </w:r>
    </w:p>
    <w:bookmarkEnd w:id="32"/>
    <w:bookmarkStart w:id="34" w:name="X73740ba5ae1e48785becb158079538390cdac86"/>
    <w:p>
      <w:pPr>
        <w:pStyle w:val="Bibliography"/>
      </w:pPr>
      <w:r>
        <w:t xml:space="preserve">[2]</w:t>
      </w:r>
      <w:r>
        <w:t xml:space="preserve"> </w:t>
      </w:r>
      <w:r>
        <w:t xml:space="preserve">	</w:t>
      </w:r>
      <w:r>
        <w:t xml:space="preserve">J. Zelner, J. Riou, R. Etzioni, and A. Gelman,</w:t>
      </w:r>
      <w:r>
        <w:t xml:space="preserve"> </w:t>
      </w:r>
      <w:r>
        <w:t xml:space="preserve">“Accounting for uncertainty during a pandemic,”</w:t>
      </w:r>
      <w:r>
        <w:t xml:space="preserve"> </w:t>
      </w:r>
      <w:r>
        <w:rPr>
          <w:iCs/>
          <w:i/>
        </w:rPr>
        <w:t xml:space="preserve">PATTER</w:t>
      </w:r>
      <w:r>
        <w:t xml:space="preserve">, vol. 2, no. 8, Aug. 2021, doi:</w:t>
      </w:r>
      <w:r>
        <w:t xml:space="preserve"> </w:t>
      </w:r>
      <w:hyperlink r:id="rId33">
        <w:r>
          <w:rPr>
            <w:rStyle w:val="Hyperlink"/>
          </w:rPr>
          <w:t xml:space="preserve">10.1016/j.patter.2021.100310</w:t>
        </w:r>
      </w:hyperlink>
      <w:r>
        <w:t xml:space="preserve">.</w:t>
      </w:r>
    </w:p>
    <w:bookmarkEnd w:id="34"/>
    <w:bookmarkStart w:id="36" w:name="ref-jamesUseMisuseMathematical2021"/>
    <w:p>
      <w:pPr>
        <w:pStyle w:val="Bibliography"/>
      </w:pPr>
      <w:r>
        <w:t xml:space="preserve">[3]</w:t>
      </w:r>
      <w:r>
        <w:t xml:space="preserve"> </w:t>
      </w:r>
      <w:r>
        <w:t xml:space="preserve">	</w:t>
      </w:r>
      <w:r>
        <w:t xml:space="preserve">L. P. James, J. A. Salomon, C. O. Buckee, and N. A. Menzies,</w:t>
      </w:r>
      <w:r>
        <w:t xml:space="preserve"> </w:t>
      </w:r>
      <w:r>
        <w:t xml:space="preserve">“The</w:t>
      </w:r>
      <w:r>
        <w:t xml:space="preserve"> </w:t>
      </w:r>
      <w:r>
        <w:t xml:space="preserve">Use</w:t>
      </w:r>
      <w:r>
        <w:t xml:space="preserve"> </w:t>
      </w:r>
      <w:r>
        <w:t xml:space="preserve">and</w:t>
      </w:r>
      <w:r>
        <w:t xml:space="preserve"> </w:t>
      </w:r>
      <w:r>
        <w:t xml:space="preserve">Misuse</w:t>
      </w:r>
      <w:r>
        <w:t xml:space="preserve"> </w:t>
      </w:r>
      <w:r>
        <w:t xml:space="preserve">of</w:t>
      </w:r>
      <w:r>
        <w:t xml:space="preserve"> </w:t>
      </w:r>
      <w:r>
        <w:t xml:space="preserve">Mathematical Modeling</w:t>
      </w:r>
      <w:r>
        <w:t xml:space="preserve"> </w:t>
      </w:r>
      <w:r>
        <w:t xml:space="preserve">for</w:t>
      </w:r>
      <w:r>
        <w:t xml:space="preserve"> </w:t>
      </w:r>
      <w:r>
        <w:t xml:space="preserve">Infectious Disease Policymaking</w:t>
      </w:r>
      <w:r>
        <w:t xml:space="preserve">:</w:t>
      </w:r>
      <w:r>
        <w:t xml:space="preserve"> </w:t>
      </w:r>
      <w:r>
        <w:t xml:space="preserve">Lessons</w:t>
      </w:r>
      <w:r>
        <w:t xml:space="preserve"> </w:t>
      </w:r>
      <w:r>
        <w:t xml:space="preserve">for the</w:t>
      </w:r>
      <w:r>
        <w:t xml:space="preserve"> </w:t>
      </w:r>
      <w:r>
        <w:t xml:space="preserve">COVID-19 Pandemic</w:t>
      </w:r>
      <w:r>
        <w:t xml:space="preserve">,”</w:t>
      </w:r>
      <w:r>
        <w:t xml:space="preserve"> </w:t>
      </w:r>
      <w:r>
        <w:rPr>
          <w:iCs/>
          <w:i/>
        </w:rPr>
        <w:t xml:space="preserve">Med Decis Making</w:t>
      </w:r>
      <w:r>
        <w:t xml:space="preserve">, vol. 41, no. 4, pp. 379–385, May 2021, doi:</w:t>
      </w:r>
      <w:r>
        <w:t xml:space="preserve"> </w:t>
      </w:r>
      <w:hyperlink r:id="rId35">
        <w:r>
          <w:rPr>
            <w:rStyle w:val="Hyperlink"/>
          </w:rPr>
          <w:t xml:space="preserve">10.1177/0272989X21990391</w:t>
        </w:r>
      </w:hyperlink>
      <w:r>
        <w:t xml:space="preserve">.</w:t>
      </w:r>
    </w:p>
    <w:bookmarkEnd w:id="36"/>
    <w:bookmarkStart w:id="38" w:name="X18f5674be8732f75b4b702b614d5c156dfe729c"/>
    <w:p>
      <w:pPr>
        <w:pStyle w:val="Bibliography"/>
      </w:pPr>
      <w:r>
        <w:t xml:space="preserve">[4]</w:t>
      </w:r>
      <w:r>
        <w:t xml:space="preserve"> </w:t>
      </w:r>
      <w:r>
        <w:t xml:space="preserve">	</w:t>
      </w:r>
      <w:r>
        <w:t xml:space="preserve">N. G. Reich</w:t>
      </w:r>
      <w:r>
        <w:t xml:space="preserve"> </w:t>
      </w:r>
      <w:r>
        <w:rPr>
          <w:iCs/>
          <w:i/>
        </w:rPr>
        <w:t xml:space="preserve">et al.</w:t>
      </w:r>
      <w:r>
        <w:t xml:space="preserve">,</w:t>
      </w:r>
      <w:r>
        <w:t xml:space="preserve"> </w:t>
      </w:r>
      <w:r>
        <w:t xml:space="preserve">“A collaborative multiyear, multimodel assessment of seasonal influenza forecasting in the</w:t>
      </w:r>
      <w:r>
        <w:t xml:space="preserve"> </w:t>
      </w:r>
      <w:r>
        <w:t xml:space="preserve">United States</w:t>
      </w:r>
      <w:r>
        <w:t xml:space="preserve">,”</w:t>
      </w:r>
      <w:r>
        <w:t xml:space="preserve"> </w:t>
      </w:r>
      <w:r>
        <w:rPr>
          <w:iCs/>
          <w:i/>
        </w:rPr>
        <w:t xml:space="preserve">PNAS</w:t>
      </w:r>
      <w:r>
        <w:t xml:space="preserve">, vol. 116, no. 8, pp. 3146–3154, Feb. 2019, doi:</w:t>
      </w:r>
      <w:r>
        <w:t xml:space="preserve"> </w:t>
      </w:r>
      <w:hyperlink r:id="rId37">
        <w:r>
          <w:rPr>
            <w:rStyle w:val="Hyperlink"/>
          </w:rPr>
          <w:t xml:space="preserve">10.1073/pnas.1812594116</w:t>
        </w:r>
      </w:hyperlink>
      <w:r>
        <w:t xml:space="preserve">.</w:t>
      </w:r>
    </w:p>
    <w:bookmarkEnd w:id="38"/>
    <w:bookmarkStart w:id="40" w:name="ref-cdcCoronavirusDisease20192020"/>
    <w:p>
      <w:pPr>
        <w:pStyle w:val="Bibliography"/>
      </w:pPr>
      <w:r>
        <w:t xml:space="preserve">[5]</w:t>
      </w:r>
      <w:r>
        <w:t xml:space="preserve"> </w:t>
      </w:r>
      <w:r>
        <w:t xml:space="preserve">	</w:t>
      </w:r>
      <w:r>
        <w:t xml:space="preserve">CDC,</w:t>
      </w:r>
      <w:r>
        <w:t xml:space="preserve"> </w:t>
      </w:r>
      <w:r>
        <w:t xml:space="preserve">“Coronavirus</w:t>
      </w:r>
      <w:r>
        <w:t xml:space="preserve"> </w:t>
      </w:r>
      <w:r>
        <w:t xml:space="preserve">Disease</w:t>
      </w:r>
      <w:r>
        <w:t xml:space="preserve"> </w:t>
      </w:r>
      <w:r>
        <w:t xml:space="preserve">2019 (</w:t>
      </w:r>
      <w:r>
        <w:t xml:space="preserve">COVID-19</w:t>
      </w:r>
      <w:r>
        <w:t xml:space="preserve">),”</w:t>
      </w:r>
      <w:r>
        <w:t xml:space="preserve"> </w:t>
      </w:r>
      <w:r>
        <w:t xml:space="preserve">Feb. 11, 2020.</w:t>
      </w:r>
      <w:r>
        <w:t xml:space="preserve"> </w:t>
      </w:r>
      <w:hyperlink r:id="rId39">
        <w:r>
          <w:rPr>
            <w:rStyle w:val="Hyperlink"/>
          </w:rPr>
          <w:t xml:space="preserve">https://www.cdc.gov/coronavirus/2019-ncov/science/forecasting/forecasting.html</w:t>
        </w:r>
      </w:hyperlink>
      <w:r>
        <w:t xml:space="preserve"> </w:t>
      </w:r>
      <w:r>
        <w:t xml:space="preserve">(accessed Jan. 09, 2022).</w:t>
      </w:r>
    </w:p>
    <w:bookmarkEnd w:id="40"/>
    <w:bookmarkStart w:id="42" w:name="ref-cramerUnitedStatesCOVID192021"/>
    <w:p>
      <w:pPr>
        <w:pStyle w:val="Bibliography"/>
      </w:pPr>
      <w:r>
        <w:t xml:space="preserve">[6]</w:t>
      </w:r>
      <w:r>
        <w:t xml:space="preserve"> </w:t>
      </w:r>
      <w:r>
        <w:t xml:space="preserve">	</w:t>
      </w:r>
      <w:r>
        <w:t xml:space="preserve">E. Y. Cramer</w:t>
      </w:r>
      <w:r>
        <w:t xml:space="preserve"> </w:t>
      </w:r>
      <w:r>
        <w:rPr>
          <w:iCs/>
          <w:i/>
        </w:rPr>
        <w:t xml:space="preserve">et al.</w:t>
      </w:r>
      <w:r>
        <w:t xml:space="preserve">,</w:t>
      </w:r>
      <w:r>
        <w:t xml:space="preserve"> </w:t>
      </w:r>
      <w:r>
        <w:t xml:space="preserve">“The</w:t>
      </w:r>
      <w:r>
        <w:t xml:space="preserve"> </w:t>
      </w:r>
      <w:r>
        <w:t xml:space="preserve">United States COVID-19 Forecast Hub</w:t>
      </w:r>
      <w:r>
        <w:t xml:space="preserve"> </w:t>
      </w:r>
      <w:r>
        <w:t xml:space="preserve">dataset,”</w:t>
      </w:r>
      <w:r>
        <w:t xml:space="preserve"> </w:t>
      </w:r>
      <w:r>
        <w:t xml:space="preserve">p. 2021.11.04.21265886, Nov. 2021, doi:</w:t>
      </w:r>
      <w:r>
        <w:t xml:space="preserve"> </w:t>
      </w:r>
      <w:hyperlink r:id="rId41">
        <w:r>
          <w:rPr>
            <w:rStyle w:val="Hyperlink"/>
          </w:rPr>
          <w:t xml:space="preserve">10.1101/2021.11.04.21265886</w:t>
        </w:r>
      </w:hyperlink>
      <w:r>
        <w:t xml:space="preserve">.</w:t>
      </w:r>
    </w:p>
    <w:bookmarkEnd w:id="42"/>
    <w:bookmarkStart w:id="44" w:name="ref-rayEnsembleForecastsCoronavirus2020e"/>
    <w:p>
      <w:pPr>
        <w:pStyle w:val="Bibliography"/>
      </w:pPr>
      <w:r>
        <w:t xml:space="preserve">[7]</w:t>
      </w:r>
      <w:r>
        <w:t xml:space="preserve"> </w:t>
      </w:r>
      <w:r>
        <w:t xml:space="preserve">	</w:t>
      </w:r>
      <w:r>
        <w:t xml:space="preserve">E. L. Ray</w:t>
      </w:r>
      <w:r>
        <w:t xml:space="preserve"> </w:t>
      </w:r>
      <w:r>
        <w:rPr>
          <w:iCs/>
          <w:i/>
        </w:rPr>
        <w:t xml:space="preserve">et al.</w:t>
      </w:r>
      <w:r>
        <w:t xml:space="preserve">,</w:t>
      </w:r>
      <w:r>
        <w:t xml:space="preserve"> </w:t>
      </w:r>
      <w:r>
        <w:t xml:space="preserve">“Ensemble</w:t>
      </w:r>
      <w:r>
        <w:t xml:space="preserve"> </w:t>
      </w:r>
      <w:r>
        <w:t xml:space="preserve">Forecasts</w:t>
      </w:r>
      <w:r>
        <w:t xml:space="preserve"> </w:t>
      </w:r>
      <w:r>
        <w:t xml:space="preserve">of</w:t>
      </w:r>
      <w:r>
        <w:t xml:space="preserve"> </w:t>
      </w:r>
      <w:r>
        <w:t xml:space="preserve">Coronavirus Disease</w:t>
      </w:r>
      <w:r>
        <w:t xml:space="preserve"> </w:t>
      </w:r>
      <w:r>
        <w:t xml:space="preserve">2019 (</w:t>
      </w:r>
      <w:r>
        <w:t xml:space="preserve">COVID-19</w:t>
      </w:r>
      <w:r>
        <w:t xml:space="preserve">) in the</w:t>
      </w:r>
      <w:r>
        <w:t xml:space="preserve"> </w:t>
      </w:r>
      <w:r>
        <w:t xml:space="preserve">U</w:t>
      </w:r>
      <w:r>
        <w:t xml:space="preserve">.</w:t>
      </w:r>
      <w:r>
        <w:t xml:space="preserve">S</w:t>
      </w:r>
      <w:r>
        <w:t xml:space="preserve">.”</w:t>
      </w:r>
      <w:r>
        <w:t xml:space="preserve"> </w:t>
      </w:r>
      <w:r>
        <w:t xml:space="preserve">p. 2020.08.19.20177493, Aug. 2020, doi:</w:t>
      </w:r>
      <w:r>
        <w:t xml:space="preserve"> </w:t>
      </w:r>
      <w:hyperlink r:id="rId43">
        <w:r>
          <w:rPr>
            <w:rStyle w:val="Hyperlink"/>
          </w:rPr>
          <w:t xml:space="preserve">10.1101/2020.08.19.20177493</w:t>
        </w:r>
      </w:hyperlink>
      <w:r>
        <w:t xml:space="preserve">.</w:t>
      </w:r>
    </w:p>
    <w:bookmarkEnd w:id="44"/>
    <w:bookmarkStart w:id="46" w:name="Xd14d2324531eaa93f7c847f3a26de8400e85aab"/>
    <w:p>
      <w:pPr>
        <w:pStyle w:val="Bibliography"/>
      </w:pPr>
      <w:r>
        <w:t xml:space="preserve">[8]</w:t>
      </w:r>
      <w:r>
        <w:t xml:space="preserve"> </w:t>
      </w:r>
      <w:r>
        <w:t xml:space="preserve">	</w:t>
      </w:r>
      <w:r>
        <w:t xml:space="preserve">J. Bracher</w:t>
      </w:r>
      <w:r>
        <w:t xml:space="preserve"> </w:t>
      </w:r>
      <w:r>
        <w:rPr>
          <w:iCs/>
          <w:i/>
        </w:rPr>
        <w:t xml:space="preserve">et al.</w:t>
      </w:r>
      <w:r>
        <w:t xml:space="preserve">,</w:t>
      </w:r>
      <w:r>
        <w:t xml:space="preserve"> </w:t>
      </w:r>
      <w:r>
        <w:t xml:space="preserve">“A pre-registered short-term forecasting study of</w:t>
      </w:r>
      <w:r>
        <w:t xml:space="preserve"> </w:t>
      </w:r>
      <w:r>
        <w:t xml:space="preserve">COVID-19</w:t>
      </w:r>
      <w:r>
        <w:t xml:space="preserve"> </w:t>
      </w:r>
      <w:r>
        <w:t xml:space="preserve">in</w:t>
      </w:r>
      <w:r>
        <w:t xml:space="preserve"> </w:t>
      </w:r>
      <w:r>
        <w:t xml:space="preserve">Germany</w:t>
      </w:r>
      <w:r>
        <w:t xml:space="preserve"> </w:t>
      </w:r>
      <w:r>
        <w:t xml:space="preserve">and</w:t>
      </w:r>
      <w:r>
        <w:t xml:space="preserve"> </w:t>
      </w:r>
      <w:r>
        <w:t xml:space="preserve">Poland</w:t>
      </w:r>
      <w:r>
        <w:t xml:space="preserve"> </w:t>
      </w:r>
      <w:r>
        <w:t xml:space="preserve">during the second wave,”</w:t>
      </w:r>
      <w:r>
        <w:t xml:space="preserve"> </w:t>
      </w:r>
      <w:r>
        <w:rPr>
          <w:iCs/>
          <w:i/>
        </w:rPr>
        <w:t xml:space="preserve">Nat Commun</w:t>
      </w:r>
      <w:r>
        <w:t xml:space="preserve">, vol. 12, no. 1, 1, p. 5173, Aug. 2021, doi:</w:t>
      </w:r>
      <w:r>
        <w:t xml:space="preserve"> </w:t>
      </w:r>
      <w:hyperlink r:id="rId45">
        <w:r>
          <w:rPr>
            <w:rStyle w:val="Hyperlink"/>
          </w:rPr>
          <w:t xml:space="preserve">10.1038/s41467-021-25207-0</w:t>
        </w:r>
      </w:hyperlink>
      <w:r>
        <w:t xml:space="preserve">.</w:t>
      </w:r>
    </w:p>
    <w:bookmarkEnd w:id="46"/>
    <w:bookmarkStart w:id="48" w:name="ref-funkShorttermForecastsInform2020"/>
    <w:p>
      <w:pPr>
        <w:pStyle w:val="Bibliography"/>
      </w:pPr>
      <w:r>
        <w:t xml:space="preserve">[9]</w:t>
      </w:r>
      <w:r>
        <w:t xml:space="preserve"> </w:t>
      </w:r>
      <w:r>
        <w:t xml:space="preserve">	</w:t>
      </w:r>
      <w:r>
        <w:t xml:space="preserve">S. Funk</w:t>
      </w:r>
      <w:r>
        <w:t xml:space="preserve"> </w:t>
      </w:r>
      <w:r>
        <w:rPr>
          <w:iCs/>
          <w:i/>
        </w:rPr>
        <w:t xml:space="preserve">et al.</w:t>
      </w:r>
      <w:r>
        <w:t xml:space="preserve">,</w:t>
      </w:r>
      <w:r>
        <w:t xml:space="preserve"> </w:t>
      </w:r>
      <w:r>
        <w:t xml:space="preserve">“Short-term forecasts to inform the response to the</w:t>
      </w:r>
      <w:r>
        <w:t xml:space="preserve"> </w:t>
      </w:r>
      <w:r>
        <w:t xml:space="preserve">Covid-19</w:t>
      </w:r>
      <w:r>
        <w:t xml:space="preserve"> </w:t>
      </w:r>
      <w:r>
        <w:t xml:space="preserve">epidemic in the</w:t>
      </w:r>
      <w:r>
        <w:t xml:space="preserve"> </w:t>
      </w:r>
      <w:r>
        <w:t xml:space="preserve">UK</w:t>
      </w:r>
      <w:r>
        <w:t xml:space="preserve">,”</w:t>
      </w:r>
      <w:r>
        <w:t xml:space="preserve"> </w:t>
      </w:r>
      <w:r>
        <w:rPr>
          <w:iCs/>
          <w:i/>
        </w:rPr>
        <w:t xml:space="preserve">medRxiv</w:t>
      </w:r>
      <w:r>
        <w:t xml:space="preserve">, p. 2020.11.11.20220962, Nov. 2020, doi:</w:t>
      </w:r>
      <w:r>
        <w:t xml:space="preserve"> </w:t>
      </w:r>
      <w:hyperlink r:id="rId47">
        <w:r>
          <w:rPr>
            <w:rStyle w:val="Hyperlink"/>
          </w:rPr>
          <w:t xml:space="preserve">10.1101/2020.11.11.20220962</w:t>
        </w:r>
      </w:hyperlink>
      <w:r>
        <w:t xml:space="preserve">.</w:t>
      </w:r>
    </w:p>
    <w:bookmarkEnd w:id="48"/>
    <w:bookmarkStart w:id="50" w:name="Xc1b63187e868990bbebc9badd48b222d0979204"/>
    <w:p>
      <w:pPr>
        <w:pStyle w:val="Bibliography"/>
      </w:pPr>
      <w:r>
        <w:t xml:space="preserve">[10]</w:t>
      </w:r>
      <w:r>
        <w:t xml:space="preserve"> </w:t>
      </w:r>
      <w:r>
        <w:t xml:space="preserve">	</w:t>
      </w:r>
      <w:r>
        <w:t xml:space="preserve">M. Bicher</w:t>
      </w:r>
      <w:r>
        <w:t xml:space="preserve"> </w:t>
      </w:r>
      <w:r>
        <w:rPr>
          <w:iCs/>
          <w:i/>
        </w:rPr>
        <w:t xml:space="preserve">et al.</w:t>
      </w:r>
      <w:r>
        <w:t xml:space="preserve">,</w:t>
      </w:r>
      <w:r>
        <w:t xml:space="preserve"> </w:t>
      </w:r>
      <w:r>
        <w:t xml:space="preserve">“Supporting</w:t>
      </w:r>
      <w:r>
        <w:t xml:space="preserve"> </w:t>
      </w:r>
      <w:r>
        <w:t xml:space="preserve">COVID-19 Policy-Making</w:t>
      </w:r>
      <w:r>
        <w:t xml:space="preserve"> </w:t>
      </w:r>
      <w:r>
        <w:t xml:space="preserve">with a</w:t>
      </w:r>
      <w:r>
        <w:t xml:space="preserve"> </w:t>
      </w:r>
      <w:r>
        <w:t xml:space="preserve">Predictive Epidemiological Multi-Model Warning System</w:t>
      </w:r>
      <w:r>
        <w:t xml:space="preserve">,”</w:t>
      </w:r>
      <w:r>
        <w:t xml:space="preserve"> </w:t>
      </w:r>
      <w:r>
        <w:rPr>
          <w:iCs/>
          <w:i/>
        </w:rPr>
        <w:t xml:space="preserve">medRxiv</w:t>
      </w:r>
      <w:r>
        <w:t xml:space="preserve">, p. 2020.10.18.20214767, Apr. 2021, doi:</w:t>
      </w:r>
      <w:r>
        <w:t xml:space="preserve"> </w:t>
      </w:r>
      <w:hyperlink r:id="rId49">
        <w:r>
          <w:rPr>
            <w:rStyle w:val="Hyperlink"/>
          </w:rPr>
          <w:t xml:space="preserve">10.1101/2020.10.18.20214767</w:t>
        </w:r>
      </w:hyperlink>
      <w:r>
        <w:t xml:space="preserve">.</w:t>
      </w:r>
    </w:p>
    <w:bookmarkEnd w:id="50"/>
    <w:bookmarkStart w:id="52" w:name="ref-reichAccuracyRealtimeMultimodel2019"/>
    <w:p>
      <w:pPr>
        <w:pStyle w:val="Bibliography"/>
      </w:pPr>
      <w:r>
        <w:t xml:space="preserve">[11]</w:t>
      </w:r>
      <w:r>
        <w:t xml:space="preserve"> </w:t>
      </w:r>
      <w:r>
        <w:t xml:space="preserve">	</w:t>
      </w:r>
      <w:r>
        <w:t xml:space="preserve">N. G. Reich</w:t>
      </w:r>
      <w:r>
        <w:t xml:space="preserve"> </w:t>
      </w:r>
      <w:r>
        <w:rPr>
          <w:iCs/>
          <w:i/>
        </w:rPr>
        <w:t xml:space="preserve">et al.</w:t>
      </w:r>
      <w:r>
        <w:t xml:space="preserve">,</w:t>
      </w:r>
      <w:r>
        <w:t xml:space="preserve"> </w:t>
      </w:r>
      <w:r>
        <w:t xml:space="preserve">“Accuracy of real-time multi-model ensemble forecasts for seasonal influenza in the</w:t>
      </w:r>
      <w:r>
        <w:t xml:space="preserve"> </w:t>
      </w:r>
      <w:r>
        <w:t xml:space="preserve">U</w:t>
      </w:r>
      <w:r>
        <w:t xml:space="preserve">.</w:t>
      </w:r>
      <w:r>
        <w:t xml:space="preserve">S</w:t>
      </w:r>
      <w:r>
        <w:t xml:space="preserve">,”</w:t>
      </w:r>
      <w:r>
        <w:t xml:space="preserve"> </w:t>
      </w:r>
      <w:r>
        <w:rPr>
          <w:iCs/>
          <w:i/>
        </w:rPr>
        <w:t xml:space="preserve">PLoS Comput Biol</w:t>
      </w:r>
      <w:r>
        <w:t xml:space="preserve">, vol. 15, no. 11, p. e1007486, Nov. 2019, doi:</w:t>
      </w:r>
      <w:r>
        <w:t xml:space="preserve"> </w:t>
      </w:r>
      <w:hyperlink r:id="rId51">
        <w:r>
          <w:rPr>
            <w:rStyle w:val="Hyperlink"/>
          </w:rPr>
          <w:t xml:space="preserve">10.1371/journal.pcbi.1007486</w:t>
        </w:r>
      </w:hyperlink>
      <w:r>
        <w:t xml:space="preserve">.</w:t>
      </w:r>
    </w:p>
    <w:bookmarkEnd w:id="52"/>
    <w:bookmarkStart w:id="54" w:name="ref-johanssonOpenChallengeAdvance2019"/>
    <w:p>
      <w:pPr>
        <w:pStyle w:val="Bibliography"/>
      </w:pPr>
      <w:r>
        <w:t xml:space="preserve">[12]</w:t>
      </w:r>
      <w:r>
        <w:t xml:space="preserve"> </w:t>
      </w:r>
      <w:r>
        <w:t xml:space="preserve">	</w:t>
      </w:r>
      <w:r>
        <w:t xml:space="preserve">M. A. Johansson</w:t>
      </w:r>
      <w:r>
        <w:t xml:space="preserve"> </w:t>
      </w:r>
      <w:r>
        <w:rPr>
          <w:iCs/>
          <w:i/>
        </w:rPr>
        <w:t xml:space="preserve">et al.</w:t>
      </w:r>
      <w:r>
        <w:t xml:space="preserve">,</w:t>
      </w:r>
      <w:r>
        <w:t xml:space="preserve"> </w:t>
      </w:r>
      <w:r>
        <w:t xml:space="preserve">“An open challenge to advance probabilistic forecasting for dengue epidemics,”</w:t>
      </w:r>
      <w:r>
        <w:t xml:space="preserve"> </w:t>
      </w:r>
      <w:r>
        <w:rPr>
          <w:iCs/>
          <w:i/>
        </w:rPr>
        <w:t xml:space="preserve">PNAS</w:t>
      </w:r>
      <w:r>
        <w:t xml:space="preserve">, vol. 116, no. 48, pp. 24268–24274, Nov. 2019, doi:</w:t>
      </w:r>
      <w:r>
        <w:t xml:space="preserve"> </w:t>
      </w:r>
      <w:hyperlink r:id="rId53">
        <w:r>
          <w:rPr>
            <w:rStyle w:val="Hyperlink"/>
          </w:rPr>
          <w:t xml:space="preserve">10.1073/pnas.1909865116</w:t>
        </w:r>
      </w:hyperlink>
      <w:r>
        <w:t xml:space="preserve">.</w:t>
      </w:r>
    </w:p>
    <w:bookmarkEnd w:id="54"/>
    <w:bookmarkStart w:id="56" w:name="ref-viboudRAPIDDEbolaForecasting2018"/>
    <w:p>
      <w:pPr>
        <w:pStyle w:val="Bibliography"/>
      </w:pPr>
      <w:r>
        <w:t xml:space="preserve">[13]</w:t>
      </w:r>
      <w:r>
        <w:t xml:space="preserve"> </w:t>
      </w:r>
      <w:r>
        <w:t xml:space="preserve">	</w:t>
      </w:r>
      <w:r>
        <w:t xml:space="preserve">C. Viboud</w:t>
      </w:r>
      <w:r>
        <w:t xml:space="preserve"> </w:t>
      </w:r>
      <w:r>
        <w:rPr>
          <w:iCs/>
          <w:i/>
        </w:rPr>
        <w:t xml:space="preserve">et al.</w:t>
      </w:r>
      <w:r>
        <w:t xml:space="preserve">,</w:t>
      </w:r>
      <w:r>
        <w:t xml:space="preserve"> </w:t>
      </w:r>
      <w:r>
        <w:t xml:space="preserve">“The</w:t>
      </w:r>
      <w:r>
        <w:t xml:space="preserve"> </w:t>
      </w:r>
      <w:r>
        <w:t xml:space="preserve">RAPIDD</w:t>
      </w:r>
      <w:r>
        <w:t xml:space="preserve"> </w:t>
      </w:r>
      <w:r>
        <w:t xml:space="preserve">ebola forecasting challenge:</w:t>
      </w:r>
      <w:r>
        <w:t xml:space="preserve"> </w:t>
      </w:r>
      <w:r>
        <w:t xml:space="preserve">Synthesis</w:t>
      </w:r>
      <w:r>
        <w:t xml:space="preserve"> </w:t>
      </w:r>
      <w:r>
        <w:t xml:space="preserve">and lessons learnt,”</w:t>
      </w:r>
      <w:r>
        <w:t xml:space="preserve"> </w:t>
      </w:r>
      <w:r>
        <w:rPr>
          <w:iCs/>
          <w:i/>
        </w:rPr>
        <w:t xml:space="preserve">Epidemics</w:t>
      </w:r>
      <w:r>
        <w:t xml:space="preserve">, vol. 22, pp. 13–21, Mar. 2018, doi:</w:t>
      </w:r>
      <w:r>
        <w:t xml:space="preserve"> </w:t>
      </w:r>
      <w:hyperlink r:id="rId55">
        <w:r>
          <w:rPr>
            <w:rStyle w:val="Hyperlink"/>
          </w:rPr>
          <w:t xml:space="preserve">10.1016/j.epidem.2017.08.002</w:t>
        </w:r>
      </w:hyperlink>
      <w:r>
        <w:t xml:space="preserve">.</w:t>
      </w:r>
    </w:p>
    <w:bookmarkEnd w:id="56"/>
    <w:bookmarkStart w:id="58" w:name="ref-buizzaIntroductionSpecialIssue2019"/>
    <w:p>
      <w:pPr>
        <w:pStyle w:val="Bibliography"/>
      </w:pPr>
      <w:r>
        <w:t xml:space="preserve">[14]</w:t>
      </w:r>
      <w:r>
        <w:t xml:space="preserve"> </w:t>
      </w:r>
      <w:r>
        <w:t xml:space="preserve">	</w:t>
      </w:r>
      <w:r>
        <w:t xml:space="preserve">R. Buizza,</w:t>
      </w:r>
      <w:r>
        <w:t xml:space="preserve"> </w:t>
      </w:r>
      <w:r>
        <w:t xml:space="preserve">“Introduction to the special issue on</w:t>
      </w:r>
      <w:r>
        <w:t xml:space="preserve"> </w:t>
      </w:r>
      <w:r>
        <w:t xml:space="preserve">‘25 years of ensemble forecasting’</w:t>
      </w:r>
      <w:r>
        <w:t xml:space="preserve">,”</w:t>
      </w:r>
      <w:r>
        <w:t xml:space="preserve"> </w:t>
      </w:r>
      <w:r>
        <w:rPr>
          <w:iCs/>
          <w:i/>
        </w:rPr>
        <w:t xml:space="preserve">Quarterly Journal of the Royal Meteorological Society</w:t>
      </w:r>
      <w:r>
        <w:t xml:space="preserve">, vol. 145, no. S1, pp. 1–11, 2019, doi:</w:t>
      </w:r>
      <w:r>
        <w:t xml:space="preserve"> </w:t>
      </w:r>
      <w:hyperlink r:id="rId57">
        <w:r>
          <w:rPr>
            <w:rStyle w:val="Hyperlink"/>
          </w:rPr>
          <w:t xml:space="preserve">10.1002/qj.3370</w:t>
        </w:r>
      </w:hyperlink>
      <w:r>
        <w:t xml:space="preserve">.</w:t>
      </w:r>
    </w:p>
    <w:bookmarkEnd w:id="58"/>
    <w:bookmarkStart w:id="60" w:name="ref-moranEpidemicForecastingMessier2016"/>
    <w:p>
      <w:pPr>
        <w:pStyle w:val="Bibliography"/>
      </w:pPr>
      <w:r>
        <w:t xml:space="preserve">[15]</w:t>
      </w:r>
      <w:r>
        <w:t xml:space="preserve"> </w:t>
      </w:r>
      <w:r>
        <w:t xml:space="preserve">	</w:t>
      </w:r>
      <w:r>
        <w:t xml:space="preserve">K. R. Moran</w:t>
      </w:r>
      <w:r>
        <w:t xml:space="preserve"> </w:t>
      </w:r>
      <w:r>
        <w:rPr>
          <w:iCs/>
          <w:i/>
        </w:rPr>
        <w:t xml:space="preserve">et al.</w:t>
      </w:r>
      <w:r>
        <w:t xml:space="preserve">,</w:t>
      </w:r>
      <w:r>
        <w:t xml:space="preserve"> </w:t>
      </w:r>
      <w:r>
        <w:t xml:space="preserve">“Epidemic</w:t>
      </w:r>
      <w:r>
        <w:t xml:space="preserve"> </w:t>
      </w:r>
      <w:r>
        <w:t xml:space="preserve">Forecasting</w:t>
      </w:r>
      <w:r>
        <w:t xml:space="preserve"> </w:t>
      </w:r>
      <w:r>
        <w:t xml:space="preserve">is</w:t>
      </w:r>
      <w:r>
        <w:t xml:space="preserve"> </w:t>
      </w:r>
      <w:r>
        <w:t xml:space="preserve">Messier Than Weather Forecasting</w:t>
      </w:r>
      <w:r>
        <w:t xml:space="preserve">:</w:t>
      </w:r>
      <w:r>
        <w:t xml:space="preserve"> </w:t>
      </w:r>
      <w:r>
        <w:t xml:space="preserve">The Role</w:t>
      </w:r>
      <w:r>
        <w:t xml:space="preserve"> </w:t>
      </w:r>
      <w:r>
        <w:t xml:space="preserve">of</w:t>
      </w:r>
      <w:r>
        <w:t xml:space="preserve"> </w:t>
      </w:r>
      <w:r>
        <w:t xml:space="preserve">Human Behavior</w:t>
      </w:r>
      <w:r>
        <w:t xml:space="preserve"> </w:t>
      </w:r>
      <w:r>
        <w:t xml:space="preserve">and</w:t>
      </w:r>
      <w:r>
        <w:t xml:space="preserve"> </w:t>
      </w:r>
      <w:r>
        <w:t xml:space="preserve">Internet Data Streams</w:t>
      </w:r>
      <w:r>
        <w:t xml:space="preserve"> </w:t>
      </w:r>
      <w:r>
        <w:t xml:space="preserve">in</w:t>
      </w:r>
      <w:r>
        <w:t xml:space="preserve"> </w:t>
      </w:r>
      <w:r>
        <w:t xml:space="preserve">Epidemic Forecast</w:t>
      </w:r>
      <w:r>
        <w:t xml:space="preserve">,”</w:t>
      </w:r>
      <w:r>
        <w:t xml:space="preserve"> </w:t>
      </w:r>
      <w:r>
        <w:rPr>
          <w:iCs/>
          <w:i/>
        </w:rPr>
        <w:t xml:space="preserve">J Infect Dis</w:t>
      </w:r>
      <w:r>
        <w:t xml:space="preserve">, vol. 214, pp. S404–S408, Dec. 2016, doi:</w:t>
      </w:r>
      <w:r>
        <w:t xml:space="preserve"> </w:t>
      </w:r>
      <w:hyperlink r:id="rId59">
        <w:r>
          <w:rPr>
            <w:rStyle w:val="Hyperlink"/>
          </w:rPr>
          <w:t xml:space="preserve">10.1093/infdis/jiw375</w:t>
        </w:r>
      </w:hyperlink>
      <w:r>
        <w:t xml:space="preserve">.</w:t>
      </w:r>
    </w:p>
    <w:bookmarkEnd w:id="60"/>
    <w:bookmarkStart w:id="62" w:name="Xd23cf91425449ddbf1e6dda2c60a8019c1dc273"/>
    <w:p>
      <w:pPr>
        <w:pStyle w:val="Bibliography"/>
      </w:pPr>
      <w:r>
        <w:t xml:space="preserve">[16]</w:t>
      </w:r>
      <w:r>
        <w:t xml:space="preserve"> </w:t>
      </w:r>
      <w:r>
        <w:t xml:space="preserve">	</w:t>
      </w:r>
      <w:r>
        <w:t xml:space="preserve">European Covid-19 Forecast Hub,</w:t>
      </w:r>
      <w:r>
        <w:t xml:space="preserve"> </w:t>
      </w:r>
      <w:r>
        <w:rPr>
          <w:iCs/>
          <w:i/>
        </w:rPr>
        <w:t xml:space="preserve">European</w:t>
      </w:r>
      <w:r>
        <w:rPr>
          <w:iCs/>
          <w:i/>
        </w:rPr>
        <w:t xml:space="preserve"> </w:t>
      </w:r>
      <w:r>
        <w:rPr>
          <w:iCs/>
          <w:i/>
        </w:rPr>
        <w:t xml:space="preserve">COVID-19 Forecast Hub</w:t>
      </w:r>
      <w:r>
        <w:t xml:space="preserve">.</w:t>
      </w:r>
      <w:r>
        <w:t xml:space="preserve"> </w:t>
      </w:r>
      <w:r>
        <w:t xml:space="preserve">covid19-forecast-hub-europe</w:t>
      </w:r>
      <w:r>
        <w:t xml:space="preserve">, 2021.Available:</w:t>
      </w:r>
      <w:r>
        <w:t xml:space="preserve"> </w:t>
      </w:r>
      <w:hyperlink r:id="rId61">
        <w:r>
          <w:rPr>
            <w:rStyle w:val="Hyperlink"/>
          </w:rPr>
          <w:t xml:space="preserve">https://github.com/covid19-forecast-hub-europe/covid19-forecast-hub-europe</w:t>
        </w:r>
      </w:hyperlink>
    </w:p>
    <w:bookmarkEnd w:id="62"/>
    <w:bookmarkStart w:id="64" w:name="Xb49eaf8cd17e4d6f30462d802fd8b4f315a8029"/>
    <w:p>
      <w:pPr>
        <w:pStyle w:val="Bibliography"/>
      </w:pPr>
      <w:r>
        <w:t xml:space="preserve">[17]</w:t>
      </w:r>
      <w:r>
        <w:t xml:space="preserve"> </w:t>
      </w:r>
      <w:r>
        <w:t xml:space="preserve">	</w:t>
      </w:r>
      <w:r>
        <w:t xml:space="preserve">E. Cramer</w:t>
      </w:r>
      <w:r>
        <w:t xml:space="preserve"> </w:t>
      </w:r>
      <w:r>
        <w:rPr>
          <w:iCs/>
          <w:i/>
        </w:rPr>
        <w:t xml:space="preserve">et al.</w:t>
      </w:r>
      <w:r>
        <w:t xml:space="preserve">,</w:t>
      </w:r>
      <w:r>
        <w:t xml:space="preserve"> </w:t>
      </w:r>
      <w:r>
        <w:t xml:space="preserve">“Reichlab/Covid19-forecast-hub: Release for</w:t>
      </w:r>
      <w:r>
        <w:t xml:space="preserve"> </w:t>
      </w:r>
      <w:r>
        <w:t xml:space="preserve">Zenodo</w:t>
      </w:r>
      <w:r>
        <w:t xml:space="preserve">, 20210816,”</w:t>
      </w:r>
      <w:r>
        <w:t xml:space="preserve"> </w:t>
      </w:r>
      <w:r>
        <w:t xml:space="preserve">Aug. 2021, doi:</w:t>
      </w:r>
      <w:r>
        <w:t xml:space="preserve"> </w:t>
      </w:r>
      <w:hyperlink r:id="rId63">
        <w:r>
          <w:rPr>
            <w:rStyle w:val="Hyperlink"/>
          </w:rPr>
          <w:t xml:space="preserve">10.5281/zenodo.5208210</w:t>
        </w:r>
      </w:hyperlink>
      <w:r>
        <w:t xml:space="preserve">.</w:t>
      </w:r>
    </w:p>
    <w:bookmarkEnd w:id="64"/>
    <w:bookmarkStart w:id="66" w:name="Xed62315e8a98d6da04ede855d56eeb43dd9ade1"/>
    <w:p>
      <w:pPr>
        <w:pStyle w:val="Bibliography"/>
      </w:pPr>
      <w:r>
        <w:t xml:space="preserve">[18]</w:t>
      </w:r>
      <w:r>
        <w:t xml:space="preserve"> </w:t>
      </w:r>
      <w:r>
        <w:t xml:space="preserve">	</w:t>
      </w:r>
      <w:r>
        <w:t xml:space="preserve">S. Y. Wang</w:t>
      </w:r>
      <w:r>
        <w:t xml:space="preserve"> </w:t>
      </w:r>
      <w:r>
        <w:rPr>
          <w:iCs/>
          <w:i/>
        </w:rPr>
        <w:t xml:space="preserve">et al.</w:t>
      </w:r>
      <w:r>
        <w:t xml:space="preserve">,</w:t>
      </w:r>
      <w:r>
        <w:t xml:space="preserve"> </w:t>
      </w:r>
      <w:r>
        <w:t xml:space="preserve">“Reichlab/</w:t>
      </w:r>
      <w:r>
        <w:t xml:space="preserve">covidHubUtils</w:t>
      </w:r>
      <w:r>
        <w:t xml:space="preserve">: Repository release for</w:t>
      </w:r>
      <w:r>
        <w:t xml:space="preserve"> </w:t>
      </w:r>
      <w:r>
        <w:t xml:space="preserve">Zenodo</w:t>
      </w:r>
      <w:r>
        <w:t xml:space="preserve">,”</w:t>
      </w:r>
      <w:r>
        <w:t xml:space="preserve"> </w:t>
      </w:r>
      <w:r>
        <w:t xml:space="preserve">Aug. 2021, doi:</w:t>
      </w:r>
      <w:r>
        <w:t xml:space="preserve"> </w:t>
      </w:r>
      <w:hyperlink r:id="rId65">
        <w:r>
          <w:rPr>
            <w:rStyle w:val="Hyperlink"/>
          </w:rPr>
          <w:t xml:space="preserve">10.5281/zenodo.5207940</w:t>
        </w:r>
      </w:hyperlink>
      <w:r>
        <w:t xml:space="preserve">.</w:t>
      </w:r>
    </w:p>
    <w:bookmarkEnd w:id="66"/>
    <w:bookmarkStart w:id="68" w:name="ref-bracherGermanPolishCOVID192020"/>
    <w:p>
      <w:pPr>
        <w:pStyle w:val="Bibliography"/>
      </w:pPr>
      <w:r>
        <w:t xml:space="preserve">[19]</w:t>
      </w:r>
      <w:r>
        <w:t xml:space="preserve"> </w:t>
      </w:r>
      <w:r>
        <w:t xml:space="preserve">	</w:t>
      </w:r>
      <w:r>
        <w:t xml:space="preserve">J. Bracher</w:t>
      </w:r>
      <w:r>
        <w:t xml:space="preserve"> </w:t>
      </w:r>
      <w:r>
        <w:rPr>
          <w:iCs/>
          <w:i/>
        </w:rPr>
        <w:t xml:space="preserve">et al.</w:t>
      </w:r>
      <w:r>
        <w:t xml:space="preserve">,</w:t>
      </w:r>
      <w:r>
        <w:t xml:space="preserve"> </w:t>
      </w:r>
      <w:r>
        <w:rPr>
          <w:iCs/>
          <w:i/>
        </w:rPr>
        <w:t xml:space="preserve">The</w:t>
      </w:r>
      <w:r>
        <w:rPr>
          <w:iCs/>
          <w:i/>
        </w:rPr>
        <w:t xml:space="preserve"> </w:t>
      </w:r>
      <w:r>
        <w:rPr>
          <w:iCs/>
          <w:i/>
        </w:rPr>
        <w:t xml:space="preserve">German</w:t>
      </w:r>
      <w:r>
        <w:rPr>
          <w:iCs/>
          <w:i/>
        </w:rPr>
        <w:t xml:space="preserve"> </w:t>
      </w:r>
      <w:r>
        <w:rPr>
          <w:iCs/>
          <w:i/>
        </w:rPr>
        <w:t xml:space="preserve">and</w:t>
      </w:r>
      <w:r>
        <w:rPr>
          <w:iCs/>
          <w:i/>
        </w:rPr>
        <w:t xml:space="preserve"> </w:t>
      </w:r>
      <w:r>
        <w:rPr>
          <w:iCs/>
          <w:i/>
        </w:rPr>
        <w:t xml:space="preserve">Polish COVID-19 Forecast Hub</w:t>
      </w:r>
      <w:r>
        <w:t xml:space="preserve">. 2020.Available:</w:t>
      </w:r>
      <w:r>
        <w:t xml:space="preserve"> </w:t>
      </w:r>
      <w:hyperlink r:id="rId67">
        <w:r>
          <w:rPr>
            <w:rStyle w:val="Hyperlink"/>
          </w:rPr>
          <w:t xml:space="preserve">https://github.com/KITmetricslab/covid19-forecast-hub-de</w:t>
        </w:r>
      </w:hyperlink>
    </w:p>
    <w:bookmarkEnd w:id="68"/>
    <w:bookmarkStart w:id="70" w:name="ref-dongInteractiveWebbasedDashboard2020"/>
    <w:p>
      <w:pPr>
        <w:pStyle w:val="Bibliography"/>
      </w:pPr>
      <w:r>
        <w:t xml:space="preserve">[20]</w:t>
      </w:r>
      <w:r>
        <w:t xml:space="preserve"> </w:t>
      </w:r>
      <w:r>
        <w:t xml:space="preserve">	</w:t>
      </w:r>
      <w:r>
        <w:t xml:space="preserve">E. Dong, H. Du, and L. Gardner,</w:t>
      </w:r>
      <w:r>
        <w:t xml:space="preserve"> </w:t>
      </w:r>
      <w:r>
        <w:t xml:space="preserve">“An interactive web-based dashboard to track</w:t>
      </w:r>
      <w:r>
        <w:t xml:space="preserve"> </w:t>
      </w:r>
      <w:r>
        <w:t xml:space="preserve">COVID-19</w:t>
      </w:r>
      <w:r>
        <w:t xml:space="preserve"> </w:t>
      </w:r>
      <w:r>
        <w:t xml:space="preserve">in real time,”</w:t>
      </w:r>
      <w:r>
        <w:t xml:space="preserve"> </w:t>
      </w:r>
      <w:r>
        <w:rPr>
          <w:iCs/>
          <w:i/>
        </w:rPr>
        <w:t xml:space="preserve">The Lancet Infectious Diseases</w:t>
      </w:r>
      <w:r>
        <w:t xml:space="preserve">, vol. 20, no. 5, pp. 533–534, May 2020, doi:</w:t>
      </w:r>
      <w:r>
        <w:t xml:space="preserve"> </w:t>
      </w:r>
      <w:hyperlink r:id="rId69">
        <w:r>
          <w:rPr>
            <w:rStyle w:val="Hyperlink"/>
          </w:rPr>
          <w:t xml:space="preserve">10.1016/S1473-3099(20)30120-1</w:t>
        </w:r>
      </w:hyperlink>
      <w:r>
        <w:t xml:space="preserve">.</w:t>
      </w:r>
    </w:p>
    <w:bookmarkEnd w:id="70"/>
    <w:bookmarkStart w:id="71" w:name="Xf593520eb71ed456aa38974ca37b9123d8e1450"/>
    <w:p>
      <w:pPr>
        <w:pStyle w:val="Bibliography"/>
      </w:pPr>
      <w:r>
        <w:t xml:space="preserve">[21]</w:t>
      </w:r>
      <w:r>
        <w:t xml:space="preserve"> </w:t>
      </w:r>
      <w:r>
        <w:t xml:space="preserve">	</w:t>
      </w:r>
      <w:r>
        <w:t xml:space="preserve">European Covid-19 Forecast Hub,</w:t>
      </w:r>
      <w:r>
        <w:t xml:space="preserve"> </w:t>
      </w:r>
      <w:r>
        <w:t xml:space="preserve">“Covid19-forecast-hub-europe:</w:t>
      </w:r>
      <w:r>
        <w:t xml:space="preserve"> </w:t>
      </w:r>
      <w:r>
        <w:t xml:space="preserve">Wiki</w:t>
      </w:r>
      <w:r>
        <w:t xml:space="preserve">.”</w:t>
      </w:r>
      <w:r>
        <w:t xml:space="preserve"> </w:t>
      </w:r>
      <w:hyperlink r:id="rId61">
        <w:r>
          <w:rPr>
            <w:rStyle w:val="Hyperlink"/>
          </w:rPr>
          <w:t xml:space="preserve">https://github.com/covid19-forecast-hub-europe/covid19-forecast-hub-europe</w:t>
        </w:r>
      </w:hyperlink>
    </w:p>
    <w:bookmarkEnd w:id="71"/>
    <w:bookmarkStart w:id="73" w:name="X143c8ab6a43eafc6a1b6f87e6a6b2222845c6cd"/>
    <w:p>
      <w:pPr>
        <w:pStyle w:val="Bibliography"/>
      </w:pPr>
      <w:r>
        <w:t xml:space="preserve">[22]</w:t>
      </w:r>
      <w:r>
        <w:t xml:space="preserve"> </w:t>
      </w:r>
      <w:r>
        <w:t xml:space="preserve">	</w:t>
      </w:r>
      <w:r>
        <w:t xml:space="preserve">European Covid-19 Forecast Hub,</w:t>
      </w:r>
      <w:r>
        <w:t xml:space="preserve"> </w:t>
      </w:r>
      <w:r>
        <w:t xml:space="preserve">“European</w:t>
      </w:r>
      <w:r>
        <w:t xml:space="preserve"> </w:t>
      </w:r>
      <w:r>
        <w:t xml:space="preserve">Covid-19 Forecast Hub</w:t>
      </w:r>
      <w:r>
        <w:t xml:space="preserve">.”</w:t>
      </w:r>
      <w:r>
        <w:t xml:space="preserve"> </w:t>
      </w:r>
      <w:hyperlink r:id="rId72">
        <w:r>
          <w:rPr>
            <w:rStyle w:val="Hyperlink"/>
          </w:rPr>
          <w:t xml:space="preserve">https://covid19forecasthub.eu/index.html</w:t>
        </w:r>
      </w:hyperlink>
    </w:p>
    <w:bookmarkEnd w:id="73"/>
    <w:bookmarkStart w:id="75" w:name="ref-epiforecastsProjectECDCEuropean2021"/>
    <w:p>
      <w:pPr>
        <w:pStyle w:val="Bibliography"/>
      </w:pPr>
      <w:r>
        <w:t xml:space="preserve">[23]</w:t>
      </w:r>
      <w:r>
        <w:t xml:space="preserve"> </w:t>
      </w:r>
      <w:r>
        <w:t xml:space="preserve">	</w:t>
      </w:r>
      <w:r>
        <w:t xml:space="preserve">EpiForecasts,</w:t>
      </w:r>
      <w:r>
        <w:t xml:space="preserve"> </w:t>
      </w:r>
      <w:r>
        <w:t xml:space="preserve">“Project:</w:t>
      </w:r>
      <w:r>
        <w:t xml:space="preserve"> </w:t>
      </w:r>
      <w:r>
        <w:t xml:space="preserve">ECDC European COVID-19 Forecast Hub</w:t>
      </w:r>
      <w:r>
        <w:t xml:space="preserve"> </w:t>
      </w:r>
      <w:r>
        <w:t xml:space="preserve">-</w:t>
      </w:r>
      <w:r>
        <w:t xml:space="preserve"> </w:t>
      </w:r>
      <w:r>
        <w:t xml:space="preserve">Zoltar</w:t>
      </w:r>
      <w:r>
        <w:t xml:space="preserve">,”</w:t>
      </w:r>
      <w:r>
        <w:t xml:space="preserve"> </w:t>
      </w:r>
      <w:r>
        <w:t xml:space="preserve">2021.</w:t>
      </w:r>
      <w:r>
        <w:t xml:space="preserve"> </w:t>
      </w:r>
      <w:hyperlink r:id="rId74">
        <w:r>
          <w:rPr>
            <w:rStyle w:val="Hyperlink"/>
          </w:rPr>
          <w:t xml:space="preserve">https://www.zoltardata.com/project/238</w:t>
        </w:r>
      </w:hyperlink>
    </w:p>
    <w:bookmarkEnd w:id="75"/>
    <w:bookmarkStart w:id="77" w:name="ref-reichZoltarForecastArchive2021"/>
    <w:p>
      <w:pPr>
        <w:pStyle w:val="Bibliography"/>
      </w:pPr>
      <w:r>
        <w:t xml:space="preserve">[24]</w:t>
      </w:r>
      <w:r>
        <w:t xml:space="preserve"> </w:t>
      </w:r>
      <w:r>
        <w:t xml:space="preserve">	</w:t>
      </w:r>
      <w:r>
        <w:t xml:space="preserve">N. G. Reich, M. Cornell, E. L. Ray, K. House, and K. Le,</w:t>
      </w:r>
      <w:r>
        <w:t xml:space="preserve"> </w:t>
      </w:r>
      <w:r>
        <w:t xml:space="preserve">“The</w:t>
      </w:r>
      <w:r>
        <w:t xml:space="preserve"> </w:t>
      </w:r>
      <w:r>
        <w:t xml:space="preserve">Zoltar</w:t>
      </w:r>
      <w:r>
        <w:t xml:space="preserve"> </w:t>
      </w:r>
      <w:r>
        <w:t xml:space="preserve">forecast archive, a tool to standardize and store interdisciplinary prediction research,”</w:t>
      </w:r>
      <w:r>
        <w:t xml:space="preserve"> </w:t>
      </w:r>
      <w:r>
        <w:rPr>
          <w:iCs/>
          <w:i/>
        </w:rPr>
        <w:t xml:space="preserve">Sci Data</w:t>
      </w:r>
      <w:r>
        <w:t xml:space="preserve">, vol. 8, no. 1, 1, p. 59, Feb. 2021, doi:</w:t>
      </w:r>
      <w:r>
        <w:t xml:space="preserve"> </w:t>
      </w:r>
      <w:hyperlink r:id="rId76">
        <w:r>
          <w:rPr>
            <w:rStyle w:val="Hyperlink"/>
          </w:rPr>
          <w:t xml:space="preserve">10.1038/s41597-021-00839-5</w:t>
        </w:r>
      </w:hyperlink>
      <w:r>
        <w:t xml:space="preserve">.</w:t>
      </w:r>
    </w:p>
    <w:bookmarkEnd w:id="77"/>
    <w:bookmarkStart w:id="79" w:name="Xa302aa91ec56f5a27772aa1cdc718236cff37c9"/>
    <w:p>
      <w:pPr>
        <w:pStyle w:val="Bibliography"/>
      </w:pPr>
      <w:r>
        <w:t xml:space="preserve">[25]</w:t>
      </w:r>
      <w:r>
        <w:t xml:space="preserve"> </w:t>
      </w:r>
      <w:r>
        <w:t xml:space="preserve">	</w:t>
      </w:r>
      <w:r>
        <w:t xml:space="preserve">Nikos I Bosse, Sam Abbott, EpiForecasts, and Sebastian Funk,</w:t>
      </w:r>
      <w:r>
        <w:t xml:space="preserve"> </w:t>
      </w:r>
      <w:r>
        <w:rPr>
          <w:iCs/>
          <w:i/>
        </w:rPr>
        <w:t xml:space="preserve">Scoringutils:</w:t>
      </w:r>
      <w:r>
        <w:rPr>
          <w:iCs/>
          <w:i/>
        </w:rPr>
        <w:t xml:space="preserve"> </w:t>
      </w:r>
      <w:r>
        <w:rPr>
          <w:iCs/>
          <w:i/>
        </w:rPr>
        <w:t xml:space="preserve">Utilities</w:t>
      </w:r>
      <w:r>
        <w:rPr>
          <w:iCs/>
          <w:i/>
        </w:rPr>
        <w:t xml:space="preserve"> </w:t>
      </w:r>
      <w:r>
        <w:rPr>
          <w:iCs/>
          <w:i/>
        </w:rPr>
        <w:t xml:space="preserve">for</w:t>
      </w:r>
      <w:r>
        <w:rPr>
          <w:iCs/>
          <w:i/>
        </w:rPr>
        <w:t xml:space="preserve"> </w:t>
      </w:r>
      <w:r>
        <w:rPr>
          <w:iCs/>
          <w:i/>
        </w:rPr>
        <w:t xml:space="preserve">Scoring</w:t>
      </w:r>
      <w:r>
        <w:rPr>
          <w:iCs/>
          <w:i/>
        </w:rPr>
        <w:t xml:space="preserve"> </w:t>
      </w:r>
      <w:r>
        <w:rPr>
          <w:iCs/>
          <w:i/>
        </w:rPr>
        <w:t xml:space="preserve">and</w:t>
      </w:r>
      <w:r>
        <w:rPr>
          <w:iCs/>
          <w:i/>
        </w:rPr>
        <w:t xml:space="preserve"> </w:t>
      </w:r>
      <w:r>
        <w:rPr>
          <w:iCs/>
          <w:i/>
        </w:rPr>
        <w:t xml:space="preserve">Assessing Predictions</w:t>
      </w:r>
      <w:r>
        <w:t xml:space="preserve">. 2020.Available:</w:t>
      </w:r>
      <w:r>
        <w:t xml:space="preserve"> </w:t>
      </w:r>
      <w:hyperlink r:id="rId78">
        <w:r>
          <w:rPr>
            <w:rStyle w:val="Hyperlink"/>
          </w:rPr>
          <w:t xml:space="preserve">https://github.com/epiforecasts/scoringutils</w:t>
        </w:r>
      </w:hyperlink>
    </w:p>
    <w:bookmarkEnd w:id="79"/>
    <w:bookmarkStart w:id="81" w:name="Xfb403e0b4ff1eb940a41bfdd822f5987463418f"/>
    <w:p>
      <w:pPr>
        <w:pStyle w:val="Bibliography"/>
      </w:pPr>
      <w:r>
        <w:t xml:space="preserve">[26]</w:t>
      </w:r>
      <w:r>
        <w:t xml:space="preserve"> </w:t>
      </w:r>
      <w:r>
        <w:t xml:space="preserve">	</w:t>
      </w:r>
      <w:r>
        <w:t xml:space="preserve">J. Bracher, E. L. Ray, T. Gneiting, and N. G. Reich,</w:t>
      </w:r>
      <w:r>
        <w:t xml:space="preserve"> </w:t>
      </w:r>
      <w:r>
        <w:t xml:space="preserve">“Evaluating epidemic forecasts in an interval format,”</w:t>
      </w:r>
      <w:r>
        <w:t xml:space="preserve"> </w:t>
      </w:r>
      <w:r>
        <w:rPr>
          <w:iCs/>
          <w:i/>
        </w:rPr>
        <w:t xml:space="preserve">PLOS Computational Biology</w:t>
      </w:r>
      <w:r>
        <w:t xml:space="preserve">, vol. 17, no. 2, p. e1008618, Feb. 2021, doi:</w:t>
      </w:r>
      <w:r>
        <w:t xml:space="preserve"> </w:t>
      </w:r>
      <w:hyperlink r:id="rId80">
        <w:r>
          <w:rPr>
            <w:rStyle w:val="Hyperlink"/>
          </w:rPr>
          <w:t xml:space="preserve">10.1371/journal.pcbi.1008618</w:t>
        </w:r>
      </w:hyperlink>
      <w:r>
        <w:t xml:space="preserve">.</w:t>
      </w:r>
    </w:p>
    <w:bookmarkEnd w:id="81"/>
    <w:bookmarkStart w:id="83" w:name="ref-gneitingStrictlyProperScoring2007"/>
    <w:p>
      <w:pPr>
        <w:pStyle w:val="Bibliography"/>
      </w:pPr>
      <w:r>
        <w:t xml:space="preserve">[27]</w:t>
      </w:r>
      <w:r>
        <w:t xml:space="preserve"> </w:t>
      </w:r>
      <w:r>
        <w:t xml:space="preserve">	</w:t>
      </w:r>
      <w:r>
        <w:t xml:space="preserve">T. Gneiting and A. E. Raftery,</w:t>
      </w:r>
      <w:r>
        <w:t xml:space="preserve"> </w:t>
      </w:r>
      <w:r>
        <w:t xml:space="preserve">“Strictly</w:t>
      </w:r>
      <w:r>
        <w:t xml:space="preserve"> </w:t>
      </w:r>
      <w:r>
        <w:t xml:space="preserve">Proper Scoring Rules</w:t>
      </w:r>
      <w:r>
        <w:t xml:space="preserve">,</w:t>
      </w:r>
      <w:r>
        <w:t xml:space="preserve"> </w:t>
      </w:r>
      <w:r>
        <w:t xml:space="preserve">Prediction</w:t>
      </w:r>
      <w:r>
        <w:t xml:space="preserve">, and</w:t>
      </w:r>
      <w:r>
        <w:t xml:space="preserve"> </w:t>
      </w:r>
      <w:r>
        <w:t xml:space="preserve">Estimation</w:t>
      </w:r>
      <w:r>
        <w:t xml:space="preserve">,”</w:t>
      </w:r>
      <w:r>
        <w:t xml:space="preserve"> </w:t>
      </w:r>
      <w:r>
        <w:rPr>
          <w:iCs/>
          <w:i/>
        </w:rPr>
        <w:t xml:space="preserve">Journal of the American Statistical Association</w:t>
      </w:r>
      <w:r>
        <w:t xml:space="preserve">, vol. 102, no. 477, pp. 359–378, Mar. 2007, doi:</w:t>
      </w:r>
      <w:r>
        <w:t xml:space="preserve"> </w:t>
      </w:r>
      <w:hyperlink r:id="rId82">
        <w:r>
          <w:rPr>
            <w:rStyle w:val="Hyperlink"/>
          </w:rPr>
          <w:t xml:space="preserve">10.1198/016214506000001437</w:t>
        </w:r>
      </w:hyperlink>
      <w:r>
        <w:t xml:space="preserve">.</w:t>
      </w:r>
    </w:p>
    <w:bookmarkEnd w:id="83"/>
    <w:bookmarkStart w:id="85" w:name="Xc8963ac7015ad6ac08b187c1a38cad49a07775b"/>
    <w:p>
      <w:pPr>
        <w:pStyle w:val="Bibliography"/>
      </w:pPr>
      <w:r>
        <w:t xml:space="preserve">[28]</w:t>
      </w:r>
      <w:r>
        <w:t xml:space="preserve"> </w:t>
      </w:r>
      <w:r>
        <w:t xml:space="preserve">	</w:t>
      </w:r>
      <w:r>
        <w:t xml:space="preserve">E. Y. Cramer</w:t>
      </w:r>
      <w:r>
        <w:t xml:space="preserve"> </w:t>
      </w:r>
      <w:r>
        <w:rPr>
          <w:iCs/>
          <w:i/>
        </w:rPr>
        <w:t xml:space="preserve">et al.</w:t>
      </w:r>
      <w:r>
        <w:t xml:space="preserve">,</w:t>
      </w:r>
      <w:r>
        <w:t xml:space="preserve"> </w:t>
      </w:r>
      <w:r>
        <w:t xml:space="preserve">“Evaluation of individual and ensemble probabilistic forecasts of</w:t>
      </w:r>
      <w:r>
        <w:t xml:space="preserve"> </w:t>
      </w:r>
      <w:r>
        <w:t xml:space="preserve">COVID-19</w:t>
      </w:r>
      <w:r>
        <w:t xml:space="preserve"> </w:t>
      </w:r>
      <w:r>
        <w:t xml:space="preserve">mortality in the</w:t>
      </w:r>
      <w:r>
        <w:t xml:space="preserve"> </w:t>
      </w:r>
      <w:r>
        <w:t xml:space="preserve">US</w:t>
      </w:r>
      <w:r>
        <w:t xml:space="preserve">,”</w:t>
      </w:r>
      <w:r>
        <w:t xml:space="preserve"> </w:t>
      </w:r>
      <w:r>
        <w:rPr>
          <w:iCs/>
          <w:i/>
        </w:rPr>
        <w:t xml:space="preserve">medRxiv</w:t>
      </w:r>
      <w:r>
        <w:t xml:space="preserve">, p. 2021.02.03.21250974, Jan. 2021, doi:</w:t>
      </w:r>
      <w:r>
        <w:t xml:space="preserve"> </w:t>
      </w:r>
      <w:hyperlink r:id="rId84">
        <w:r>
          <w:rPr>
            <w:rStyle w:val="Hyperlink"/>
          </w:rPr>
          <w:t xml:space="preserve">10.1101/2021.02.03.21250974</w:t>
        </w:r>
      </w:hyperlink>
      <w:r>
        <w:t xml:space="preserve">.</w:t>
      </w:r>
    </w:p>
    <w:bookmarkEnd w:id="85"/>
    <w:bookmarkStart w:id="87" w:name="ref-genestVincentizationRevisited1992"/>
    <w:p>
      <w:pPr>
        <w:pStyle w:val="Bibliography"/>
      </w:pPr>
      <w:r>
        <w:t xml:space="preserve">[29]</w:t>
      </w:r>
      <w:r>
        <w:t xml:space="preserve"> </w:t>
      </w:r>
      <w:r>
        <w:t xml:space="preserve">	</w:t>
      </w:r>
      <w:r>
        <w:t xml:space="preserve">C. Genest,</w:t>
      </w:r>
      <w:r>
        <w:t xml:space="preserve"> </w:t>
      </w:r>
      <w:r>
        <w:t xml:space="preserve">“Vincentization</w:t>
      </w:r>
      <w:r>
        <w:t xml:space="preserve"> </w:t>
      </w:r>
      <w:r>
        <w:t xml:space="preserve">Revisited</w:t>
      </w:r>
      <w:r>
        <w:t xml:space="preserve">,”</w:t>
      </w:r>
      <w:r>
        <w:t xml:space="preserve"> </w:t>
      </w:r>
      <w:r>
        <w:rPr>
          <w:iCs/>
          <w:i/>
        </w:rPr>
        <w:t xml:space="preserve">The Annals of Statistics</w:t>
      </w:r>
      <w:r>
        <w:t xml:space="preserve">, vol. 20, no. 2, pp. 1137–1142, 1992,Available:</w:t>
      </w:r>
      <w:r>
        <w:t xml:space="preserve"> </w:t>
      </w:r>
      <w:hyperlink r:id="rId86">
        <w:r>
          <w:rPr>
            <w:rStyle w:val="Hyperlink"/>
          </w:rPr>
          <w:t xml:space="preserve">https://www.jstor.org/stable/2242003</w:t>
        </w:r>
      </w:hyperlink>
    </w:p>
    <w:bookmarkEnd w:id="87"/>
    <w:bookmarkStart w:id="89" w:name="X1980eff6c3109b81e73f0ab65d20fc92f139c2a"/>
    <w:p>
      <w:pPr>
        <w:pStyle w:val="Bibliography"/>
      </w:pPr>
      <w:r>
        <w:t xml:space="preserve">[30]</w:t>
      </w:r>
      <w:r>
        <w:t xml:space="preserve"> </w:t>
      </w:r>
      <w:r>
        <w:t xml:space="preserve">	</w:t>
      </w:r>
      <w:r>
        <w:t xml:space="preserve">J. W. Taylor and K. S. Taylor,</w:t>
      </w:r>
      <w:r>
        <w:t xml:space="preserve"> </w:t>
      </w:r>
      <w:r>
        <w:t xml:space="preserve">“Combining</w:t>
      </w:r>
      <w:r>
        <w:t xml:space="preserve"> </w:t>
      </w:r>
      <w:r>
        <w:t xml:space="preserve">Probabilistic Forecasts</w:t>
      </w:r>
      <w:r>
        <w:t xml:space="preserve"> </w:t>
      </w:r>
      <w:r>
        <w:t xml:space="preserve">of</w:t>
      </w:r>
      <w:r>
        <w:t xml:space="preserve"> </w:t>
      </w:r>
      <w:r>
        <w:t xml:space="preserve">COVID-19 Mortality</w:t>
      </w:r>
      <w:r>
        <w:t xml:space="preserve"> </w:t>
      </w:r>
      <w:r>
        <w:t xml:space="preserve">in the</w:t>
      </w:r>
      <w:r>
        <w:t xml:space="preserve"> </w:t>
      </w:r>
      <w:r>
        <w:t xml:space="preserve">United States</w:t>
      </w:r>
      <w:r>
        <w:t xml:space="preserve">,”</w:t>
      </w:r>
      <w:r>
        <w:t xml:space="preserve"> </w:t>
      </w:r>
      <w:r>
        <w:rPr>
          <w:iCs/>
          <w:i/>
        </w:rPr>
        <w:t xml:space="preserve">Eur J Oper Res</w:t>
      </w:r>
      <w:r>
        <w:t xml:space="preserve">, Jun. 2021, doi:</w:t>
      </w:r>
      <w:r>
        <w:t xml:space="preserve"> </w:t>
      </w:r>
      <w:hyperlink r:id="rId88">
        <w:r>
          <w:rPr>
            <w:rStyle w:val="Hyperlink"/>
          </w:rPr>
          <w:t xml:space="preserve">10.1016/j.ejor.2021.06.044</w:t>
        </w:r>
      </w:hyperlink>
      <w:r>
        <w:t xml:space="preserve">.</w:t>
      </w:r>
    </w:p>
    <w:bookmarkEnd w:id="89"/>
    <w:bookmarkStart w:id="91" w:name="ref-rayComparingTrainedUntrained2022"/>
    <w:p>
      <w:pPr>
        <w:pStyle w:val="Bibliography"/>
      </w:pPr>
      <w:r>
        <w:t xml:space="preserve">[31]</w:t>
      </w:r>
      <w:r>
        <w:t xml:space="preserve"> </w:t>
      </w:r>
      <w:r>
        <w:t xml:space="preserve">	</w:t>
      </w:r>
      <w:r>
        <w:t xml:space="preserve">E. L. Ray</w:t>
      </w:r>
      <w:r>
        <w:t xml:space="preserve"> </w:t>
      </w:r>
      <w:r>
        <w:rPr>
          <w:iCs/>
          <w:i/>
        </w:rPr>
        <w:t xml:space="preserve">et al.</w:t>
      </w:r>
      <w:r>
        <w:t xml:space="preserve">,</w:t>
      </w:r>
      <w:r>
        <w:t xml:space="preserve"> </w:t>
      </w:r>
      <w:r>
        <w:t xml:space="preserve">“Comparing trained and untrained probabilistic ensemble forecasts of</w:t>
      </w:r>
      <w:r>
        <w:t xml:space="preserve"> </w:t>
      </w:r>
      <w:r>
        <w:t xml:space="preserve">COVID-19</w:t>
      </w:r>
      <w:r>
        <w:t xml:space="preserve"> </w:t>
      </w:r>
      <w:r>
        <w:t xml:space="preserve">cases and deaths in the</w:t>
      </w:r>
      <w:r>
        <w:t xml:space="preserve"> </w:t>
      </w:r>
      <w:r>
        <w:t xml:space="preserve">United States</w:t>
      </w:r>
      <w:r>
        <w:t xml:space="preserve">,”</w:t>
      </w:r>
      <w:r>
        <w:t xml:space="preserve"> </w:t>
      </w:r>
      <w:r>
        <w:t xml:space="preserve">Jan. 28, 2022. Accessed: Mar. 30, 2022. [Online]. Available:</w:t>
      </w:r>
      <w:r>
        <w:t xml:space="preserve"> </w:t>
      </w:r>
      <w:hyperlink r:id="rId90">
        <w:r>
          <w:rPr>
            <w:rStyle w:val="Hyperlink"/>
          </w:rPr>
          <w:t xml:space="preserve">http://arxiv.org/abs/2201.12387</w:t>
        </w:r>
      </w:hyperlink>
    </w:p>
    <w:bookmarkEnd w:id="91"/>
    <w:bookmarkStart w:id="93" w:name="X21e09437c27bc076b12ed3f0421d4c7df35e72c"/>
    <w:p>
      <w:pPr>
        <w:pStyle w:val="Bibliography"/>
      </w:pPr>
      <w:r>
        <w:t xml:space="preserve">[32]</w:t>
      </w:r>
      <w:r>
        <w:t xml:space="preserve"> </w:t>
      </w:r>
      <w:r>
        <w:t xml:space="preserve">	</w:t>
      </w:r>
      <w:r>
        <w:t xml:space="preserve">F. E. HARRELL and C. E. DAVIS,</w:t>
      </w:r>
      <w:r>
        <w:t xml:space="preserve"> </w:t>
      </w:r>
      <w:r>
        <w:t xml:space="preserve">“A new distribution-free quantile estimator,”</w:t>
      </w:r>
      <w:r>
        <w:t xml:space="preserve"> </w:t>
      </w:r>
      <w:r>
        <w:rPr>
          <w:iCs/>
          <w:i/>
        </w:rPr>
        <w:t xml:space="preserve">Biometrika</w:t>
      </w:r>
      <w:r>
        <w:t xml:space="preserve">, vol. 69, no. 3, pp. 635–640, Dec. 1982, doi:</w:t>
      </w:r>
      <w:r>
        <w:t xml:space="preserve"> </w:t>
      </w:r>
      <w:hyperlink r:id="rId92">
        <w:r>
          <w:rPr>
            <w:rStyle w:val="Hyperlink"/>
          </w:rPr>
          <w:t xml:space="preserve">10.1093/biomet/69.3.635</w:t>
        </w:r>
      </w:hyperlink>
      <w:r>
        <w:t xml:space="preserve">.</w:t>
      </w:r>
    </w:p>
    <w:bookmarkEnd w:id="93"/>
    <w:bookmarkStart w:id="95" w:name="ref-rdocumentationCNORMVersionWeighted"/>
    <w:p>
      <w:pPr>
        <w:pStyle w:val="Bibliography"/>
      </w:pPr>
      <w:r>
        <w:t xml:space="preserve">[33]</w:t>
      </w:r>
      <w:r>
        <w:t xml:space="preserve"> </w:t>
      </w:r>
      <w:r>
        <w:t xml:space="preserve">	</w:t>
      </w:r>
      <w:r>
        <w:t xml:space="preserve">RDocumentation,</w:t>
      </w:r>
      <w:r>
        <w:t xml:space="preserve"> </w:t>
      </w:r>
      <w:r>
        <w:rPr>
          <w:iCs/>
          <w:i/>
        </w:rPr>
        <w:t xml:space="preserve">cNORM</w:t>
      </w:r>
      <w:r>
        <w:rPr>
          <w:iCs/>
          <w:i/>
        </w:rPr>
        <w:t xml:space="preserve"> </w:t>
      </w:r>
      <w:r>
        <w:rPr>
          <w:iCs/>
          <w:i/>
        </w:rPr>
        <w:t xml:space="preserve">(version 2.0.3): Weighted.quantile function</w:t>
      </w:r>
      <w:r>
        <w:t xml:space="preserve">. Available:</w:t>
      </w:r>
      <w:r>
        <w:t xml:space="preserve"> </w:t>
      </w:r>
      <w:hyperlink r:id="rId94">
        <w:r>
          <w:rPr>
            <w:rStyle w:val="Hyperlink"/>
          </w:rPr>
          <w:t xml:space="preserve">https://www.rdocumentation.org/packages/cNORM/versions/2.0.3/topics/weighted.quantile</w:t>
        </w:r>
      </w:hyperlink>
    </w:p>
    <w:bookmarkEnd w:id="95"/>
    <w:bookmarkStart w:id="97" w:name="X43c8ecfe4d226d9d3c0e5c324d06eaece2138f5"/>
    <w:p>
      <w:pPr>
        <w:pStyle w:val="Bibliography"/>
      </w:pPr>
      <w:r>
        <w:t xml:space="preserve">[34]</w:t>
      </w:r>
      <w:r>
        <w:t xml:space="preserve"> </w:t>
      </w:r>
      <w:r>
        <w:t xml:space="preserve">	</w:t>
      </w:r>
      <w:r>
        <w:t xml:space="preserve">L. Brooks,</w:t>
      </w:r>
      <w:r>
        <w:t xml:space="preserve"> </w:t>
      </w:r>
      <w:r>
        <w:t xml:space="preserve">“Comparing ensemble approaches for short-term probabilistic</w:t>
      </w:r>
      <w:r>
        <w:t xml:space="preserve"> </w:t>
      </w:r>
      <w:r>
        <w:t xml:space="preserve">COVID-19</w:t>
      </w:r>
      <w:r>
        <w:t xml:space="preserve"> </w:t>
      </w:r>
      <w:r>
        <w:t xml:space="preserve">forecasts in the</w:t>
      </w:r>
      <w:r>
        <w:t xml:space="preserve"> </w:t>
      </w:r>
      <w:r>
        <w:t xml:space="preserve">U</w:t>
      </w:r>
      <w:r>
        <w:t xml:space="preserve">.</w:t>
      </w:r>
      <w:r>
        <w:t xml:space="preserve">S</w:t>
      </w:r>
      <w:r>
        <w:t xml:space="preserve">.”</w:t>
      </w:r>
      <w:r>
        <w:t xml:space="preserve"> </w:t>
      </w:r>
      <w:r>
        <w:t xml:space="preserve">2020.</w:t>
      </w:r>
      <w:r>
        <w:t xml:space="preserve"> </w:t>
      </w:r>
      <w:hyperlink r:id="rId96">
        <w:r>
          <w:rPr>
            <w:rStyle w:val="Hyperlink"/>
          </w:rPr>
          <w:t xml:space="preserve">https://forecasters.org/blog/2020/10/28/comparing-ensemble-approaches-for-short-term-probabilistic-covid-19-forecasts-in-the-u-s/</w:t>
        </w:r>
      </w:hyperlink>
      <w:r>
        <w:t xml:space="preserve"> </w:t>
      </w:r>
      <w:r>
        <w:t xml:space="preserve">(accessed Jul. 15, 2021).</w:t>
      </w:r>
    </w:p>
    <w:bookmarkEnd w:id="97"/>
    <w:bookmarkStart w:id="99" w:name="ref-castroTurningPointEnd2020"/>
    <w:p>
      <w:pPr>
        <w:pStyle w:val="Bibliography"/>
      </w:pPr>
      <w:r>
        <w:t xml:space="preserve">[35]</w:t>
      </w:r>
      <w:r>
        <w:t xml:space="preserve"> </w:t>
      </w:r>
      <w:r>
        <w:t xml:space="preserve">	</w:t>
      </w:r>
      <w:r>
        <w:t xml:space="preserve">M. Castro, S. Ares, J. A. Cuesta, and S. Manrubia,</w:t>
      </w:r>
      <w:r>
        <w:t xml:space="preserve"> </w:t>
      </w:r>
      <w:r>
        <w:t xml:space="preserve">“The turning point and end of an expanding epidemic cannot be precisely forecast,”</w:t>
      </w:r>
      <w:r>
        <w:t xml:space="preserve"> </w:t>
      </w:r>
      <w:r>
        <w:rPr>
          <w:iCs/>
          <w:i/>
        </w:rPr>
        <w:t xml:space="preserve">Proceedings of the National Academy of Sciences</w:t>
      </w:r>
      <w:r>
        <w:t xml:space="preserve">, vol. 117, no. 42, pp. 26190–26196, Oct. 2020, doi:</w:t>
      </w:r>
      <w:r>
        <w:t xml:space="preserve"> </w:t>
      </w:r>
      <w:hyperlink r:id="rId98">
        <w:r>
          <w:rPr>
            <w:rStyle w:val="Hyperlink"/>
          </w:rPr>
          <w:t xml:space="preserve">10.1073/pnas.2007868117</w:t>
        </w:r>
      </w:hyperlink>
      <w:r>
        <w:t xml:space="preserve">.</w:t>
      </w:r>
    </w:p>
    <w:bookmarkEnd w:id="99"/>
    <w:bookmarkStart w:id="101" w:name="Xa32ba5cfc2291f8b7f2b15f4351bbdd13a37517"/>
    <w:p>
      <w:pPr>
        <w:pStyle w:val="Bibliography"/>
      </w:pPr>
      <w:r>
        <w:t xml:space="preserve">[36]</w:t>
      </w:r>
      <w:r>
        <w:t xml:space="preserve"> </w:t>
      </w:r>
      <w:r>
        <w:t xml:space="preserve">	</w:t>
      </w:r>
      <w:r>
        <w:t xml:space="preserve">J. Friedman</w:t>
      </w:r>
      <w:r>
        <w:t xml:space="preserve"> </w:t>
      </w:r>
      <w:r>
        <w:rPr>
          <w:iCs/>
          <w:i/>
        </w:rPr>
        <w:t xml:space="preserve">et al.</w:t>
      </w:r>
      <w:r>
        <w:t xml:space="preserve">,</w:t>
      </w:r>
      <w:r>
        <w:t xml:space="preserve"> </w:t>
      </w:r>
      <w:r>
        <w:t xml:space="preserve">“Predictive performance of international</w:t>
      </w:r>
      <w:r>
        <w:t xml:space="preserve"> </w:t>
      </w:r>
      <w:r>
        <w:t xml:space="preserve">COVID-19</w:t>
      </w:r>
      <w:r>
        <w:t xml:space="preserve"> </w:t>
      </w:r>
      <w:r>
        <w:t xml:space="preserve">mortality forecasting models,”</w:t>
      </w:r>
      <w:r>
        <w:t xml:space="preserve"> </w:t>
      </w:r>
      <w:r>
        <w:rPr>
          <w:iCs/>
          <w:i/>
        </w:rPr>
        <w:t xml:space="preserve">Nat Commun</w:t>
      </w:r>
      <w:r>
        <w:t xml:space="preserve">, vol. 12, no. 1, 1, p. 2609, May 2021, doi:</w:t>
      </w:r>
      <w:r>
        <w:t xml:space="preserve"> </w:t>
      </w:r>
      <w:hyperlink r:id="rId100">
        <w:r>
          <w:rPr>
            <w:rStyle w:val="Hyperlink"/>
          </w:rPr>
          <w:t xml:space="preserve">10.1038/s41467-021-22457-w</w:t>
        </w:r>
      </w:hyperlink>
      <w:r>
        <w:t xml:space="preserve">.</w:t>
      </w:r>
    </w:p>
    <w:bookmarkEnd w:id="101"/>
    <w:bookmarkStart w:id="103" w:name="ref-jinLagDailyReported2021"/>
    <w:p>
      <w:pPr>
        <w:pStyle w:val="Bibliography"/>
      </w:pPr>
      <w:r>
        <w:t xml:space="preserve">[37]</w:t>
      </w:r>
      <w:r>
        <w:t xml:space="preserve"> </w:t>
      </w:r>
      <w:r>
        <w:t xml:space="preserve">	</w:t>
      </w:r>
      <w:r>
        <w:t xml:space="preserve">R. Jin,</w:t>
      </w:r>
      <w:r>
        <w:t xml:space="preserve"> </w:t>
      </w:r>
      <w:r>
        <w:t xml:space="preserve">“The lag between daily reported</w:t>
      </w:r>
      <w:r>
        <w:t xml:space="preserve"> </w:t>
      </w:r>
      <w:r>
        <w:t xml:space="preserve">Covid-19</w:t>
      </w:r>
      <w:r>
        <w:t xml:space="preserve"> </w:t>
      </w:r>
      <w:r>
        <w:t xml:space="preserve">cases and deaths and its relationship to age,”</w:t>
      </w:r>
      <w:r>
        <w:t xml:space="preserve"> </w:t>
      </w:r>
      <w:r>
        <w:rPr>
          <w:iCs/>
          <w:i/>
        </w:rPr>
        <w:t xml:space="preserve">J Public Health Res</w:t>
      </w:r>
      <w:r>
        <w:t xml:space="preserve">, vol. 10, no. 3, p. 2049, Mar. 2021, doi:</w:t>
      </w:r>
      <w:r>
        <w:t xml:space="preserve"> </w:t>
      </w:r>
      <w:hyperlink r:id="rId102">
        <w:r>
          <w:rPr>
            <w:rStyle w:val="Hyperlink"/>
          </w:rPr>
          <w:t xml:space="preserve">10.4081/jphr.2021.2049</w:t>
        </w:r>
      </w:hyperlink>
      <w:r>
        <w:t xml:space="preserve">.</w:t>
      </w:r>
    </w:p>
    <w:bookmarkEnd w:id="103"/>
    <w:bookmarkStart w:id="105" w:name="ref-catalaRobustEstimationDiagnostic2021"/>
    <w:p>
      <w:pPr>
        <w:pStyle w:val="Bibliography"/>
      </w:pPr>
      <w:r>
        <w:t xml:space="preserve">[38]</w:t>
      </w:r>
      <w:r>
        <w:t xml:space="preserve"> </w:t>
      </w:r>
      <w:r>
        <w:t xml:space="preserve">	</w:t>
      </w:r>
      <w:r>
        <w:t xml:space="preserve">M. Català</w:t>
      </w:r>
      <w:r>
        <w:t xml:space="preserve"> </w:t>
      </w:r>
      <w:r>
        <w:rPr>
          <w:iCs/>
          <w:i/>
        </w:rPr>
        <w:t xml:space="preserve">et al.</w:t>
      </w:r>
      <w:r>
        <w:t xml:space="preserve">,</w:t>
      </w:r>
      <w:r>
        <w:t xml:space="preserve"> </w:t>
      </w:r>
      <w:r>
        <w:t xml:space="preserve">“Robust estimation of diagnostic rate and real incidence of</w:t>
      </w:r>
      <w:r>
        <w:t xml:space="preserve"> </w:t>
      </w:r>
      <w:r>
        <w:t xml:space="preserve">COVID-19</w:t>
      </w:r>
      <w:r>
        <w:t xml:space="preserve"> </w:t>
      </w:r>
      <w:r>
        <w:t xml:space="preserve">for</w:t>
      </w:r>
      <w:r>
        <w:t xml:space="preserve"> </w:t>
      </w:r>
      <w:r>
        <w:t xml:space="preserve">European</w:t>
      </w:r>
      <w:r>
        <w:t xml:space="preserve"> </w:t>
      </w:r>
      <w:r>
        <w:t xml:space="preserve">policymakers,”</w:t>
      </w:r>
      <w:r>
        <w:t xml:space="preserve"> </w:t>
      </w:r>
      <w:r>
        <w:rPr>
          <w:iCs/>
          <w:i/>
        </w:rPr>
        <w:t xml:space="preserve">PLOS ONE</w:t>
      </w:r>
      <w:r>
        <w:t xml:space="preserve">, vol. 16, no. 1, p. e0243701, Jan. 2021, doi:</w:t>
      </w:r>
      <w:r>
        <w:t xml:space="preserve"> </w:t>
      </w:r>
      <w:hyperlink r:id="rId104">
        <w:r>
          <w:rPr>
            <w:rStyle w:val="Hyperlink"/>
          </w:rPr>
          <w:t xml:space="preserve">10.1371/journal.pone.0243701</w:t>
        </w:r>
      </w:hyperlink>
      <w:r>
        <w:t xml:space="preserve">.</w:t>
      </w:r>
    </w:p>
    <w:bookmarkEnd w:id="105"/>
    <w:bookmarkStart w:id="107" w:name="ref-aguasModellingCOVID19Pandemic2020"/>
    <w:p>
      <w:pPr>
        <w:pStyle w:val="Bibliography"/>
      </w:pPr>
      <w:r>
        <w:t xml:space="preserve">[39]</w:t>
      </w:r>
      <w:r>
        <w:t xml:space="preserve"> </w:t>
      </w:r>
      <w:r>
        <w:t xml:space="preserve">	</w:t>
      </w:r>
      <w:r>
        <w:t xml:space="preserve">R. Aguas</w:t>
      </w:r>
      <w:r>
        <w:t xml:space="preserve"> </w:t>
      </w:r>
      <w:r>
        <w:rPr>
          <w:iCs/>
          <w:i/>
        </w:rPr>
        <w:t xml:space="preserve">et al.</w:t>
      </w:r>
      <w:r>
        <w:t xml:space="preserve">,</w:t>
      </w:r>
      <w:r>
        <w:t xml:space="preserve"> </w:t>
      </w:r>
      <w:r>
        <w:t xml:space="preserve">“Modelling the</w:t>
      </w:r>
      <w:r>
        <w:t xml:space="preserve"> </w:t>
      </w:r>
      <w:r>
        <w:t xml:space="preserve">COVID-19</w:t>
      </w:r>
      <w:r>
        <w:t xml:space="preserve"> </w:t>
      </w:r>
      <w:r>
        <w:t xml:space="preserve">pandemic in context: An international participatory approach,”</w:t>
      </w:r>
      <w:r>
        <w:t xml:space="preserve"> </w:t>
      </w:r>
      <w:r>
        <w:rPr>
          <w:iCs/>
          <w:i/>
        </w:rPr>
        <w:t xml:space="preserve">BMJ Global Health</w:t>
      </w:r>
      <w:r>
        <w:t xml:space="preserve">, vol. 5, no. 12, p. e003126, Dec. 2020, doi:</w:t>
      </w:r>
      <w:r>
        <w:t xml:space="preserve"> </w:t>
      </w:r>
      <w:hyperlink r:id="rId106">
        <w:r>
          <w:rPr>
            <w:rStyle w:val="Hyperlink"/>
          </w:rPr>
          <w:t xml:space="preserve">10.1136/bmjgh-2020-003126</w:t>
        </w:r>
      </w:hyperlink>
      <w:r>
        <w:t xml:space="preserve">.</w:t>
      </w:r>
    </w:p>
    <w:bookmarkEnd w:id="107"/>
    <w:bookmarkStart w:id="109" w:name="Xbb2312c0d694b25f5b80aa129c32108d7574e42"/>
    <w:p>
      <w:pPr>
        <w:pStyle w:val="Bibliography"/>
      </w:pPr>
      <w:r>
        <w:t xml:space="preserve">[40]</w:t>
      </w:r>
      <w:r>
        <w:t xml:space="preserve"> </w:t>
      </w:r>
      <w:r>
        <w:t xml:space="preserve">	</w:t>
      </w:r>
      <w:r>
        <w:t xml:space="preserve">K. Adib</w:t>
      </w:r>
      <w:r>
        <w:t xml:space="preserve"> </w:t>
      </w:r>
      <w:r>
        <w:rPr>
          <w:iCs/>
          <w:i/>
        </w:rPr>
        <w:t xml:space="preserve">et al.</w:t>
      </w:r>
      <w:r>
        <w:t xml:space="preserve">,</w:t>
      </w:r>
      <w:r>
        <w:t xml:space="preserve"> </w:t>
      </w:r>
      <w:r>
        <w:t xml:space="preserve">“A participatory modelling approach for investigating the spread of</w:t>
      </w:r>
      <w:r>
        <w:t xml:space="preserve"> </w:t>
      </w:r>
      <w:r>
        <w:t xml:space="preserve">COVID-19</w:t>
      </w:r>
      <w:r>
        <w:t xml:space="preserve"> </w:t>
      </w:r>
      <w:r>
        <w:t xml:space="preserve">in countries of the</w:t>
      </w:r>
      <w:r>
        <w:t xml:space="preserve"> </w:t>
      </w:r>
      <w:r>
        <w:t xml:space="preserve">Eastern Mediterranean Region</w:t>
      </w:r>
      <w:r>
        <w:t xml:space="preserve"> </w:t>
      </w:r>
      <w:r>
        <w:t xml:space="preserve">to support public health decision-making,”</w:t>
      </w:r>
      <w:r>
        <w:t xml:space="preserve"> </w:t>
      </w:r>
      <w:r>
        <w:rPr>
          <w:iCs/>
          <w:i/>
        </w:rPr>
        <w:t xml:space="preserve">BMJ Global Health</w:t>
      </w:r>
      <w:r>
        <w:t xml:space="preserve">, vol. 6, no. 3, p. e005207, Mar. 2021, doi:</w:t>
      </w:r>
      <w:r>
        <w:t xml:space="preserve"> </w:t>
      </w:r>
      <w:hyperlink r:id="rId108">
        <w:r>
          <w:rPr>
            <w:rStyle w:val="Hyperlink"/>
          </w:rPr>
          <w:t xml:space="preserve">10.1136/bmjgh-2021-005207</w:t>
        </w:r>
      </w:hyperlink>
      <w:r>
        <w:t xml:space="preserve">.</w:t>
      </w:r>
    </w:p>
    <w:bookmarkEnd w:id="109"/>
    <w:bookmarkStart w:id="111" w:name="ref-agostoMonitoringCOVID19Contagion2021"/>
    <w:p>
      <w:pPr>
        <w:pStyle w:val="Bibliography"/>
      </w:pPr>
      <w:r>
        <w:t xml:space="preserve">[41]</w:t>
      </w:r>
      <w:r>
        <w:t xml:space="preserve"> </w:t>
      </w:r>
      <w:r>
        <w:t xml:space="preserve">	</w:t>
      </w:r>
      <w:r>
        <w:t xml:space="preserve">A. Agosto, A. Campmas, P. Giudici, and A. Renda,</w:t>
      </w:r>
      <w:r>
        <w:t xml:space="preserve"> </w:t>
      </w:r>
      <w:r>
        <w:t xml:space="preserve">“Monitoring</w:t>
      </w:r>
      <w:r>
        <w:t xml:space="preserve"> </w:t>
      </w:r>
      <w:r>
        <w:t xml:space="preserve">COVID-19</w:t>
      </w:r>
      <w:r>
        <w:t xml:space="preserve"> </w:t>
      </w:r>
      <w:r>
        <w:t xml:space="preserve">contagion growth,”</w:t>
      </w:r>
      <w:r>
        <w:t xml:space="preserve"> </w:t>
      </w:r>
      <w:r>
        <w:rPr>
          <w:iCs/>
          <w:i/>
        </w:rPr>
        <w:t xml:space="preserve">Statistics in Medicine</w:t>
      </w:r>
      <w:r>
        <w:t xml:space="preserve">, vol. 40, no. 18, pp. 4150–4160, 2021, doi:</w:t>
      </w:r>
      <w:r>
        <w:t xml:space="preserve"> </w:t>
      </w:r>
      <w:hyperlink r:id="rId110">
        <w:r>
          <w:rPr>
            <w:rStyle w:val="Hyperlink"/>
          </w:rPr>
          <w:t xml:space="preserve">10.1002/sim.9020</w:t>
        </w:r>
      </w:hyperlink>
      <w:r>
        <w:t xml:space="preserve">.</w:t>
      </w:r>
    </w:p>
    <w:bookmarkEnd w:id="111"/>
    <w:bookmarkStart w:id="113" w:name="ref-reichReplyBracherScoring2019"/>
    <w:p>
      <w:pPr>
        <w:pStyle w:val="Bibliography"/>
      </w:pPr>
      <w:r>
        <w:t xml:space="preserve">[42]</w:t>
      </w:r>
      <w:r>
        <w:t xml:space="preserve"> </w:t>
      </w:r>
      <w:r>
        <w:t xml:space="preserve">	</w:t>
      </w:r>
      <w:r>
        <w:t xml:space="preserve">N. G. Reich</w:t>
      </w:r>
      <w:r>
        <w:t xml:space="preserve"> </w:t>
      </w:r>
      <w:r>
        <w:rPr>
          <w:iCs/>
          <w:i/>
        </w:rPr>
        <w:t xml:space="preserve">et al.</w:t>
      </w:r>
      <w:r>
        <w:t xml:space="preserve">,</w:t>
      </w:r>
      <w:r>
        <w:t xml:space="preserve"> </w:t>
      </w:r>
      <w:r>
        <w:t xml:space="preserve">“Reply to</w:t>
      </w:r>
      <w:r>
        <w:t xml:space="preserve"> </w:t>
      </w:r>
      <w:r>
        <w:t xml:space="preserve">Bracher</w:t>
      </w:r>
      <w:r>
        <w:t xml:space="preserve">:</w:t>
      </w:r>
      <w:r>
        <w:t xml:space="preserve"> </w:t>
      </w:r>
      <w:r>
        <w:t xml:space="preserve">Scoring</w:t>
      </w:r>
      <w:r>
        <w:t xml:space="preserve"> </w:t>
      </w:r>
      <w:r>
        <w:t xml:space="preserve">probabilistic forecasts to maximize public health interpretability,”</w:t>
      </w:r>
      <w:r>
        <w:t xml:space="preserve"> </w:t>
      </w:r>
      <w:r>
        <w:rPr>
          <w:iCs/>
          <w:i/>
        </w:rPr>
        <w:t xml:space="preserve">Proceedings of the National Academy of Sciences</w:t>
      </w:r>
      <w:r>
        <w:t xml:space="preserve">, vol. 116, no. 42, pp. 20811–20812, Oct. 2019, doi:</w:t>
      </w:r>
      <w:r>
        <w:t xml:space="preserve"> </w:t>
      </w:r>
      <w:hyperlink r:id="rId112">
        <w:r>
          <w:rPr>
            <w:rStyle w:val="Hyperlink"/>
          </w:rPr>
          <w:t xml:space="preserve">10.1073/pnas.1912694116</w:t>
        </w:r>
      </w:hyperlink>
      <w:r>
        <w:t xml:space="preserve">.</w:t>
      </w:r>
    </w:p>
    <w:bookmarkEnd w:id="113"/>
    <w:bookmarkStart w:id="115" w:name="X1ea52653609a5915e94bc079c3ce91b3ad650b5"/>
    <w:p>
      <w:pPr>
        <w:pStyle w:val="Bibliography"/>
      </w:pPr>
      <w:r>
        <w:t xml:space="preserve">[43]</w:t>
      </w:r>
      <w:r>
        <w:t xml:space="preserve"> </w:t>
      </w:r>
      <w:r>
        <w:t xml:space="preserve">	</w:t>
      </w:r>
      <w:r>
        <w:t xml:space="preserve">J. Bracher</w:t>
      </w:r>
      <w:r>
        <w:t xml:space="preserve"> </w:t>
      </w:r>
      <w:r>
        <w:rPr>
          <w:iCs/>
          <w:i/>
        </w:rPr>
        <w:t xml:space="preserve">et al.</w:t>
      </w:r>
      <w:r>
        <w:t xml:space="preserve">,</w:t>
      </w:r>
      <w:r>
        <w:t xml:space="preserve"> </w:t>
      </w:r>
      <w:r>
        <w:t xml:space="preserve">“National and subnational short-term forecasting of</w:t>
      </w:r>
      <w:r>
        <w:t xml:space="preserve"> </w:t>
      </w:r>
      <w:r>
        <w:t xml:space="preserve">COVID-19</w:t>
      </w:r>
      <w:r>
        <w:t xml:space="preserve"> </w:t>
      </w:r>
      <w:r>
        <w:t xml:space="preserve">in</w:t>
      </w:r>
      <w:r>
        <w:t xml:space="preserve"> </w:t>
      </w:r>
      <w:r>
        <w:t xml:space="preserve">Germany</w:t>
      </w:r>
      <w:r>
        <w:t xml:space="preserve"> </w:t>
      </w:r>
      <w:r>
        <w:t xml:space="preserve">and</w:t>
      </w:r>
      <w:r>
        <w:t xml:space="preserve"> </w:t>
      </w:r>
      <w:r>
        <w:t xml:space="preserve">Poland</w:t>
      </w:r>
      <w:r>
        <w:t xml:space="preserve">, early 2021,”</w:t>
      </w:r>
      <w:r>
        <w:t xml:space="preserve"> </w:t>
      </w:r>
      <w:r>
        <w:t xml:space="preserve">p. 2021.11.05.21265810, Nov. 2021, doi:</w:t>
      </w:r>
      <w:r>
        <w:t xml:space="preserve"> </w:t>
      </w:r>
      <w:hyperlink r:id="rId114">
        <w:r>
          <w:rPr>
            <w:rStyle w:val="Hyperlink"/>
          </w:rPr>
          <w:t xml:space="preserve">10.1101/2021.11.05.21265810</w:t>
        </w:r>
      </w:hyperlink>
      <w:r>
        <w:t xml:space="preserve">.</w:t>
      </w:r>
    </w:p>
    <w:bookmarkEnd w:id="115"/>
    <w:bookmarkStart w:id="117" w:name="Xcbecc359757b9028e03d651ca1084f26c0679da"/>
    <w:p>
      <w:pPr>
        <w:pStyle w:val="Bibliography"/>
      </w:pPr>
      <w:r>
        <w:t xml:space="preserve">[44]</w:t>
      </w:r>
      <w:r>
        <w:t xml:space="preserve"> </w:t>
      </w:r>
      <w:r>
        <w:t xml:space="preserve">	</w:t>
      </w:r>
      <w:r>
        <w:t xml:space="preserve">European Centre for Disease Prevention and Control,</w:t>
      </w:r>
      <w:r>
        <w:t xml:space="preserve"> </w:t>
      </w:r>
      <w:r>
        <w:t xml:space="preserve">“Overview of the implementation of</w:t>
      </w:r>
      <w:r>
        <w:t xml:space="preserve"> </w:t>
      </w:r>
      <w:r>
        <w:t xml:space="preserve">COVID-19</w:t>
      </w:r>
      <w:r>
        <w:t xml:space="preserve"> </w:t>
      </w:r>
      <w:r>
        <w:t xml:space="preserve">vaccination strategies and deployment plans in the</w:t>
      </w:r>
      <w:r>
        <w:t xml:space="preserve"> </w:t>
      </w:r>
      <w:r>
        <w:t xml:space="preserve">EU</w:t>
      </w:r>
      <w:r>
        <w:t xml:space="preserve">/</w:t>
      </w:r>
      <w:r>
        <w:t xml:space="preserve">EEA</w:t>
      </w:r>
      <w:r>
        <w:t xml:space="preserve">,”</w:t>
      </w:r>
      <w:r>
        <w:t xml:space="preserve"> </w:t>
      </w:r>
      <w:r>
        <w:t xml:space="preserve">ECDC</w:t>
      </w:r>
      <w:r>
        <w:t xml:space="preserve">,</w:t>
      </w:r>
      <w:r>
        <w:t xml:space="preserve"> </w:t>
      </w:r>
      <w:r>
        <w:t xml:space="preserve">Stockholm</w:t>
      </w:r>
      <w:r>
        <w:t xml:space="preserve">, Nov. 2021.Available:</w:t>
      </w:r>
      <w:r>
        <w:t xml:space="preserve"> </w:t>
      </w:r>
      <w:hyperlink r:id="rId116">
        <w:r>
          <w:rPr>
            <w:rStyle w:val="Hyperlink"/>
          </w:rPr>
          <w:t xml:space="preserve">https://www.ecdc.europa.eu/en/publications-data/overview-implementation-covid-19-vaccination-strategies-and-deployment-plans</w:t>
        </w:r>
      </w:hyperlink>
    </w:p>
    <w:bookmarkEnd w:id="117"/>
    <w:bookmarkStart w:id="119" w:name="ref-borcheringModelingFutureCOVID192021"/>
    <w:p>
      <w:pPr>
        <w:pStyle w:val="Bibliography"/>
      </w:pPr>
      <w:r>
        <w:t xml:space="preserve">[45]</w:t>
      </w:r>
      <w:r>
        <w:t xml:space="preserve"> </w:t>
      </w:r>
      <w:r>
        <w:t xml:space="preserve">	</w:t>
      </w:r>
      <w:r>
        <w:t xml:space="preserve">R. K. Borchering,</w:t>
      </w:r>
      <w:r>
        <w:t xml:space="preserve"> </w:t>
      </w:r>
      <w:r>
        <w:t xml:space="preserve">“Modeling of</w:t>
      </w:r>
      <w:r>
        <w:t xml:space="preserve"> </w:t>
      </w:r>
      <w:r>
        <w:t xml:space="preserve">Future COVID-19 Cases</w:t>
      </w:r>
      <w:r>
        <w:t xml:space="preserve">,</w:t>
      </w:r>
      <w:r>
        <w:t xml:space="preserve"> </w:t>
      </w:r>
      <w:r>
        <w:t xml:space="preserve">Hospitalizations</w:t>
      </w:r>
      <w:r>
        <w:t xml:space="preserve">, and</w:t>
      </w:r>
      <w:r>
        <w:t xml:space="preserve"> </w:t>
      </w:r>
      <w:r>
        <w:t xml:space="preserve">Deaths</w:t>
      </w:r>
      <w:r>
        <w:t xml:space="preserve">, by</w:t>
      </w:r>
      <w:r>
        <w:t xml:space="preserve"> </w:t>
      </w:r>
      <w:r>
        <w:t xml:space="preserve">Vaccination Rates</w:t>
      </w:r>
      <w:r>
        <w:t xml:space="preserve"> </w:t>
      </w:r>
      <w:r>
        <w:t xml:space="preserve">and</w:t>
      </w:r>
      <w:r>
        <w:t xml:space="preserve"> </w:t>
      </w:r>
      <w:r>
        <w:t xml:space="preserve">Nonpharmaceutical Intervention Scenarios</w:t>
      </w:r>
      <w:r>
        <w:t xml:space="preserve"> </w:t>
      </w:r>
      <w:r>
        <w:t xml:space="preserve">—</w:t>
      </w:r>
      <w:r>
        <w:t xml:space="preserve"> </w:t>
      </w:r>
      <w:r>
        <w:t xml:space="preserve">United States</w:t>
      </w:r>
      <w:r>
        <w:t xml:space="preserve">,</w:t>
      </w:r>
      <w:r>
        <w:t xml:space="preserve"> </w:t>
      </w:r>
      <w:r>
        <w:t xml:space="preserve">April</w:t>
      </w:r>
      <w:r>
        <w:t xml:space="preserve">–</w:t>
      </w:r>
      <w:r>
        <w:t xml:space="preserve">September</w:t>
      </w:r>
      <w:r>
        <w:t xml:space="preserve"> </w:t>
      </w:r>
      <w:r>
        <w:t xml:space="preserve">2021,”</w:t>
      </w:r>
      <w:r>
        <w:t xml:space="preserve"> </w:t>
      </w:r>
      <w:r>
        <w:rPr>
          <w:iCs/>
          <w:i/>
        </w:rPr>
        <w:t xml:space="preserve">MMWR Morb Mortal Wkly Rep</w:t>
      </w:r>
      <w:r>
        <w:t xml:space="preserve">, vol. 70, 2021, doi:</w:t>
      </w:r>
      <w:r>
        <w:t xml:space="preserve"> </w:t>
      </w:r>
      <w:hyperlink r:id="rId118">
        <w:r>
          <w:rPr>
            <w:rStyle w:val="Hyperlink"/>
          </w:rPr>
          <w:t xml:space="preserve">10.15585/mmwr.mm7019e3</w:t>
        </w:r>
      </w:hyperlink>
      <w:r>
        <w:t xml:space="preserve">.</w:t>
      </w:r>
    </w:p>
    <w:bookmarkEnd w:id="119"/>
    <w:bookmarkStart w:id="121" w:name="X377fe7ff4603ccbfb6be7f58a84f068d7bf8ae0"/>
    <w:p>
      <w:pPr>
        <w:pStyle w:val="Bibliography"/>
      </w:pPr>
      <w:r>
        <w:t xml:space="preserve">[46]</w:t>
      </w:r>
      <w:r>
        <w:t xml:space="preserve"> </w:t>
      </w:r>
      <w:r>
        <w:t xml:space="preserve">	</w:t>
      </w:r>
      <w:r>
        <w:t xml:space="preserve">S. V. Scarpino and G. Petri,</w:t>
      </w:r>
      <w:r>
        <w:t xml:space="preserve"> </w:t>
      </w:r>
      <w:r>
        <w:t xml:space="preserve">“On the predictability of infectious disease outbreaks,”</w:t>
      </w:r>
      <w:r>
        <w:t xml:space="preserve"> </w:t>
      </w:r>
      <w:r>
        <w:rPr>
          <w:iCs/>
          <w:i/>
        </w:rPr>
        <w:t xml:space="preserve">Nat Commun</w:t>
      </w:r>
      <w:r>
        <w:t xml:space="preserve">, vol. 10, no. 1, 1, p. 898, Feb. 2019, doi:</w:t>
      </w:r>
      <w:r>
        <w:t xml:space="preserve"> </w:t>
      </w:r>
      <w:hyperlink r:id="rId120">
        <w:r>
          <w:rPr>
            <w:rStyle w:val="Hyperlink"/>
          </w:rPr>
          <w:t xml:space="preserve">10.1038/s41467-019-08616-0</w:t>
        </w:r>
      </w:hyperlink>
      <w:r>
        <w:t xml:space="preserve">.</w:t>
      </w:r>
    </w:p>
    <w:bookmarkEnd w:id="121"/>
    <w:bookmarkStart w:id="123" w:name="Xd296f68d78ad523c879054e45a3025aeea01f9a"/>
    <w:p>
      <w:pPr>
        <w:pStyle w:val="Bibliography"/>
      </w:pPr>
      <w:r>
        <w:t xml:space="preserve">[47]</w:t>
      </w:r>
      <w:r>
        <w:t xml:space="preserve"> </w:t>
      </w:r>
      <w:r>
        <w:t xml:space="preserve">	</w:t>
      </w:r>
      <w:r>
        <w:t xml:space="preserve">D. J. Rosenkrantz</w:t>
      </w:r>
      <w:r>
        <w:t xml:space="preserve"> </w:t>
      </w:r>
      <w:r>
        <w:rPr>
          <w:iCs/>
          <w:i/>
        </w:rPr>
        <w:t xml:space="preserve">et al.</w:t>
      </w:r>
      <w:r>
        <w:t xml:space="preserve">,</w:t>
      </w:r>
      <w:r>
        <w:t xml:space="preserve"> </w:t>
      </w:r>
      <w:r>
        <w:t xml:space="preserve">“Fundamental limitations on efficiently forecasting certain epidemic measures in network models,”</w:t>
      </w:r>
      <w:r>
        <w:t xml:space="preserve"> </w:t>
      </w:r>
      <w:r>
        <w:rPr>
          <w:iCs/>
          <w:i/>
        </w:rPr>
        <w:t xml:space="preserve">Proceedings of the National Academy of Sciences</w:t>
      </w:r>
      <w:r>
        <w:t xml:space="preserve">, vol. 119, no. 4, p. e2109228119, Jan. 2022, doi:</w:t>
      </w:r>
      <w:r>
        <w:t xml:space="preserve"> </w:t>
      </w:r>
      <w:hyperlink r:id="rId122">
        <w:r>
          <w:rPr>
            <w:rStyle w:val="Hyperlink"/>
          </w:rPr>
          <w:t xml:space="preserve">10.1073/pnas.2109228119</w:t>
        </w:r>
      </w:hyperlink>
      <w:r>
        <w:t xml:space="preserve">.</w:t>
      </w:r>
    </w:p>
    <w:bookmarkEnd w:id="123"/>
    <w:bookmarkStart w:id="125" w:name="ref-coriKeyDataOutbreak2017"/>
    <w:p>
      <w:pPr>
        <w:pStyle w:val="Bibliography"/>
      </w:pPr>
      <w:r>
        <w:t xml:space="preserve">[48]</w:t>
      </w:r>
      <w:r>
        <w:t xml:space="preserve"> </w:t>
      </w:r>
      <w:r>
        <w:t xml:space="preserve">	</w:t>
      </w:r>
      <w:r>
        <w:t xml:space="preserve">A. Cori</w:t>
      </w:r>
      <w:r>
        <w:t xml:space="preserve"> </w:t>
      </w:r>
      <w:r>
        <w:rPr>
          <w:iCs/>
          <w:i/>
        </w:rPr>
        <w:t xml:space="preserve">et al.</w:t>
      </w:r>
      <w:r>
        <w:t xml:space="preserve">,</w:t>
      </w:r>
      <w:r>
        <w:t xml:space="preserve"> </w:t>
      </w:r>
      <w:r>
        <w:t xml:space="preserve">“Key data for outbreak evaluation: Building on the</w:t>
      </w:r>
      <w:r>
        <w:t xml:space="preserve"> </w:t>
      </w:r>
      <w:r>
        <w:t xml:space="preserve">Ebola</w:t>
      </w:r>
      <w:r>
        <w:t xml:space="preserve"> </w:t>
      </w:r>
      <w:r>
        <w:t xml:space="preserve">experience,”</w:t>
      </w:r>
      <w:r>
        <w:t xml:space="preserve"> </w:t>
      </w:r>
      <w:r>
        <w:rPr>
          <w:iCs/>
          <w:i/>
        </w:rPr>
        <w:t xml:space="preserve">Philosophical Transactions of the Royal Society B: Biological Sciences</w:t>
      </w:r>
      <w:r>
        <w:t xml:space="preserve">, vol. 372, no. 1721, p. 20160371, May 2017, doi:</w:t>
      </w:r>
      <w:r>
        <w:t xml:space="preserve"> </w:t>
      </w:r>
      <w:hyperlink r:id="rId124">
        <w:r>
          <w:rPr>
            <w:rStyle w:val="Hyperlink"/>
          </w:rPr>
          <w:t xml:space="preserve">10.1098/rstb.2016.0371</w:t>
        </w:r>
      </w:hyperlink>
      <w:r>
        <w:t xml:space="preserve">.</w:t>
      </w:r>
    </w:p>
    <w:bookmarkEnd w:id="125"/>
    <w:bookmarkStart w:id="127" w:name="ref-desaiRealtimeEpidemicForecasting2019"/>
    <w:p>
      <w:pPr>
        <w:pStyle w:val="Bibliography"/>
      </w:pPr>
      <w:r>
        <w:t xml:space="preserve">[49]</w:t>
      </w:r>
      <w:r>
        <w:t xml:space="preserve"> </w:t>
      </w:r>
      <w:r>
        <w:t xml:space="preserve">	</w:t>
      </w:r>
      <w:r>
        <w:t xml:space="preserve">A. N. Desai</w:t>
      </w:r>
      <w:r>
        <w:t xml:space="preserve"> </w:t>
      </w:r>
      <w:r>
        <w:rPr>
          <w:iCs/>
          <w:i/>
        </w:rPr>
        <w:t xml:space="preserve">et al.</w:t>
      </w:r>
      <w:r>
        <w:t xml:space="preserve">,</w:t>
      </w:r>
      <w:r>
        <w:t xml:space="preserve"> </w:t>
      </w:r>
      <w:r>
        <w:t xml:space="preserve">“Real-time</w:t>
      </w:r>
      <w:r>
        <w:t xml:space="preserve"> </w:t>
      </w:r>
      <w:r>
        <w:t xml:space="preserve">Epidemic Forecasting</w:t>
      </w:r>
      <w:r>
        <w:t xml:space="preserve">:</w:t>
      </w:r>
      <w:r>
        <w:t xml:space="preserve"> </w:t>
      </w:r>
      <w:r>
        <w:t xml:space="preserve">Challenges</w:t>
      </w:r>
      <w:r>
        <w:t xml:space="preserve"> </w:t>
      </w:r>
      <w:r>
        <w:t xml:space="preserve">and</w:t>
      </w:r>
      <w:r>
        <w:t xml:space="preserve"> </w:t>
      </w:r>
      <w:r>
        <w:t xml:space="preserve">Opportunities</w:t>
      </w:r>
      <w:r>
        <w:t xml:space="preserve">,”</w:t>
      </w:r>
      <w:r>
        <w:t xml:space="preserve"> </w:t>
      </w:r>
      <w:r>
        <w:rPr>
          <w:iCs/>
          <w:i/>
        </w:rPr>
        <w:t xml:space="preserve">Health Secur</w:t>
      </w:r>
      <w:r>
        <w:t xml:space="preserve">, vol. 17, no. 4, pp. 268–275, 2019 Jul/Aug, doi:</w:t>
      </w:r>
      <w:r>
        <w:t xml:space="preserve"> </w:t>
      </w:r>
      <w:hyperlink r:id="rId126">
        <w:r>
          <w:rPr>
            <w:rStyle w:val="Hyperlink"/>
          </w:rPr>
          <w:t xml:space="preserve">10.1089/hs.2019.0022</w:t>
        </w:r>
      </w:hyperlink>
      <w:r>
        <w:t xml:space="preserve">.</w:t>
      </w:r>
    </w:p>
    <w:bookmarkEnd w:id="127"/>
    <w:bookmarkStart w:id="129" w:name="Xd7934e4f2e7412bab1d32e487b0b992639550f0"/>
    <w:p>
      <w:pPr>
        <w:pStyle w:val="Bibliography"/>
      </w:pPr>
      <w:r>
        <w:t xml:space="preserve">[50]</w:t>
      </w:r>
      <w:r>
        <w:t xml:space="preserve"> </w:t>
      </w:r>
      <w:r>
        <w:t xml:space="preserve">	</w:t>
      </w:r>
      <w:r>
        <w:t xml:space="preserve">European Centre for Disease Prevention and Control,</w:t>
      </w:r>
      <w:r>
        <w:t xml:space="preserve"> </w:t>
      </w:r>
      <w:r>
        <w:t xml:space="preserve">“Interim guidance on the benefits of full vaccination against</w:t>
      </w:r>
      <w:r>
        <w:t xml:space="preserve"> </w:t>
      </w:r>
      <w:r>
        <w:t xml:space="preserve">COVID-19</w:t>
      </w:r>
      <w:r>
        <w:t xml:space="preserve"> </w:t>
      </w:r>
      <w:r>
        <w:t xml:space="preserve">for transmission and implications for non-pharmaceutical interventions - 21</w:t>
      </w:r>
      <w:r>
        <w:t xml:space="preserve"> </w:t>
      </w:r>
      <w:r>
        <w:t xml:space="preserve">April</w:t>
      </w:r>
      <w:r>
        <w:t xml:space="preserve"> </w:t>
      </w:r>
      <w:r>
        <w:t xml:space="preserve">2021,”</w:t>
      </w:r>
      <w:r>
        <w:t xml:space="preserve"> </w:t>
      </w:r>
      <w:r>
        <w:t xml:space="preserve">ECDC</w:t>
      </w:r>
      <w:r>
        <w:t xml:space="preserve">,</w:t>
      </w:r>
      <w:r>
        <w:t xml:space="preserve"> </w:t>
      </w:r>
      <w:r>
        <w:t xml:space="preserve">Stockholm</w:t>
      </w:r>
      <w:r>
        <w:t xml:space="preserve">, 2021.Available:</w:t>
      </w:r>
      <w:r>
        <w:t xml:space="preserve"> </w:t>
      </w:r>
      <w:hyperlink r:id="rId128">
        <w:r>
          <w:rPr>
            <w:rStyle w:val="Hyperlink"/>
          </w:rPr>
          <w:t xml:space="preserve">https://www.ecdc.europa.eu/en/publications-data/interim-guidance-benefits-full-vaccination-against-covid-19-transmission</w:t>
        </w:r>
      </w:hyperlink>
    </w:p>
    <w:bookmarkEnd w:id="129"/>
    <w:bookmarkStart w:id="131" w:name="Xcec8835d712a9dc9cb970faea9480157a8bac2a"/>
    <w:p>
      <w:pPr>
        <w:pStyle w:val="Bibliography"/>
      </w:pPr>
      <w:r>
        <w:t xml:space="preserve">[51]</w:t>
      </w:r>
      <w:r>
        <w:t xml:space="preserve"> </w:t>
      </w:r>
      <w:r>
        <w:t xml:space="preserve">	</w:t>
      </w:r>
      <w:r>
        <w:t xml:space="preserve">European Centre for Disease Prevention and Control,</w:t>
      </w:r>
      <w:r>
        <w:t xml:space="preserve"> </w:t>
      </w:r>
      <w:r>
        <w:t xml:space="preserve">“Threat</w:t>
      </w:r>
      <w:r>
        <w:t xml:space="preserve"> </w:t>
      </w:r>
      <w:r>
        <w:t xml:space="preserve">Assessment Brief</w:t>
      </w:r>
      <w:r>
        <w:t xml:space="preserve">:</w:t>
      </w:r>
      <w:r>
        <w:t xml:space="preserve"> </w:t>
      </w:r>
      <w:r>
        <w:t xml:space="preserve">Implications</w:t>
      </w:r>
      <w:r>
        <w:t xml:space="preserve"> </w:t>
      </w:r>
      <w:r>
        <w:t xml:space="preserve">for the</w:t>
      </w:r>
      <w:r>
        <w:t xml:space="preserve"> </w:t>
      </w:r>
      <w:r>
        <w:t xml:space="preserve">EU</w:t>
      </w:r>
      <w:r>
        <w:t xml:space="preserve">/</w:t>
      </w:r>
      <w:r>
        <w:t xml:space="preserve">EEA</w:t>
      </w:r>
      <w:r>
        <w:t xml:space="preserve"> </w:t>
      </w:r>
      <w:r>
        <w:t xml:space="preserve">on the spread of the</w:t>
      </w:r>
      <w:r>
        <w:t xml:space="preserve"> </w:t>
      </w:r>
      <w:r>
        <w:t xml:space="preserve">SARS-CoV-2 Delta</w:t>
      </w:r>
      <w:r>
        <w:t xml:space="preserve"> </w:t>
      </w:r>
      <w:r>
        <w:t xml:space="preserve">(</w:t>
      </w:r>
      <w:r>
        <w:t xml:space="preserve">B</w:t>
      </w:r>
      <w:r>
        <w:t xml:space="preserve">.1.617.2) variant of concern,”</w:t>
      </w:r>
      <w:r>
        <w:t xml:space="preserve"> </w:t>
      </w:r>
      <w:r>
        <w:t xml:space="preserve">ECDC</w:t>
      </w:r>
      <w:r>
        <w:t xml:space="preserve">,</w:t>
      </w:r>
      <w:r>
        <w:t xml:space="preserve"> </w:t>
      </w:r>
      <w:r>
        <w:t xml:space="preserve">Stockholm</w:t>
      </w:r>
      <w:r>
        <w:t xml:space="preserve">, Jun. 2021.Available:</w:t>
      </w:r>
      <w:r>
        <w:t xml:space="preserve"> </w:t>
      </w:r>
      <w:hyperlink r:id="rId130">
        <w:r>
          <w:rPr>
            <w:rStyle w:val="Hyperlink"/>
          </w:rPr>
          <w:t xml:space="preserve">https://www.ecdc.europa.eu/en/publications-data/threat-assessment-emergence-and-impact-sars-cov-2-delta-variant</w:t>
        </w:r>
      </w:hyperlink>
    </w:p>
    <w:bookmarkEnd w:id="131"/>
    <w:bookmarkStart w:id="133" w:name="Xeda41576fd28c0b8ed4eb38a2744fb2418be433"/>
    <w:p>
      <w:pPr>
        <w:pStyle w:val="Bibliography"/>
      </w:pPr>
      <w:r>
        <w:t xml:space="preserve">[52]</w:t>
      </w:r>
      <w:r>
        <w:t xml:space="preserve"> </w:t>
      </w:r>
      <w:r>
        <w:t xml:space="preserve">	</w:t>
      </w:r>
      <w:r>
        <w:t xml:space="preserve">European Centre for Disease Prevention and Control,</w:t>
      </w:r>
      <w:r>
        <w:t xml:space="preserve"> </w:t>
      </w:r>
      <w:r>
        <w:t xml:space="preserve">“Assessment of the further spread and potential impact of the</w:t>
      </w:r>
      <w:r>
        <w:t xml:space="preserve"> </w:t>
      </w:r>
      <w:r>
        <w:t xml:space="preserve">SARS-CoV-2 Omicron</w:t>
      </w:r>
      <w:r>
        <w:t xml:space="preserve"> </w:t>
      </w:r>
      <w:r>
        <w:t xml:space="preserve">variant of concern in the</w:t>
      </w:r>
      <w:r>
        <w:t xml:space="preserve"> </w:t>
      </w:r>
      <w:r>
        <w:t xml:space="preserve">EU</w:t>
      </w:r>
      <w:r>
        <w:t xml:space="preserve">/</w:t>
      </w:r>
      <w:r>
        <w:t xml:space="preserve">EEA</w:t>
      </w:r>
      <w:r>
        <w:t xml:space="preserve">, 19th update,”</w:t>
      </w:r>
      <w:r>
        <w:t xml:space="preserve"> </w:t>
      </w:r>
      <w:r>
        <w:t xml:space="preserve">Jan. 27, 2022.</w:t>
      </w:r>
      <w:r>
        <w:t xml:space="preserve"> </w:t>
      </w:r>
      <w:hyperlink r:id="rId132">
        <w:r>
          <w:rPr>
            <w:rStyle w:val="Hyperlink"/>
          </w:rPr>
          <w:t xml:space="preserve">https://www.ecdc.europa.eu/en/publications-data/covid-19-omicron-risk-assessment-further-emergence-and-potential-impact</w:t>
        </w:r>
      </w:hyperlink>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90" Target="http://arxiv.org/abs/2201.12387" TargetMode="External" /><Relationship Type="http://schemas.openxmlformats.org/officeDocument/2006/relationships/hyperlink" Id="rId22" Target="https://covid19forecasthub.eu/community.html" TargetMode="External" /><Relationship Type="http://schemas.openxmlformats.org/officeDocument/2006/relationships/hyperlink" Id="rId72" Target="https://covid19forecasthub.eu/index.html" TargetMode="External" /><Relationship Type="http://schemas.openxmlformats.org/officeDocument/2006/relationships/hyperlink" Id="rId57" Target="https://doi.org/10.1002/qj.3370" TargetMode="External" /><Relationship Type="http://schemas.openxmlformats.org/officeDocument/2006/relationships/hyperlink" Id="rId110" Target="https://doi.org/10.1002/sim.9020" TargetMode="External" /><Relationship Type="http://schemas.openxmlformats.org/officeDocument/2006/relationships/hyperlink" Id="rId69" Target="https://doi.org/10.1016/S1473-3099(20)30120-1" TargetMode="External" /><Relationship Type="http://schemas.openxmlformats.org/officeDocument/2006/relationships/hyperlink" Id="rId88" Target="https://doi.org/10.1016/j.ejor.2021.06.044" TargetMode="External" /><Relationship Type="http://schemas.openxmlformats.org/officeDocument/2006/relationships/hyperlink" Id="rId55" Target="https://doi.org/10.1016/j.epidem.2017.08.002" TargetMode="External" /><Relationship Type="http://schemas.openxmlformats.org/officeDocument/2006/relationships/hyperlink" Id="rId33" Target="https://doi.org/10.1016/j.patter.2021.100310" TargetMode="External" /><Relationship Type="http://schemas.openxmlformats.org/officeDocument/2006/relationships/hyperlink" Id="rId120" Target="https://doi.org/10.1038/s41467-019-08616-0" TargetMode="External" /><Relationship Type="http://schemas.openxmlformats.org/officeDocument/2006/relationships/hyperlink" Id="rId100" Target="https://doi.org/10.1038/s41467-021-22457-w" TargetMode="External" /><Relationship Type="http://schemas.openxmlformats.org/officeDocument/2006/relationships/hyperlink" Id="rId45" Target="https://doi.org/10.1038/s41467-021-25207-0" TargetMode="External" /><Relationship Type="http://schemas.openxmlformats.org/officeDocument/2006/relationships/hyperlink" Id="rId76" Target="https://doi.org/10.1038/s41597-021-00839-5" TargetMode="External" /><Relationship Type="http://schemas.openxmlformats.org/officeDocument/2006/relationships/hyperlink" Id="rId37" Target="https://doi.org/10.1073/pnas.1812594116" TargetMode="External" /><Relationship Type="http://schemas.openxmlformats.org/officeDocument/2006/relationships/hyperlink" Id="rId53" Target="https://doi.org/10.1073/pnas.1909865116" TargetMode="External" /><Relationship Type="http://schemas.openxmlformats.org/officeDocument/2006/relationships/hyperlink" Id="rId112" Target="https://doi.org/10.1073/pnas.1912694116" TargetMode="External" /><Relationship Type="http://schemas.openxmlformats.org/officeDocument/2006/relationships/hyperlink" Id="rId98" Target="https://doi.org/10.1073/pnas.2007868117" TargetMode="External" /><Relationship Type="http://schemas.openxmlformats.org/officeDocument/2006/relationships/hyperlink" Id="rId122" Target="https://doi.org/10.1073/pnas.2109228119" TargetMode="External" /><Relationship Type="http://schemas.openxmlformats.org/officeDocument/2006/relationships/hyperlink" Id="rId126" Target="https://doi.org/10.1089/hs.2019.0022" TargetMode="External" /><Relationship Type="http://schemas.openxmlformats.org/officeDocument/2006/relationships/hyperlink" Id="rId92" Target="https://doi.org/10.1093/biomet/69.3.635" TargetMode="External" /><Relationship Type="http://schemas.openxmlformats.org/officeDocument/2006/relationships/hyperlink" Id="rId59" Target="https://doi.org/10.1093/infdis/jiw375" TargetMode="External" /><Relationship Type="http://schemas.openxmlformats.org/officeDocument/2006/relationships/hyperlink" Id="rId124" Target="https://doi.org/10.1098/rstb.2016.0371" TargetMode="External" /><Relationship Type="http://schemas.openxmlformats.org/officeDocument/2006/relationships/hyperlink" Id="rId43" Target="https://doi.org/10.1101/2020.08.19.20177493" TargetMode="External" /><Relationship Type="http://schemas.openxmlformats.org/officeDocument/2006/relationships/hyperlink" Id="rId49" Target="https://doi.org/10.1101/2020.10.18.20214767" TargetMode="External" /><Relationship Type="http://schemas.openxmlformats.org/officeDocument/2006/relationships/hyperlink" Id="rId47" Target="https://doi.org/10.1101/2020.11.11.20220962" TargetMode="External" /><Relationship Type="http://schemas.openxmlformats.org/officeDocument/2006/relationships/hyperlink" Id="rId84" Target="https://doi.org/10.1101/2021.02.03.21250974" TargetMode="External" /><Relationship Type="http://schemas.openxmlformats.org/officeDocument/2006/relationships/hyperlink" Id="rId41" Target="https://doi.org/10.1101/2021.11.04.21265886" TargetMode="External" /><Relationship Type="http://schemas.openxmlformats.org/officeDocument/2006/relationships/hyperlink" Id="rId114" Target="https://doi.org/10.1101/2021.11.05.21265810" TargetMode="External" /><Relationship Type="http://schemas.openxmlformats.org/officeDocument/2006/relationships/hyperlink" Id="rId106" Target="https://doi.org/10.1136/bmjgh-2020-003126" TargetMode="External" /><Relationship Type="http://schemas.openxmlformats.org/officeDocument/2006/relationships/hyperlink" Id="rId108" Target="https://doi.org/10.1136/bmjgh-2021-005207" TargetMode="External" /><Relationship Type="http://schemas.openxmlformats.org/officeDocument/2006/relationships/hyperlink" Id="rId35" Target="https://doi.org/10.1177/0272989X21990391" TargetMode="External" /><Relationship Type="http://schemas.openxmlformats.org/officeDocument/2006/relationships/hyperlink" Id="rId82" Target="https://doi.org/10.1198/016214506000001437" TargetMode="External" /><Relationship Type="http://schemas.openxmlformats.org/officeDocument/2006/relationships/hyperlink" Id="rId51" Target="https://doi.org/10.1371/journal.pcbi.1007486" TargetMode="External" /><Relationship Type="http://schemas.openxmlformats.org/officeDocument/2006/relationships/hyperlink" Id="rId80" Target="https://doi.org/10.1371/journal.pcbi.1008618" TargetMode="External" /><Relationship Type="http://schemas.openxmlformats.org/officeDocument/2006/relationships/hyperlink" Id="rId104" Target="https://doi.org/10.1371/journal.pone.0243701" TargetMode="External" /><Relationship Type="http://schemas.openxmlformats.org/officeDocument/2006/relationships/hyperlink" Id="rId118" Target="https://doi.org/10.15585/mmwr.mm7019e3" TargetMode="External" /><Relationship Type="http://schemas.openxmlformats.org/officeDocument/2006/relationships/hyperlink" Id="rId31" Target="https://doi.org/10.23941/ejpe.v14i1.582" TargetMode="External" /><Relationship Type="http://schemas.openxmlformats.org/officeDocument/2006/relationships/hyperlink" Id="rId102" Target="https://doi.org/10.4081/jphr.2021.2049" TargetMode="External" /><Relationship Type="http://schemas.openxmlformats.org/officeDocument/2006/relationships/hyperlink" Id="rId65" Target="https://doi.org/10.5281/zenodo.5207940" TargetMode="External" /><Relationship Type="http://schemas.openxmlformats.org/officeDocument/2006/relationships/hyperlink" Id="rId63" Target="https://doi.org/10.5281/zenodo.5208210" TargetMode="External" /><Relationship Type="http://schemas.openxmlformats.org/officeDocument/2006/relationships/hyperlink" Id="rId96" Target="https://forecasters.org/blog/2020/10/28/comparing-ensemble-approaches-for-short-term-probabilistic-covid-19-forecasts-in-the-u-s/" TargetMode="External" /><Relationship Type="http://schemas.openxmlformats.org/officeDocument/2006/relationships/hyperlink" Id="rId67" Target="https://github.com/KITmetricslab/covid19-forecast-hub-de" TargetMode="External" /><Relationship Type="http://schemas.openxmlformats.org/officeDocument/2006/relationships/hyperlink" Id="rId61" Target="https://github.com/covid19-forecast-hub-europe/covid19-forecast-hub-europe" TargetMode="External" /><Relationship Type="http://schemas.openxmlformats.org/officeDocument/2006/relationships/hyperlink" Id="rId78" Target="https://github.com/epiforecasts/scoringutils" TargetMode="External" /><Relationship Type="http://schemas.openxmlformats.org/officeDocument/2006/relationships/hyperlink" Id="rId39" Target="https://www.cdc.gov/coronavirus/2019-ncov/science/forecasting/forecasting.html" TargetMode="External" /><Relationship Type="http://schemas.openxmlformats.org/officeDocument/2006/relationships/hyperlink" Id="rId132" Target="https://www.ecdc.europa.eu/en/publications-data/covid-19-omicron-risk-assessment-further-emergence-and-potential-impact" TargetMode="External" /><Relationship Type="http://schemas.openxmlformats.org/officeDocument/2006/relationships/hyperlink" Id="rId128" Target="https://www.ecdc.europa.eu/en/publications-data/interim-guidance-benefits-full-vaccination-against-covid-19-transmission" TargetMode="External" /><Relationship Type="http://schemas.openxmlformats.org/officeDocument/2006/relationships/hyperlink" Id="rId116" Target="https://www.ecdc.europa.eu/en/publications-data/overview-implementation-covid-19-vaccination-strategies-and-deployment-plans" TargetMode="External" /><Relationship Type="http://schemas.openxmlformats.org/officeDocument/2006/relationships/hyperlink" Id="rId130" Target="https://www.ecdc.europa.eu/en/publications-data/threat-assessment-emergence-and-impact-sars-cov-2-delta-variant" TargetMode="External" /><Relationship Type="http://schemas.openxmlformats.org/officeDocument/2006/relationships/hyperlink" Id="rId86" Target="https://www.jstor.org/stable/2242003" TargetMode="External" /><Relationship Type="http://schemas.openxmlformats.org/officeDocument/2006/relationships/hyperlink" Id="rId94" Target="https://www.rdocumentation.org/packages/cNORM/versions/2.0.3/topics/weighted.quantile" TargetMode="External" /><Relationship Type="http://schemas.openxmlformats.org/officeDocument/2006/relationships/hyperlink" Id="rId74" Target="https://www.zoltardata.com/project/238" TargetMode="External" /></Relationships>
</file>

<file path=word/_rels/footnotes.xml.rels><?xml version="1.0" encoding="UTF-8"?><Relationships xmlns="http://schemas.openxmlformats.org/package/2006/relationships"><Relationship Type="http://schemas.openxmlformats.org/officeDocument/2006/relationships/hyperlink" Id="rId90" Target="http://arxiv.org/abs/2201.12387" TargetMode="External" /><Relationship Type="http://schemas.openxmlformats.org/officeDocument/2006/relationships/hyperlink" Id="rId22" Target="https://covid19forecasthub.eu/community.html" TargetMode="External" /><Relationship Type="http://schemas.openxmlformats.org/officeDocument/2006/relationships/hyperlink" Id="rId72" Target="https://covid19forecasthub.eu/index.html" TargetMode="External" /><Relationship Type="http://schemas.openxmlformats.org/officeDocument/2006/relationships/hyperlink" Id="rId57" Target="https://doi.org/10.1002/qj.3370" TargetMode="External" /><Relationship Type="http://schemas.openxmlformats.org/officeDocument/2006/relationships/hyperlink" Id="rId110" Target="https://doi.org/10.1002/sim.9020" TargetMode="External" /><Relationship Type="http://schemas.openxmlformats.org/officeDocument/2006/relationships/hyperlink" Id="rId69" Target="https://doi.org/10.1016/S1473-3099(20)30120-1" TargetMode="External" /><Relationship Type="http://schemas.openxmlformats.org/officeDocument/2006/relationships/hyperlink" Id="rId88" Target="https://doi.org/10.1016/j.ejor.2021.06.044" TargetMode="External" /><Relationship Type="http://schemas.openxmlformats.org/officeDocument/2006/relationships/hyperlink" Id="rId55" Target="https://doi.org/10.1016/j.epidem.2017.08.002" TargetMode="External" /><Relationship Type="http://schemas.openxmlformats.org/officeDocument/2006/relationships/hyperlink" Id="rId33" Target="https://doi.org/10.1016/j.patter.2021.100310" TargetMode="External" /><Relationship Type="http://schemas.openxmlformats.org/officeDocument/2006/relationships/hyperlink" Id="rId120" Target="https://doi.org/10.1038/s41467-019-08616-0" TargetMode="External" /><Relationship Type="http://schemas.openxmlformats.org/officeDocument/2006/relationships/hyperlink" Id="rId100" Target="https://doi.org/10.1038/s41467-021-22457-w" TargetMode="External" /><Relationship Type="http://schemas.openxmlformats.org/officeDocument/2006/relationships/hyperlink" Id="rId45" Target="https://doi.org/10.1038/s41467-021-25207-0" TargetMode="External" /><Relationship Type="http://schemas.openxmlformats.org/officeDocument/2006/relationships/hyperlink" Id="rId76" Target="https://doi.org/10.1038/s41597-021-00839-5" TargetMode="External" /><Relationship Type="http://schemas.openxmlformats.org/officeDocument/2006/relationships/hyperlink" Id="rId37" Target="https://doi.org/10.1073/pnas.1812594116" TargetMode="External" /><Relationship Type="http://schemas.openxmlformats.org/officeDocument/2006/relationships/hyperlink" Id="rId53" Target="https://doi.org/10.1073/pnas.1909865116" TargetMode="External" /><Relationship Type="http://schemas.openxmlformats.org/officeDocument/2006/relationships/hyperlink" Id="rId112" Target="https://doi.org/10.1073/pnas.1912694116" TargetMode="External" /><Relationship Type="http://schemas.openxmlformats.org/officeDocument/2006/relationships/hyperlink" Id="rId98" Target="https://doi.org/10.1073/pnas.2007868117" TargetMode="External" /><Relationship Type="http://schemas.openxmlformats.org/officeDocument/2006/relationships/hyperlink" Id="rId122" Target="https://doi.org/10.1073/pnas.2109228119" TargetMode="External" /><Relationship Type="http://schemas.openxmlformats.org/officeDocument/2006/relationships/hyperlink" Id="rId126" Target="https://doi.org/10.1089/hs.2019.0022" TargetMode="External" /><Relationship Type="http://schemas.openxmlformats.org/officeDocument/2006/relationships/hyperlink" Id="rId92" Target="https://doi.org/10.1093/biomet/69.3.635" TargetMode="External" /><Relationship Type="http://schemas.openxmlformats.org/officeDocument/2006/relationships/hyperlink" Id="rId59" Target="https://doi.org/10.1093/infdis/jiw375" TargetMode="External" /><Relationship Type="http://schemas.openxmlformats.org/officeDocument/2006/relationships/hyperlink" Id="rId124" Target="https://doi.org/10.1098/rstb.2016.0371" TargetMode="External" /><Relationship Type="http://schemas.openxmlformats.org/officeDocument/2006/relationships/hyperlink" Id="rId43" Target="https://doi.org/10.1101/2020.08.19.20177493" TargetMode="External" /><Relationship Type="http://schemas.openxmlformats.org/officeDocument/2006/relationships/hyperlink" Id="rId49" Target="https://doi.org/10.1101/2020.10.18.20214767" TargetMode="External" /><Relationship Type="http://schemas.openxmlformats.org/officeDocument/2006/relationships/hyperlink" Id="rId47" Target="https://doi.org/10.1101/2020.11.11.20220962" TargetMode="External" /><Relationship Type="http://schemas.openxmlformats.org/officeDocument/2006/relationships/hyperlink" Id="rId84" Target="https://doi.org/10.1101/2021.02.03.21250974" TargetMode="External" /><Relationship Type="http://schemas.openxmlformats.org/officeDocument/2006/relationships/hyperlink" Id="rId41" Target="https://doi.org/10.1101/2021.11.04.21265886" TargetMode="External" /><Relationship Type="http://schemas.openxmlformats.org/officeDocument/2006/relationships/hyperlink" Id="rId114" Target="https://doi.org/10.1101/2021.11.05.21265810" TargetMode="External" /><Relationship Type="http://schemas.openxmlformats.org/officeDocument/2006/relationships/hyperlink" Id="rId106" Target="https://doi.org/10.1136/bmjgh-2020-003126" TargetMode="External" /><Relationship Type="http://schemas.openxmlformats.org/officeDocument/2006/relationships/hyperlink" Id="rId108" Target="https://doi.org/10.1136/bmjgh-2021-005207" TargetMode="External" /><Relationship Type="http://schemas.openxmlformats.org/officeDocument/2006/relationships/hyperlink" Id="rId35" Target="https://doi.org/10.1177/0272989X21990391" TargetMode="External" /><Relationship Type="http://schemas.openxmlformats.org/officeDocument/2006/relationships/hyperlink" Id="rId82" Target="https://doi.org/10.1198/016214506000001437" TargetMode="External" /><Relationship Type="http://schemas.openxmlformats.org/officeDocument/2006/relationships/hyperlink" Id="rId51" Target="https://doi.org/10.1371/journal.pcbi.1007486" TargetMode="External" /><Relationship Type="http://schemas.openxmlformats.org/officeDocument/2006/relationships/hyperlink" Id="rId80" Target="https://doi.org/10.1371/journal.pcbi.1008618" TargetMode="External" /><Relationship Type="http://schemas.openxmlformats.org/officeDocument/2006/relationships/hyperlink" Id="rId104" Target="https://doi.org/10.1371/journal.pone.0243701" TargetMode="External" /><Relationship Type="http://schemas.openxmlformats.org/officeDocument/2006/relationships/hyperlink" Id="rId118" Target="https://doi.org/10.15585/mmwr.mm7019e3" TargetMode="External" /><Relationship Type="http://schemas.openxmlformats.org/officeDocument/2006/relationships/hyperlink" Id="rId31" Target="https://doi.org/10.23941/ejpe.v14i1.582" TargetMode="External" /><Relationship Type="http://schemas.openxmlformats.org/officeDocument/2006/relationships/hyperlink" Id="rId102" Target="https://doi.org/10.4081/jphr.2021.2049" TargetMode="External" /><Relationship Type="http://schemas.openxmlformats.org/officeDocument/2006/relationships/hyperlink" Id="rId65" Target="https://doi.org/10.5281/zenodo.5207940" TargetMode="External" /><Relationship Type="http://schemas.openxmlformats.org/officeDocument/2006/relationships/hyperlink" Id="rId63" Target="https://doi.org/10.5281/zenodo.5208210" TargetMode="External" /><Relationship Type="http://schemas.openxmlformats.org/officeDocument/2006/relationships/hyperlink" Id="rId96" Target="https://forecasters.org/blog/2020/10/28/comparing-ensemble-approaches-for-short-term-probabilistic-covid-19-forecasts-in-the-u-s/" TargetMode="External" /><Relationship Type="http://schemas.openxmlformats.org/officeDocument/2006/relationships/hyperlink" Id="rId67" Target="https://github.com/KITmetricslab/covid19-forecast-hub-de" TargetMode="External" /><Relationship Type="http://schemas.openxmlformats.org/officeDocument/2006/relationships/hyperlink" Id="rId61" Target="https://github.com/covid19-forecast-hub-europe/covid19-forecast-hub-europe" TargetMode="External" /><Relationship Type="http://schemas.openxmlformats.org/officeDocument/2006/relationships/hyperlink" Id="rId78" Target="https://github.com/epiforecasts/scoringutils" TargetMode="External" /><Relationship Type="http://schemas.openxmlformats.org/officeDocument/2006/relationships/hyperlink" Id="rId39" Target="https://www.cdc.gov/coronavirus/2019-ncov/science/forecasting/forecasting.html" TargetMode="External" /><Relationship Type="http://schemas.openxmlformats.org/officeDocument/2006/relationships/hyperlink" Id="rId132" Target="https://www.ecdc.europa.eu/en/publications-data/covid-19-omicron-risk-assessment-further-emergence-and-potential-impact" TargetMode="External" /><Relationship Type="http://schemas.openxmlformats.org/officeDocument/2006/relationships/hyperlink" Id="rId128" Target="https://www.ecdc.europa.eu/en/publications-data/interim-guidance-benefits-full-vaccination-against-covid-19-transmission" TargetMode="External" /><Relationship Type="http://schemas.openxmlformats.org/officeDocument/2006/relationships/hyperlink" Id="rId116" Target="https://www.ecdc.europa.eu/en/publications-data/overview-implementation-covid-19-vaccination-strategies-and-deployment-plans" TargetMode="External" /><Relationship Type="http://schemas.openxmlformats.org/officeDocument/2006/relationships/hyperlink" Id="rId130" Target="https://www.ecdc.europa.eu/en/publications-data/threat-assessment-emergence-and-impact-sars-cov-2-delta-variant" TargetMode="External" /><Relationship Type="http://schemas.openxmlformats.org/officeDocument/2006/relationships/hyperlink" Id="rId86" Target="https://www.jstor.org/stable/2242003" TargetMode="External" /><Relationship Type="http://schemas.openxmlformats.org/officeDocument/2006/relationships/hyperlink" Id="rId94" Target="https://www.rdocumentation.org/packages/cNORM/versions/2.0.3/topics/weighted.quantile" TargetMode="External" /><Relationship Type="http://schemas.openxmlformats.org/officeDocument/2006/relationships/hyperlink" Id="rId74" Target="https://www.zoltardata.com/project/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performance of multi-model ensemble forecasts of COVID-19 across European nations</dc:title>
  <dc:creator/>
  <cp:keywords/>
  <dcterms:created xsi:type="dcterms:W3CDTF">2022-03-30T17:15:21Z</dcterms:created>
  <dcterms:modified xsi:type="dcterms:W3CDTF">2022-03-30T17:15:21Z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references.bib</vt:lpwstr>
  </property>
  <property fmtid="{D5CDD505-2E9C-101B-9397-08002B2CF9AE}" pid="4" name="csl">
    <vt:lpwstr>ieee.csl</vt:lpwstr>
  </property>
  <property fmtid="{D5CDD505-2E9C-101B-9397-08002B2CF9AE}" pid="5" name="link-citations">
    <vt:lpwstr>yes</vt:lpwstr>
  </property>
  <property fmtid="{D5CDD505-2E9C-101B-9397-08002B2CF9AE}" pid="6" name="output">
    <vt:lpwstr/>
  </property>
</Properties>
</file>