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2D6" w14:textId="28C1C49E" w:rsidR="00843773" w:rsidRPr="00281778" w:rsidRDefault="005C73D7" w:rsidP="005C73D7">
      <w:pPr>
        <w:pStyle w:val="Heading1"/>
        <w:rPr>
          <w:b/>
          <w:bCs/>
        </w:rPr>
      </w:pPr>
      <w:r w:rsidRPr="00281778">
        <w:rPr>
          <w:b/>
          <w:bCs/>
        </w:rPr>
        <w:t>Checklist methods for GALENOS meta-analyses</w:t>
      </w:r>
      <w:r w:rsidR="00FC6E25">
        <w:rPr>
          <w:b/>
          <w:bCs/>
        </w:rPr>
        <w:t xml:space="preserve"> – lsr3 </w:t>
      </w:r>
    </w:p>
    <w:p w14:paraId="6F93E82F" w14:textId="77777777" w:rsidR="00281778" w:rsidRPr="00281778" w:rsidRDefault="00281778" w:rsidP="00281778"/>
    <w:p w14:paraId="38C61A3C" w14:textId="22E93FE6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0"/>
      <w:r w:rsidRPr="00281778">
        <w:rPr>
          <w:sz w:val="24"/>
          <w:szCs w:val="24"/>
        </w:rPr>
        <w:tab/>
        <w:t xml:space="preserve">Produce prediction intervals and show them in forest </w:t>
      </w:r>
      <w:proofErr w:type="gramStart"/>
      <w:r w:rsidRPr="00281778">
        <w:rPr>
          <w:sz w:val="24"/>
          <w:szCs w:val="24"/>
        </w:rPr>
        <w:t>plot</w:t>
      </w:r>
      <w:proofErr w:type="gramEnd"/>
    </w:p>
    <w:p w14:paraId="274F18DD" w14:textId="07AD95F5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Prediction intervals were not presented given the small number of studies (as suggested before). </w:t>
      </w:r>
    </w:p>
    <w:p w14:paraId="526FBFEB" w14:textId="0E7A6428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1"/>
      <w:r w:rsidRPr="00281778">
        <w:rPr>
          <w:sz w:val="24"/>
          <w:szCs w:val="24"/>
        </w:rPr>
        <w:tab/>
        <w:t xml:space="preserve">Report </w:t>
      </w:r>
      <w:r w:rsidRPr="00281778">
        <w:rPr>
          <w:sz w:val="24"/>
          <w:szCs w:val="24"/>
        </w:rPr>
        <w:sym w:font="Symbol" w:char="F074"/>
      </w:r>
      <w:r w:rsidRPr="00281778">
        <w:rPr>
          <w:sz w:val="24"/>
          <w:szCs w:val="24"/>
        </w:rPr>
        <w:t xml:space="preserve"> (estimate of heterogeneity)</w:t>
      </w:r>
    </w:p>
    <w:p w14:paraId="01060718" w14:textId="588FD824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Tau-squared is reported along with I-squared in the forest plots and summary of the evidence tables.</w:t>
      </w:r>
    </w:p>
    <w:p w14:paraId="4C24F02A" w14:textId="4B06E5B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2"/>
      <w:r w:rsidRPr="00281778">
        <w:rPr>
          <w:sz w:val="24"/>
          <w:szCs w:val="24"/>
        </w:rPr>
        <w:tab/>
        <w:t>Use Hartung-Knapp adjustment for confidence intervals (</w:t>
      </w:r>
      <w:r w:rsidRPr="00281778">
        <w:rPr>
          <w:sz w:val="24"/>
          <w:szCs w:val="24"/>
          <w:u w:val="single"/>
        </w:rPr>
        <w:t>unless &lt; 5 studies</w:t>
      </w:r>
      <w:r w:rsidRPr="00281778">
        <w:rPr>
          <w:sz w:val="24"/>
          <w:szCs w:val="24"/>
        </w:rPr>
        <w:t>)</w:t>
      </w:r>
    </w:p>
    <w:p w14:paraId="0AF41575" w14:textId="136E36A8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Hartung-Knapp was used even if the number of studies &lt;5 (as suggested before). Due to small CIs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some occasions, the adhoc.hakn.ci=”se’ was used throughout (“</w:t>
      </w:r>
      <w:r w:rsidRPr="00C7356D">
        <w:rPr>
          <w:i/>
          <w:iCs/>
          <w:sz w:val="24"/>
          <w:szCs w:val="24"/>
        </w:rPr>
        <w:t>use variance correction if HK standard error is smaller than standard error from classic random effects meta-analysis (Knapp and Hartung, 2003</w:t>
      </w:r>
      <w:r>
        <w:rPr>
          <w:sz w:val="24"/>
          <w:szCs w:val="24"/>
        </w:rPr>
        <w:t>”</w:t>
      </w:r>
      <w:r w:rsidRPr="00C7356D">
        <w:rPr>
          <w:sz w:val="24"/>
          <w:szCs w:val="24"/>
        </w:rPr>
        <w:t>)</w:t>
      </w:r>
      <w:r w:rsidR="00DD09C9">
        <w:rPr>
          <w:sz w:val="24"/>
          <w:szCs w:val="24"/>
        </w:rPr>
        <w:t>. Follow-up on 21.12.2023: I did not use HK correction.</w:t>
      </w:r>
    </w:p>
    <w:p w14:paraId="549CD2EF" w14:textId="4E4CA33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3"/>
      <w:r w:rsidRPr="00281778">
        <w:rPr>
          <w:sz w:val="24"/>
          <w:szCs w:val="24"/>
        </w:rPr>
        <w:tab/>
      </w:r>
      <w:r w:rsidRPr="00281778">
        <w:rPr>
          <w:sz w:val="24"/>
          <w:szCs w:val="24"/>
          <w:u w:val="single"/>
        </w:rPr>
        <w:t>For small sample sizes &amp; rare outcomes</w:t>
      </w:r>
      <w:r w:rsidRPr="00281778">
        <w:rPr>
          <w:sz w:val="24"/>
          <w:szCs w:val="24"/>
        </w:rPr>
        <w:t>: Mantel-Haenszel adjustment</w:t>
      </w:r>
    </w:p>
    <w:p w14:paraId="6448AD9C" w14:textId="561A97D2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Fixed-effects and MH method was used for outcomes deemed as rare events, i.e., mortality and serious adverse events (many 0 event cells). It would be nice if you could check the other outcomes, in case you believe they could be considered rare outcomes.</w:t>
      </w:r>
    </w:p>
    <w:p w14:paraId="047CE561" w14:textId="04E216EA" w:rsidR="00CC7441" w:rsidRPr="00281778" w:rsidRDefault="00CC7441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Follow-up on 19.01.2024: Since there are less than 5 studies for all outcomes, fixed-effects estimates will also be presented in the forest plots for all outcomes.  </w:t>
      </w:r>
    </w:p>
    <w:p w14:paraId="2DD6C2DB" w14:textId="152FA7FD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4"/>
      <w:r w:rsidRPr="00281778">
        <w:rPr>
          <w:sz w:val="24"/>
          <w:szCs w:val="24"/>
        </w:rPr>
        <w:tab/>
        <w:t xml:space="preserve">Contour-enhanced funnel plots (if </w:t>
      </w:r>
      <w:r w:rsidRPr="00281778">
        <w:rPr>
          <w:sz w:val="24"/>
          <w:szCs w:val="24"/>
        </w:rPr>
        <w:sym w:font="Symbol" w:char="F0B3"/>
      </w:r>
      <w:r w:rsidRPr="00281778">
        <w:rPr>
          <w:sz w:val="24"/>
          <w:szCs w:val="24"/>
        </w:rPr>
        <w:t xml:space="preserve"> 10 studies)</w:t>
      </w:r>
    </w:p>
    <w:p w14:paraId="6C814D1B" w14:textId="62B3D5BF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</w:t>
      </w:r>
      <w:r w:rsidR="00CC7441">
        <w:rPr>
          <w:sz w:val="24"/>
          <w:szCs w:val="24"/>
        </w:rPr>
        <w:t>Funnel</w:t>
      </w:r>
      <w:r>
        <w:rPr>
          <w:sz w:val="24"/>
          <w:szCs w:val="24"/>
        </w:rPr>
        <w:t xml:space="preserve"> plots were not drawn as &lt;5 studies available.</w:t>
      </w:r>
    </w:p>
    <w:p w14:paraId="474DF285" w14:textId="5EE7187B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5"/>
      <w:r w:rsidRPr="00281778">
        <w:rPr>
          <w:sz w:val="24"/>
          <w:szCs w:val="24"/>
        </w:rPr>
        <w:tab/>
        <w:t xml:space="preserve">Sensitivity analysis restricting to only low risk of bias </w:t>
      </w:r>
      <w:proofErr w:type="gramStart"/>
      <w:r w:rsidRPr="00281778">
        <w:rPr>
          <w:sz w:val="24"/>
          <w:szCs w:val="24"/>
        </w:rPr>
        <w:t>studies</w:t>
      </w:r>
      <w:proofErr w:type="gramEnd"/>
    </w:p>
    <w:p w14:paraId="51EB2E51" w14:textId="281BF8B9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This sensitivity analysis was not conducted due to small number of studies AND no study with low risk of bias. (P.S. 4 studies essentially available for the primary outcome, no subgroup or sensitivity analysis was conducted).</w:t>
      </w:r>
      <w:r w:rsidR="00DD09C9">
        <w:rPr>
          <w:sz w:val="24"/>
          <w:szCs w:val="24"/>
        </w:rPr>
        <w:t xml:space="preserve"> Follow up on 21.12.2023: No studies can be excluded in sensitivity analysis. </w:t>
      </w:r>
    </w:p>
    <w:p w14:paraId="624334FC" w14:textId="34ACF135" w:rsidR="00281778" w:rsidRDefault="00C7356D" w:rsidP="00281778">
      <w:pPr>
        <w:rPr>
          <w:sz w:val="24"/>
          <w:szCs w:val="24"/>
        </w:rPr>
      </w:pPr>
      <w:r w:rsidRPr="00CC7441">
        <w:rPr>
          <w:sz w:val="24"/>
          <w:szCs w:val="24"/>
        </w:rPr>
        <w:t>Additional comment</w:t>
      </w:r>
      <w:r w:rsidR="00FC6E25" w:rsidRPr="00CC7441">
        <w:rPr>
          <w:sz w:val="24"/>
          <w:szCs w:val="24"/>
        </w:rPr>
        <w:t>s</w:t>
      </w:r>
    </w:p>
    <w:p w14:paraId="25CF19D1" w14:textId="458A1E8D" w:rsidR="00C7356D" w:rsidRDefault="00C7356D" w:rsidP="00C7356D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r w:rsidRPr="00281778">
        <w:rPr>
          <w:sz w:val="24"/>
          <w:szCs w:val="24"/>
        </w:rPr>
        <w:tab/>
      </w:r>
      <w:r>
        <w:rPr>
          <w:sz w:val="24"/>
          <w:szCs w:val="24"/>
        </w:rPr>
        <w:t>Crossover trials</w:t>
      </w:r>
    </w:p>
    <w:p w14:paraId="7D2D580F" w14:textId="1AE4CCDA" w:rsidR="00C47C03" w:rsidRDefault="00C7356D" w:rsidP="00C7356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6"/>
      <w:commentRangeStart w:id="7"/>
      <w:r>
        <w:rPr>
          <w:sz w:val="24"/>
          <w:szCs w:val="24"/>
        </w:rPr>
        <w:t xml:space="preserve">Dichotomous outcomes. Crossover studies did not report the first phase. I analysed them according to </w:t>
      </w:r>
      <w:proofErr w:type="spellStart"/>
      <w:r>
        <w:rPr>
          <w:sz w:val="24"/>
          <w:szCs w:val="24"/>
        </w:rPr>
        <w:t>Elbourne</w:t>
      </w:r>
      <w:proofErr w:type="spellEnd"/>
      <w:r>
        <w:rPr>
          <w:sz w:val="24"/>
          <w:szCs w:val="24"/>
        </w:rPr>
        <w:t xml:space="preserve"> et al. 2002 (</w:t>
      </w:r>
      <w:hyperlink r:id="rId6" w:history="1">
        <w:r w:rsidRPr="00E6688D">
          <w:rPr>
            <w:rStyle w:val="Hyperlink"/>
            <w:sz w:val="24"/>
            <w:szCs w:val="24"/>
          </w:rPr>
          <w:t>https://academic.oup.com/ije/article/31/1/140/655940?login=false</w:t>
        </w:r>
      </w:hyperlink>
      <w:r>
        <w:rPr>
          <w:sz w:val="24"/>
          <w:szCs w:val="24"/>
        </w:rPr>
        <w:t>)</w:t>
      </w:r>
      <w:r w:rsidR="00C47C03">
        <w:rPr>
          <w:sz w:val="24"/>
          <w:szCs w:val="24"/>
        </w:rPr>
        <w:t xml:space="preserve">, and specifically (assuming 0 correlation as it may be appropriate probably for adverse events): </w:t>
      </w:r>
      <w:commentRangeEnd w:id="6"/>
      <w:r w:rsidR="004A150B">
        <w:rPr>
          <w:rStyle w:val="CommentReference"/>
        </w:rPr>
        <w:commentReference w:id="6"/>
      </w:r>
      <w:commentRangeEnd w:id="7"/>
      <w:r w:rsidR="00CC7441">
        <w:rPr>
          <w:rStyle w:val="CommentReference"/>
        </w:rPr>
        <w:commentReference w:id="7"/>
      </w:r>
    </w:p>
    <w:p w14:paraId="75B10F70" w14:textId="1DD9826C" w:rsidR="00C7356D" w:rsidRDefault="00C47C03" w:rsidP="00C47C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317FD6" wp14:editId="1CD36669">
            <wp:extent cx="4038600" cy="4660900"/>
            <wp:effectExtent l="0" t="0" r="0" b="0"/>
            <wp:docPr id="1722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013" name="Picture 17227090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F93C" w14:textId="07AF6923" w:rsidR="00CC7441" w:rsidRPr="00CC7441" w:rsidRDefault="00CC7441" w:rsidP="00CC7441">
      <w:pPr>
        <w:rPr>
          <w:sz w:val="24"/>
          <w:szCs w:val="24"/>
        </w:rPr>
      </w:pPr>
      <w:r>
        <w:rPr>
          <w:sz w:val="24"/>
          <w:szCs w:val="24"/>
        </w:rPr>
        <w:t xml:space="preserve">Follow-up on 19.01.2024: A correlation of 0.2 will be used using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formula to correct the SE of logOR. </w:t>
      </w:r>
    </w:p>
    <w:p w14:paraId="76CF7C5F" w14:textId="3658669A" w:rsidR="00C47C03" w:rsidRDefault="00C47C03" w:rsidP="00C47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C47C03">
        <w:rPr>
          <w:sz w:val="24"/>
          <w:szCs w:val="24"/>
        </w:rPr>
        <w:t>crossover study (</w:t>
      </w:r>
      <w:proofErr w:type="spellStart"/>
      <w:r w:rsidRPr="00C47C03">
        <w:rPr>
          <w:sz w:val="24"/>
          <w:szCs w:val="24"/>
        </w:rPr>
        <w:t>Tsukada</w:t>
      </w:r>
      <w:proofErr w:type="spellEnd"/>
      <w:r w:rsidRPr="00C47C03">
        <w:rPr>
          <w:sz w:val="24"/>
          <w:szCs w:val="24"/>
        </w:rPr>
        <w:t xml:space="preserve"> et al., 2023) reported data for a continuous outcome, i.e., QTc interval </w:t>
      </w:r>
      <w:r>
        <w:rPr>
          <w:sz w:val="24"/>
          <w:szCs w:val="24"/>
        </w:rPr>
        <w:t>in msec</w:t>
      </w:r>
      <w:r w:rsidRPr="00C47C03">
        <w:rPr>
          <w:sz w:val="24"/>
          <w:szCs w:val="24"/>
        </w:rPr>
        <w:t xml:space="preserve"> taking into consideration the crossover periods</w:t>
      </w:r>
      <w:r>
        <w:rPr>
          <w:sz w:val="24"/>
          <w:szCs w:val="24"/>
        </w:rPr>
        <w:t xml:space="preserve">, i.e., mixed-effect models and used the TE and </w:t>
      </w:r>
      <w:proofErr w:type="spellStart"/>
      <w:r>
        <w:rPr>
          <w:sz w:val="24"/>
          <w:szCs w:val="24"/>
        </w:rPr>
        <w:t>seTE</w:t>
      </w:r>
      <w:proofErr w:type="spellEnd"/>
      <w:r>
        <w:rPr>
          <w:sz w:val="24"/>
          <w:szCs w:val="24"/>
        </w:rPr>
        <w:t xml:space="preserve"> as </w:t>
      </w:r>
      <w:r w:rsidRPr="00C47C03">
        <w:rPr>
          <w:sz w:val="24"/>
          <w:szCs w:val="24"/>
        </w:rPr>
        <w:t>reported from that study. However, the study reported multiple time points within a day</w:t>
      </w:r>
      <w:r>
        <w:rPr>
          <w:sz w:val="24"/>
          <w:szCs w:val="24"/>
        </w:rPr>
        <w:t xml:space="preserve"> (not equidistant)</w:t>
      </w:r>
      <w:r w:rsidRPr="00C47C03">
        <w:rPr>
          <w:sz w:val="24"/>
          <w:szCs w:val="24"/>
        </w:rPr>
        <w:t xml:space="preserve">. </w:t>
      </w:r>
      <w:commentRangeStart w:id="8"/>
      <w:commentRangeStart w:id="9"/>
      <w:r w:rsidRPr="00C47C03">
        <w:rPr>
          <w:sz w:val="24"/>
          <w:szCs w:val="24"/>
        </w:rPr>
        <w:t>Therefore, I calculated the AUC and then divided it by 24 hours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 xml:space="preserve">an </w:t>
      </w:r>
      <w:r>
        <w:rPr>
          <w:sz w:val="24"/>
          <w:szCs w:val="24"/>
        </w:rPr>
        <w:t>estimate</w:t>
      </w:r>
      <w:r w:rsidR="00CC7441">
        <w:rPr>
          <w:sz w:val="24"/>
          <w:szCs w:val="24"/>
        </w:rPr>
        <w:t xml:space="preserve"> in msec, which allows the contextualization with the estimates in other studies that measure QTc intervals at single timepoints</w:t>
      </w:r>
      <w:r w:rsidRPr="00C47C03">
        <w:rPr>
          <w:sz w:val="24"/>
          <w:szCs w:val="24"/>
        </w:rPr>
        <w:t xml:space="preserve">. </w:t>
      </w:r>
      <w:commentRangeEnd w:id="8"/>
      <w:r w:rsidR="004A150B">
        <w:rPr>
          <w:rStyle w:val="CommentReference"/>
        </w:rPr>
        <w:commentReference w:id="8"/>
      </w:r>
      <w:commentRangeEnd w:id="9"/>
      <w:r w:rsidR="00CC7441">
        <w:rPr>
          <w:rStyle w:val="CommentReference"/>
        </w:rPr>
        <w:commentReference w:id="9"/>
      </w:r>
      <w:r>
        <w:rPr>
          <w:sz w:val="24"/>
          <w:szCs w:val="24"/>
        </w:rPr>
        <w:t xml:space="preserve">For this reason, </w:t>
      </w:r>
      <w:commentRangeStart w:id="10"/>
      <w:commentRangeStart w:id="11"/>
      <w:r>
        <w:rPr>
          <w:sz w:val="24"/>
          <w:szCs w:val="24"/>
        </w:rPr>
        <w:t xml:space="preserve">I used </w:t>
      </w:r>
      <w:r w:rsidRPr="00C47C03">
        <w:rPr>
          <w:sz w:val="24"/>
          <w:szCs w:val="24"/>
        </w:rPr>
        <w:t xml:space="preserve">  </w:t>
      </w:r>
      <w:commentRangeEnd w:id="10"/>
      <w:r w:rsidR="004A150B">
        <w:rPr>
          <w:rStyle w:val="CommentReference"/>
        </w:rPr>
        <w:commentReference w:id="10"/>
      </w:r>
      <w:commentRangeEnd w:id="11"/>
      <w:r w:rsidR="00CC7441">
        <w:rPr>
          <w:rStyle w:val="CommentReference"/>
        </w:rPr>
        <w:commentReference w:id="11"/>
      </w:r>
      <w:r w:rsidRPr="00C47C03">
        <w:rPr>
          <w:sz w:val="24"/>
          <w:szCs w:val="24"/>
        </w:rPr>
        <w:t>and computed the AUC for the point estimate, as well as the lower and upper boundaries of the 95% CI</w:t>
      </w:r>
      <w:r>
        <w:rPr>
          <w:sz w:val="24"/>
          <w:szCs w:val="24"/>
        </w:rPr>
        <w:t xml:space="preserve"> (subsequently I calculated the SE from them). See below (reported also in data/</w:t>
      </w:r>
      <w:proofErr w:type="spellStart"/>
      <w:r>
        <w:rPr>
          <w:sz w:val="24"/>
          <w:szCs w:val="24"/>
        </w:rPr>
        <w:t>clean_</w:t>
      </w:r>
      <w:proofErr w:type="gramStart"/>
      <w:r>
        <w:rPr>
          <w:sz w:val="24"/>
          <w:szCs w:val="24"/>
        </w:rPr>
        <w:t>data.R</w:t>
      </w:r>
      <w:proofErr w:type="spellEnd"/>
      <w:proofErr w:type="gramEnd"/>
      <w:r>
        <w:rPr>
          <w:sz w:val="24"/>
          <w:szCs w:val="24"/>
        </w:rPr>
        <w:t xml:space="preserve">) </w:t>
      </w:r>
    </w:p>
    <w:p w14:paraId="01C1031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#Function for calculating AUC</w:t>
      </w:r>
    </w:p>
    <w:p w14:paraId="64A0ADE5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AUC &lt;- function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, time) </w:t>
      </w:r>
    </w:p>
    <w:p w14:paraId="033C25E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{</w:t>
      </w:r>
    </w:p>
    <w:p w14:paraId="3586D520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&lt;- 0</w:t>
      </w:r>
    </w:p>
    <w:p w14:paraId="10AB0E0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for (i in 2:(length(time))) {</w:t>
      </w:r>
    </w:p>
    <w:p w14:paraId="0D463ED9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lastRenderedPageBreak/>
        <w:t xml:space="preserve">  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+ (time[i] - </w:t>
      </w:r>
      <w:proofErr w:type="gramStart"/>
      <w:r w:rsidRPr="00C47C03">
        <w:rPr>
          <w:sz w:val="24"/>
          <w:szCs w:val="24"/>
        </w:rPr>
        <w:t>time[</w:t>
      </w:r>
      <w:proofErr w:type="gramEnd"/>
      <w:r w:rsidRPr="00C47C03">
        <w:rPr>
          <w:sz w:val="24"/>
          <w:szCs w:val="24"/>
        </w:rPr>
        <w:t>i - 1]) *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[i] + 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>[i - 1])/2</w:t>
      </w:r>
    </w:p>
    <w:p w14:paraId="5AE5BA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}</w:t>
      </w:r>
    </w:p>
    <w:p w14:paraId="3A32F4D7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</w:p>
    <w:p w14:paraId="4FE79D5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}</w:t>
      </w:r>
    </w:p>
    <w:p w14:paraId="038D0102" w14:textId="2E48310A" w:rsidR="00C47C03" w:rsidRPr="00C47C03" w:rsidRDefault="00CC7441" w:rsidP="00CC744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Follow-up on 19.01.2024: The formula is based on the linear trapezoidal rule, which is classic in calculating AUC esp. in pharmacokinetics. The formula can be found in </w:t>
      </w:r>
      <w:r w:rsidRPr="00CC7441">
        <w:rPr>
          <w:sz w:val="24"/>
          <w:szCs w:val="24"/>
        </w:rPr>
        <w:t>PMID: 731416</w:t>
      </w:r>
      <w:r>
        <w:rPr>
          <w:sz w:val="24"/>
          <w:szCs w:val="24"/>
        </w:rPr>
        <w:t>.</w:t>
      </w:r>
    </w:p>
    <w:p w14:paraId="536C65BE" w14:textId="3FEE3E9A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mean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008816D3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qtc_auc_mean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data_qtc$TE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7FE0463C" w14:textId="44EF8B9E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lower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59F364BB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qtc_aub_lb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data_qtc$lb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696C45C1" w14:textId="14CCE4AB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upper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79BCE5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qtc_aub_ub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data_qtc$ub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5EBFA71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48AF6B92" w14:textId="797A1F34" w:rsid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qtc_aub_se</w:t>
      </w:r>
      <w:proofErr w:type="spellEnd"/>
      <w:r w:rsidRPr="00C47C03">
        <w:rPr>
          <w:sz w:val="24"/>
          <w:szCs w:val="24"/>
        </w:rPr>
        <w:t>&lt;-(</w:t>
      </w:r>
      <w:proofErr w:type="spellStart"/>
      <w:r w:rsidRPr="00C47C03">
        <w:rPr>
          <w:sz w:val="24"/>
          <w:szCs w:val="24"/>
        </w:rPr>
        <w:t>qtc_aub_ub-qtc_aub_lb</w:t>
      </w:r>
      <w:proofErr w:type="spellEnd"/>
      <w:r w:rsidRPr="00C47C03">
        <w:rPr>
          <w:sz w:val="24"/>
          <w:szCs w:val="24"/>
        </w:rPr>
        <w:t>)/3.92</w:t>
      </w:r>
    </w:p>
    <w:p w14:paraId="799D2306" w14:textId="1F88E405" w:rsidR="00C47C03" w:rsidRDefault="00C47C03" w:rsidP="00C47C0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commentRangeStart w:id="12"/>
      <w:commentRangeStart w:id="13"/>
      <w:r>
        <w:rPr>
          <w:sz w:val="24"/>
          <w:szCs w:val="24"/>
        </w:rPr>
        <w:t>Another crossover study (Hopkins et al 2021) had three phases for 2 doses of ulotaront and one for placebo. I did not know how to analyse this, and thus, I excluded the lower dose of ulotaront. Do you know any other better way for this?</w:t>
      </w:r>
      <w:commentRangeEnd w:id="12"/>
      <w:r w:rsidR="009A39B4">
        <w:rPr>
          <w:rStyle w:val="CommentReference"/>
        </w:rPr>
        <w:commentReference w:id="12"/>
      </w:r>
      <w:commentRangeEnd w:id="13"/>
      <w:r w:rsidR="00CC7441">
        <w:rPr>
          <w:rStyle w:val="CommentReference"/>
        </w:rPr>
        <w:commentReference w:id="13"/>
      </w:r>
    </w:p>
    <w:p w14:paraId="60285395" w14:textId="7254B2B3" w:rsidR="00CC7441" w:rsidRDefault="00CC7441" w:rsidP="00CC74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Follow-up on 19.01.2024: The three crossover studies with usable data (Hopkins et al, </w:t>
      </w:r>
      <w:proofErr w:type="spellStart"/>
      <w:r>
        <w:rPr>
          <w:sz w:val="24"/>
          <w:szCs w:val="24"/>
        </w:rPr>
        <w:t>Tsukada</w:t>
      </w:r>
      <w:proofErr w:type="spellEnd"/>
      <w:r>
        <w:rPr>
          <w:sz w:val="24"/>
          <w:szCs w:val="24"/>
        </w:rPr>
        <w:t xml:space="preserve"> et al, and Szabo et al). were discussed per email with Georgia and Virginia. </w:t>
      </w:r>
    </w:p>
    <w:p w14:paraId="6914E8A3" w14:textId="7E565105" w:rsidR="00F25839" w:rsidRDefault="00F25839" w:rsidP="00F258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Specifically, the approach followed for each study: </w:t>
      </w:r>
    </w:p>
    <w:p w14:paraId="424244F1" w14:textId="34758BE1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Hopkins et al (2 two-period crossover cohorts, few data on side-effects) – consider it as a single crossover study since data on placebo are pooled among cohorts, use r=0.2 for dichotomous outcomes as stated above.</w:t>
      </w:r>
    </w:p>
    <w:p w14:paraId="105A7C81" w14:textId="3A3E3B5E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Szabo et al (3-period crossover, 2 doses of ulotaront and placebo) – try to pool the two doses, use r=0.2 for dichotomous outcomes as stated above.</w:t>
      </w:r>
    </w:p>
    <w:p w14:paraId="263CB1EF" w14:textId="7929C57A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Tsukada</w:t>
      </w:r>
      <w:proofErr w:type="spellEnd"/>
      <w:r>
        <w:rPr>
          <w:sz w:val="24"/>
          <w:szCs w:val="24"/>
        </w:rPr>
        <w:t xml:space="preserve"> et al (3-period crossover, ulotaront, placebo and one ineligible drug) – use QTc intervals as above using the AUC, dichotomous outcomes using r=0.2, no need to correct for multiple controls given that </w:t>
      </w:r>
    </w:p>
    <w:p w14:paraId="0CF4E0CF" w14:textId="329690D6" w:rsidR="00F25839" w:rsidRDefault="00F25839" w:rsidP="00F258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Action points: </w:t>
      </w:r>
    </w:p>
    <w:p w14:paraId="74878430" w14:textId="2ABD3422" w:rsidR="00F25839" w:rsidRDefault="00F2583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corrections in SE for three multi-arm studies with 2 comparisons. </w:t>
      </w:r>
    </w:p>
    <w:p w14:paraId="1B4FCB1E" w14:textId="02ECEB41" w:rsidR="00DD60D5" w:rsidRDefault="00DD60D5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crossover studies</w:t>
      </w:r>
    </w:p>
    <w:p w14:paraId="1FBCBDEC" w14:textId="7D5D7AE1" w:rsidR="00F25839" w:rsidRDefault="00F2583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 absolute events to include in the tables.</w:t>
      </w:r>
    </w:p>
    <w:p w14:paraId="3468F2FC" w14:textId="3A5748C2" w:rsidR="00F43659" w:rsidRDefault="00F4365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k and n </w:t>
      </w:r>
      <w:r w:rsidRPr="00F436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 and </w:t>
      </w:r>
      <w:proofErr w:type="gramStart"/>
      <w:r>
        <w:rPr>
          <w:sz w:val="24"/>
          <w:szCs w:val="24"/>
        </w:rPr>
        <w:t>n</w:t>
      </w:r>
      <w:proofErr w:type="gramEnd"/>
    </w:p>
    <w:p w14:paraId="29D1902D" w14:textId="76080FAF" w:rsidR="00F43659" w:rsidRDefault="00F4365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diamon</w:t>
      </w:r>
      <w:r w:rsidR="00DD60D5">
        <w:rPr>
          <w:sz w:val="24"/>
          <w:szCs w:val="24"/>
        </w:rPr>
        <w:t>d</w:t>
      </w:r>
      <w:r>
        <w:rPr>
          <w:sz w:val="24"/>
          <w:szCs w:val="24"/>
        </w:rPr>
        <w:t xml:space="preserve">s when single </w:t>
      </w:r>
      <w:proofErr w:type="gramStart"/>
      <w:r>
        <w:rPr>
          <w:sz w:val="24"/>
          <w:szCs w:val="24"/>
        </w:rPr>
        <w:t>studies</w:t>
      </w:r>
      <w:proofErr w:type="gramEnd"/>
    </w:p>
    <w:p w14:paraId="12CD6D5E" w14:textId="3E306234" w:rsidR="00F43659" w:rsidRDefault="00DD60D5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xlsx file with all of the meta-analytic </w:t>
      </w:r>
      <w:proofErr w:type="gramStart"/>
      <w:r>
        <w:rPr>
          <w:sz w:val="24"/>
          <w:szCs w:val="24"/>
        </w:rPr>
        <w:t>data</w:t>
      </w:r>
      <w:proofErr w:type="gramEnd"/>
    </w:p>
    <w:p w14:paraId="28F064CB" w14:textId="2065C143" w:rsidR="00DD60D5" w:rsidRDefault="00DD60D5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Conduct an analysis for the primary outcome for ulotaront and ralmitaront. </w:t>
      </w:r>
    </w:p>
    <w:p w14:paraId="5ECD96B2" w14:textId="7BCFC942" w:rsidR="00F25839" w:rsidRPr="00F25839" w:rsidRDefault="00F25839" w:rsidP="00F25839">
      <w:pPr>
        <w:pStyle w:val="ListParagraph"/>
        <w:spacing w:line="240" w:lineRule="auto"/>
        <w:ind w:left="360"/>
        <w:rPr>
          <w:sz w:val="24"/>
          <w:szCs w:val="24"/>
        </w:rPr>
      </w:pPr>
    </w:p>
    <w:sectPr w:rsidR="00F25839" w:rsidRPr="00F25839" w:rsidSect="006B23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hiocchia, Virginia (ISPM)" w:date="2024-01-04T15:55:00Z" w:initials="VC">
    <w:p w14:paraId="4B10E107" w14:textId="77777777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 correlation 0 if they only report the second phase?</w:t>
      </w:r>
    </w:p>
  </w:comment>
  <w:comment w:id="7" w:author="Spyridon Siafis" w:date="2024-01-19T16:59:00Z" w:initials="SS">
    <w:p w14:paraId="35575143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Per email communication on 19.01.2024: We will use correlation of 0.2 for adverse events and other similar outcomes</w:t>
      </w:r>
    </w:p>
  </w:comment>
  <w:comment w:id="8" w:author="Chiocchia, Virginia (ISPM)" w:date="2024-01-04T15:58:00Z" w:initials="VC">
    <w:p w14:paraId="48630881" w14:textId="1B63DF1A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you divide by 24hrs don’t you have the hourly estimate?</w:t>
      </w:r>
    </w:p>
  </w:comment>
  <w:comment w:id="9" w:author="Spyridon Siafis" w:date="2024-01-19T17:00:00Z" w:initials="SS">
    <w:p w14:paraId="7FDAE71B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Correct. Divided by 24 hours to remove the time component and have a measure comparable with the msec in other studies</w:t>
      </w:r>
    </w:p>
  </w:comment>
  <w:comment w:id="10" w:author="Chiocchia, Virginia (ISPM)" w:date="2024-01-04T15:58:00Z" w:initials="VC">
    <w:p w14:paraId="331D4152" w14:textId="5AF4758F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you find the reference for this?</w:t>
      </w:r>
    </w:p>
  </w:comment>
  <w:comment w:id="11" w:author="Spyridon Siafis" w:date="2024-01-19T17:03:00Z" w:initials="SS">
    <w:p w14:paraId="228E10E5" w14:textId="77777777" w:rsidR="00CC7441" w:rsidRDefault="00CC7441" w:rsidP="00CC7441">
      <w:r>
        <w:rPr>
          <w:rStyle w:val="CommentReference"/>
        </w:rPr>
        <w:annotationRef/>
      </w:r>
      <w:r>
        <w:rPr>
          <w:color w:val="202020"/>
          <w:sz w:val="20"/>
          <w:szCs w:val="20"/>
          <w:highlight w:val="white"/>
        </w:rPr>
        <w:t>PMID: 731416</w:t>
      </w:r>
    </w:p>
  </w:comment>
  <w:comment w:id="12" w:author="Chiocchia, Virginia (ISPM)" w:date="2024-01-04T16:06:00Z" w:initials="VC">
    <w:p w14:paraId="00CE6B87" w14:textId="1E584E38" w:rsidR="00650110" w:rsidRDefault="009A39B4" w:rsidP="00650110">
      <w:r>
        <w:rPr>
          <w:rStyle w:val="CommentReference"/>
        </w:rPr>
        <w:annotationRef/>
      </w:r>
      <w:r w:rsidR="00650110">
        <w:rPr>
          <w:sz w:val="20"/>
          <w:szCs w:val="20"/>
        </w:rPr>
        <w:t>I had a look but didn’t really understand how the trial worked i.e. the 2 stages. Have to discuss with Georgia, but I think the crossover occur within each dose cohort so even if you exclude the lower dose, you have to account for correlation</w:t>
      </w:r>
    </w:p>
  </w:comment>
  <w:comment w:id="13" w:author="Spyridon Siafis" w:date="2024-01-19T17:04:00Z" w:initials="SS">
    <w:p w14:paraId="136D2B6C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Per email communication in 19.01.2024 - see follow-up message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0E107" w15:done="1"/>
  <w15:commentEx w15:paraId="35575143" w15:paraIdParent="4B10E107" w15:done="1"/>
  <w15:commentEx w15:paraId="48630881" w15:done="1"/>
  <w15:commentEx w15:paraId="7FDAE71B" w15:paraIdParent="48630881" w15:done="1"/>
  <w15:commentEx w15:paraId="331D4152" w15:done="1"/>
  <w15:commentEx w15:paraId="228E10E5" w15:paraIdParent="331D4152" w15:done="1"/>
  <w15:commentEx w15:paraId="00CE6B87" w15:done="1"/>
  <w15:commentEx w15:paraId="136D2B6C" w15:paraIdParent="00CE6B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3F0A09" w16cex:dateUtc="2024-01-04T14:55:00Z"/>
  <w16cex:commentExtensible w16cex:durableId="3EE9819D" w16cex:dateUtc="2024-01-19T15:59:00Z"/>
  <w16cex:commentExtensible w16cex:durableId="3D6781BD" w16cex:dateUtc="2024-01-04T14:58:00Z"/>
  <w16cex:commentExtensible w16cex:durableId="41D63208" w16cex:dateUtc="2024-01-19T16:00:00Z"/>
  <w16cex:commentExtensible w16cex:durableId="0A27CCA7" w16cex:dateUtc="2024-01-04T14:58:00Z"/>
  <w16cex:commentExtensible w16cex:durableId="752C6BA9" w16cex:dateUtc="2024-01-19T16:03:00Z"/>
  <w16cex:commentExtensible w16cex:durableId="5E6F1020" w16cex:dateUtc="2024-01-04T15:06:00Z"/>
  <w16cex:commentExtensible w16cex:durableId="2172AEA5" w16cex:dateUtc="2024-01-19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0E107" w16cid:durableId="0E3F0A09"/>
  <w16cid:commentId w16cid:paraId="35575143" w16cid:durableId="3EE9819D"/>
  <w16cid:commentId w16cid:paraId="48630881" w16cid:durableId="3D6781BD"/>
  <w16cid:commentId w16cid:paraId="7FDAE71B" w16cid:durableId="41D63208"/>
  <w16cid:commentId w16cid:paraId="331D4152" w16cid:durableId="0A27CCA7"/>
  <w16cid:commentId w16cid:paraId="228E10E5" w16cid:durableId="752C6BA9"/>
  <w16cid:commentId w16cid:paraId="00CE6B87" w16cid:durableId="5E6F1020"/>
  <w16cid:commentId w16cid:paraId="136D2B6C" w16cid:durableId="2172AE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30"/>
    <w:multiLevelType w:val="hybridMultilevel"/>
    <w:tmpl w:val="F51CE858"/>
    <w:lvl w:ilvl="0" w:tplc="FA50860A">
      <w:start w:val="1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DF0A55"/>
    <w:multiLevelType w:val="hybridMultilevel"/>
    <w:tmpl w:val="62E2FFB6"/>
    <w:lvl w:ilvl="0" w:tplc="1EB2D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5573125">
    <w:abstractNumId w:val="0"/>
  </w:num>
  <w:num w:numId="2" w16cid:durableId="21014143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occhia, Virginia (ISPM)">
    <w15:presenceInfo w15:providerId="AD" w15:userId="S::virginia.chiocchia@unibe.ch::d4648b8d-a969-4199-a782-229ff2b7183f"/>
  </w15:person>
  <w15:person w15:author="Spyridon Siafis">
    <w15:presenceInfo w15:providerId="None" w15:userId="Spyridon Siaf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7"/>
    <w:rsid w:val="00036555"/>
    <w:rsid w:val="00281778"/>
    <w:rsid w:val="004A150B"/>
    <w:rsid w:val="004A2FB1"/>
    <w:rsid w:val="005C73D7"/>
    <w:rsid w:val="00650110"/>
    <w:rsid w:val="006B237A"/>
    <w:rsid w:val="006E4209"/>
    <w:rsid w:val="00843773"/>
    <w:rsid w:val="009A39B4"/>
    <w:rsid w:val="00AB5C40"/>
    <w:rsid w:val="00C47C03"/>
    <w:rsid w:val="00C7356D"/>
    <w:rsid w:val="00CC7441"/>
    <w:rsid w:val="00D33353"/>
    <w:rsid w:val="00DD09C9"/>
    <w:rsid w:val="00DD60D5"/>
    <w:rsid w:val="00F25839"/>
    <w:rsid w:val="00F43659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693"/>
  <w15:chartTrackingRefBased/>
  <w15:docId w15:val="{7D8572D0-F0BC-2944-A7D4-29F3255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3D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D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C73D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3D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D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D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3D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3D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C73D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73D7"/>
    <w:rPr>
      <w:b/>
      <w:bCs/>
    </w:rPr>
  </w:style>
  <w:style w:type="character" w:styleId="Emphasis">
    <w:name w:val="Emphasis"/>
    <w:uiPriority w:val="20"/>
    <w:qFormat/>
    <w:rsid w:val="005C73D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73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3D7"/>
  </w:style>
  <w:style w:type="paragraph" w:styleId="ListParagraph">
    <w:name w:val="List Paragraph"/>
    <w:basedOn w:val="Normal"/>
    <w:uiPriority w:val="34"/>
    <w:qFormat/>
    <w:rsid w:val="005C7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7"/>
    <w:rPr>
      <w:i/>
      <w:iCs/>
    </w:rPr>
  </w:style>
  <w:style w:type="character" w:styleId="SubtleEmphasis">
    <w:name w:val="Subtle Emphasis"/>
    <w:uiPriority w:val="19"/>
    <w:qFormat/>
    <w:rsid w:val="005C73D7"/>
    <w:rPr>
      <w:i/>
      <w:iCs/>
    </w:rPr>
  </w:style>
  <w:style w:type="character" w:styleId="IntenseEmphasis">
    <w:name w:val="Intense Emphasis"/>
    <w:uiPriority w:val="21"/>
    <w:qFormat/>
    <w:rsid w:val="005C7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3D7"/>
    <w:rPr>
      <w:smallCaps/>
    </w:rPr>
  </w:style>
  <w:style w:type="character" w:styleId="IntenseReference">
    <w:name w:val="Intense Reference"/>
    <w:uiPriority w:val="32"/>
    <w:qFormat/>
    <w:rsid w:val="005C73D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7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3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A1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50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50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ije/article/31/1/140/655940?login=fals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6CDDC-AC50-AA41-811B-75EB76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Chiocchia, Virginia (ISPM)</dc:creator>
  <cp:keywords/>
  <dc:description/>
  <cp:lastModifiedBy>Spyridon Siafis</cp:lastModifiedBy>
  <cp:revision>10</cp:revision>
  <dcterms:created xsi:type="dcterms:W3CDTF">2023-11-28T09:32:00Z</dcterms:created>
  <dcterms:modified xsi:type="dcterms:W3CDTF">2024-01-22T12:42:00Z</dcterms:modified>
</cp:coreProperties>
</file>