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book-0-ground-floor"/>
    <w:p>
      <w:pPr>
        <w:pStyle w:val="Heading1"/>
      </w:pPr>
      <w:r>
        <w:t xml:space="preserve">Book 0 · Ground floor</w:t>
      </w:r>
    </w:p>
    <w:p>
      <w:pPr>
        <w:pStyle w:val="FirstParagraph"/>
      </w:pPr>
      <w:r>
        <w:rPr>
          <w:b/>
          <w:bCs/>
        </w:rPr>
        <w:t xml:space="preserve">Edition 0.1 (draft)</w:t>
      </w:r>
      <w:r>
        <w:t xml:space="preserve"> </w:t>
      </w:r>
      <w:r>
        <w:t xml:space="preserve">· 4 of 43 sections written</w:t>
      </w:r>
    </w:p>
    <w:p>
      <w:pPr>
        <w:pStyle w:val="BodyText"/>
      </w:pPr>
      <w:r>
        <w:t xml:space="preserve">This book teaches the ground floor once, so that every other booklet can stand on it. It assumes you can read English and use a calculator. It assumes nothing else: no medicine, no biology, no remembered mathematics.</w:t>
      </w:r>
    </w:p>
    <w:p>
      <w:pPr>
        <w:pStyle w:val="BodyText"/>
      </w:pPr>
      <w:r>
        <w:t xml:space="preserve">Read it in order. Each section assumes everything before it and nothing after it. If a section looks easy, read it anyway and read it quickly — it is here because something later needs it.</w:t>
      </w:r>
    </w:p>
    <w:p>
      <w:pPr>
        <w:pStyle w:val="BodyText"/>
      </w:pPr>
      <w:r>
        <w:t xml:space="preserve">Sections keep the numbering of the full plan of 43, so a gap in the numbers is a section not yet written rather than one you have missed.</w:t>
      </w:r>
    </w:p>
    <w:bookmarkStart w:id="13" w:name="part-f-reading-and-reasoning"/>
    <w:p>
      <w:pPr>
        <w:pStyle w:val="Heading2"/>
      </w:pPr>
      <w:r>
        <w:t xml:space="preserve">Part F · Reading and reasoning</w:t>
      </w:r>
    </w:p>
    <w:bookmarkStart w:id="9" w:name="f1-reading-a-table"/>
    <w:p>
      <w:pPr>
        <w:pStyle w:val="Heading3"/>
      </w:pPr>
      <w:r>
        <w:t xml:space="preserve">F1 · Reading a table</w:t>
      </w:r>
    </w:p>
    <w:p>
      <w:pPr>
        <w:pStyle w:val="FirstParagraph"/>
      </w:pPr>
      <w:r>
        <w:rPr>
          <w:i/>
          <w:iCs/>
        </w:rPr>
        <w:t xml:space="preserve">B0-R0-C39 · derivable</w:t>
      </w:r>
    </w:p>
    <w:p>
      <w:pPr>
        <w:pStyle w:val="BodyText"/>
      </w:pPr>
      <w:r>
        <w:rPr>
          <w:b/>
          <w:bCs/>
        </w:rPr>
        <w:t xml:space="preserve">Definition.</w:t>
      </w:r>
      <w:r>
        <w:t xml:space="preserve"> </w:t>
      </w:r>
      <w:r>
        <w:t xml:space="preserve">A table presents values in a grid, so that every value is identified by the row and the column</w:t>
      </w:r>
      <w:r>
        <w:t xml:space="preserve"> </w:t>
      </w:r>
      <w:r>
        <w:t xml:space="preserve">it sits in.</w:t>
      </w:r>
    </w:p>
    <w:p>
      <w:pPr>
        <w:pStyle w:val="BodyText"/>
      </w:pPr>
      <w:r>
        <w:t xml:space="preserve">Reading a table means settling four things before reading any number. What does one row stand</w:t>
      </w:r>
      <w:r>
        <w:t xml:space="preserve"> </w:t>
      </w:r>
      <w:r>
        <w:t xml:space="preserve">for? What does each column report about it? What units and denominators do the columns use?</w:t>
      </w:r>
      <w:r>
        <w:t xml:space="preserve"> </w:t>
      </w:r>
      <w:r>
        <w:t xml:space="preserve">Where did the numbers come from?</w:t>
      </w:r>
    </w:p>
    <w:p>
      <w:pPr>
        <w:pStyle w:val="BodyText"/>
      </w:pPr>
      <w:r>
        <w:t xml:space="preserve">Until those four are settled, a cell means nothing. The same digits describe different facts</w:t>
      </w:r>
      <w:r>
        <w:t xml:space="preserve"> </w:t>
      </w:r>
      <w:r>
        <w:t xml:space="preserve">depending on whether a row is one person, one household, one district or one year.</w:t>
      </w:r>
      <w:r>
        <w:t xml:space="preserve"> </w:t>
      </w:r>
      <w:r>
        <w:t xml:space="preserve">(</w:t>
      </w:r>
      <w:r>
        <w:rPr>
          <w:i/>
          <w:iCs/>
        </w:rPr>
        <w:t xml:space="preserve">A Textbook Chapter on Tabular Presentation of Data</w:t>
      </w:r>
      <w:r>
        <w:t xml:space="preserve"> </w:t>
      </w:r>
      <w:r>
        <w:t xml:space="preserve">n.d., chapter on tabular presentation - to be confirmed on obtaining)</w:t>
      </w:r>
      <w:r>
        <w:t xml:space="preserve"> </w:t>
      </w:r>
      <w:r>
        <w:rPr>
          <w:i/>
          <w:iCs/>
        </w:rPr>
        <w:t xml:space="preserve">[unverified]</w:t>
      </w:r>
    </w:p>
    <w:p>
      <w:pPr>
        <w:pStyle w:val="BodyText"/>
      </w:pPr>
      <w:r>
        <w:rPr>
          <w:b/>
          <w:bCs/>
        </w:rPr>
        <w:t xml:space="preserve">In plain terms.</w:t>
      </w:r>
      <w:r>
        <w:t xml:space="preserve"> </w:t>
      </w:r>
      <w:r>
        <w:t xml:space="preserve">A table lays out numbers in a grid — rows running one way, columns the other. Every number sits</w:t>
      </w:r>
      <w:r>
        <w:t xml:space="preserve"> </w:t>
      </w:r>
      <w:r>
        <w:t xml:space="preserve">where a row meets a column, in a cell. A cell on its own tells you nothing.</w:t>
      </w:r>
    </w:p>
    <w:p>
      <w:pPr>
        <w:pStyle w:val="BodyText"/>
      </w:pPr>
      <w:r>
        <w:t xml:space="preserve">You have to settle four things first. What does one row stand for — one person, one household,</w:t>
      </w:r>
      <w:r>
        <w:t xml:space="preserve"> </w:t>
      </w:r>
      <w:r>
        <w:t xml:space="preserve">one whole state? That is called the unit of observation. What does each column report about that</w:t>
      </w:r>
      <w:r>
        <w:t xml:space="preserve"> </w:t>
      </w:r>
      <w:r>
        <w:t xml:space="preserve">row? What units does a column use, and if it is a percentage, what is it a percentage of — its</w:t>
      </w:r>
      <w:r>
        <w:t xml:space="preserve"> </w:t>
      </w:r>
      <w:r>
        <w:t xml:space="preserve">denominator? And where did the numbers come from, who counted them, and how?</w:t>
      </w:r>
    </w:p>
    <w:p>
      <w:pPr>
        <w:pStyle w:val="BodyText"/>
      </w:pPr>
      <w:r>
        <w:t xml:space="preserve">Settle those four before you read a single value. Skip them, and the same digits can describe</w:t>
      </w:r>
      <w:r>
        <w:t xml:space="preserve"> </w:t>
      </w:r>
      <w:r>
        <w:t xml:space="preserve">entirely different facts. Forty-five could be a headcount, a percentage, or a rank. A percentage</w:t>
      </w:r>
      <w:r>
        <w:t xml:space="preserve"> </w:t>
      </w:r>
      <w:r>
        <w:t xml:space="preserve">taken from five people is not the same evidence as a percentage taken from fifty thousand.</w:t>
      </w:r>
    </w:p>
    <w:p>
      <w:pPr>
        <w:pStyle w:val="BodyText"/>
      </w:pPr>
      <w:r>
        <w:t xml:space="preserve">The grid looks plain and finished. Reading it well takes more work than the grid lets on.</w:t>
      </w:r>
    </w:p>
    <w:p>
      <w:pPr>
        <w:pStyle w:val="BodyText"/>
      </w:pPr>
      <w:r>
        <w:rPr>
          <w:b/>
          <w:bCs/>
        </w:rPr>
        <w:t xml:space="preserve">Illustration.</w:t>
      </w:r>
      <w:r>
        <w:t xml:space="preserve"> </w:t>
      </w:r>
      <w:r>
        <w:t xml:space="preserve">Here is a table of the kind you will meet often. Sit with it and work through the four questions</w:t>
      </w:r>
      <w:r>
        <w:t xml:space="preserve"> </w:t>
      </w:r>
      <w:r>
        <w:t xml:space="preserve">in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Women surveyed</w:t>
            </w:r>
          </w:p>
        </w:tc>
        <w:tc>
          <w:tcPr/>
          <w:p>
            <w:pPr>
              <w:pStyle w:val="Compact"/>
            </w:pPr>
            <w:r>
              <w:t xml:space="preserve">Overweight or obese (%)</w:t>
            </w:r>
          </w:p>
        </w:tc>
        <w:tc>
          <w:tcPr/>
          <w:p>
            <w:pPr>
              <w:pStyle w:val="Compact"/>
            </w:pPr>
            <w:r>
              <w:t xml:space="preserve">Year</w:t>
            </w:r>
          </w:p>
        </w:tc>
      </w:tr>
      <w:tr>
        <w:tc>
          <w:tcPr/>
          <w:p>
            <w:pPr>
              <w:pStyle w:val="Compact"/>
            </w:pPr>
            <w:r>
              <w:t xml:space="preserve">A</w:t>
            </w:r>
          </w:p>
        </w:tc>
        <w:tc>
          <w:tcPr/>
          <w:p>
            <w:pPr>
              <w:pStyle w:val="Compact"/>
            </w:pPr>
            <w:r>
              <w:t xml:space="preserve">42,100</w:t>
            </w:r>
          </w:p>
        </w:tc>
        <w:tc>
          <w:tcPr/>
          <w:p>
            <w:pPr>
              <w:pStyle w:val="Compact"/>
            </w:pPr>
            <w:r>
              <w:t xml:space="preserve">24.1</w:t>
            </w:r>
          </w:p>
        </w:tc>
        <w:tc>
          <w:tcPr/>
          <w:p>
            <w:pPr>
              <w:pStyle w:val="Compact"/>
            </w:pPr>
            <w:r>
              <w:t xml:space="preserve">2019-21</w:t>
            </w:r>
          </w:p>
        </w:tc>
      </w:tr>
      <w:tr>
        <w:tc>
          <w:tcPr/>
          <w:p>
            <w:pPr>
              <w:pStyle w:val="Compact"/>
            </w:pPr>
            <w:r>
              <w:t xml:space="preserve">B</w:t>
            </w:r>
          </w:p>
        </w:tc>
        <w:tc>
          <w:tcPr/>
          <w:p>
            <w:pPr>
              <w:pStyle w:val="Compact"/>
            </w:pPr>
            <w:r>
              <w:t xml:space="preserve">18,750</w:t>
            </w:r>
          </w:p>
        </w:tc>
        <w:tc>
          <w:tcPr/>
          <w:p>
            <w:pPr>
              <w:pStyle w:val="Compact"/>
            </w:pPr>
            <w:r>
              <w:t xml:space="preserve">39.6</w:t>
            </w:r>
          </w:p>
        </w:tc>
        <w:tc>
          <w:tcPr/>
          <w:p>
            <w:pPr>
              <w:pStyle w:val="Compact"/>
            </w:pPr>
            <w:r>
              <w:t xml:space="preserve">2019-21</w:t>
            </w:r>
          </w:p>
        </w:tc>
      </w:tr>
    </w:tbl>
    <w:p>
      <w:pPr>
        <w:pStyle w:val="BodyText"/>
      </w:pPr>
      <w:r>
        <w:t xml:space="preserve">Ask first what one row stands for. Run your finger along the top row. It is one state, not one</w:t>
      </w:r>
      <w:r>
        <w:t xml:space="preserve"> </w:t>
      </w:r>
      <w:r>
        <w:t xml:space="preserve">woman. So the figure 24.1 describes nobody in particular. No sentence you write can begin</w:t>
      </w:r>
      <w:r>
        <w:t xml:space="preserve"> </w:t>
      </w:r>
      <w:r>
        <w:t xml:space="preserve">“a</w:t>
      </w:r>
      <w:r>
        <w:t xml:space="preserve"> </w:t>
      </w:r>
      <w:r>
        <w:t xml:space="preserve">woman in state A weighs”</w:t>
      </w:r>
      <w:r>
        <w:t xml:space="preserve"> </w:t>
      </w:r>
      <w:r>
        <w:t xml:space="preserve">— the row will not carry that claim.</w:t>
      </w:r>
    </w:p>
    <w:p>
      <w:pPr>
        <w:pStyle w:val="BodyText"/>
      </w:pPr>
      <w:r>
        <w:t xml:space="preserve">Ask next what each column reports. The second column counts people. The third column, sitting</w:t>
      </w:r>
      <w:r>
        <w:t xml:space="preserve"> </w:t>
      </w:r>
      <w:r>
        <w:t xml:space="preserve">right beside it, looks like the same kind of thing and is not. It is a percentage — a fraction,</w:t>
      </w:r>
      <w:r>
        <w:t xml:space="preserve"> </w:t>
      </w:r>
      <w:r>
        <w:t xml:space="preserve">always of something. Of what? Of the count in the column next to it.</w:t>
      </w:r>
    </w:p>
    <w:p>
      <w:pPr>
        <w:pStyle w:val="BodyText"/>
      </w:pPr>
      <w:r>
        <w:t xml:space="preserve">Ask about units. Look at the last column and read it slowly. It is not a single year but a span,</w:t>
      </w:r>
      <w:r>
        <w:t xml:space="preserve"> </w:t>
      </w:r>
      <w:r>
        <w:t xml:space="preserve">2019 to 2021, telling you the fieldwork ran across those years and not on one date.</w:t>
      </w:r>
    </w:p>
    <w:p>
      <w:pPr>
        <w:pStyle w:val="BodyText"/>
      </w:pPr>
      <w:r>
        <w:t xml:space="preserve">Ask where the numbers came from. Search the table for a line naming the source. There is none</w:t>
      </w:r>
      <w:r>
        <w:t xml:space="preserve"> </w:t>
      </w:r>
      <w:r>
        <w:t xml:space="preserve">here. Notice that gap, because you will need it in a moment.</w:t>
      </w:r>
    </w:p>
    <w:p>
      <w:pPr>
        <w:pStyle w:val="BodyText"/>
      </w:pPr>
      <w:r>
        <w:t xml:space="preserve">Now put the question you were going to ask anyway: is state B worse than state A?</w:t>
      </w:r>
    </w:p>
    <w:p>
      <w:pPr>
        <w:pStyle w:val="BodyText"/>
      </w:pPr>
      <w:r>
        <w:t xml:space="preserve">You cannot tell from this table alone. The two percentages differ, and that much sits on the</w:t>
      </w:r>
      <w:r>
        <w:t xml:space="preserve"> </w:t>
      </w:r>
      <w:r>
        <w:t xml:space="preserve">page. But you have not been shown who was surveyed in each state, how those women were chosen,</w:t>
      </w:r>
      <w:r>
        <w:t xml:space="preserve"> </w:t>
      </w:r>
      <w:r>
        <w:t xml:space="preserve">or how precise either figure is.</w:t>
      </w:r>
    </w:p>
    <w:p>
      <w:pPr>
        <w:pStyle w:val="BodyText"/>
      </w:pPr>
      <w:r>
        <w:t xml:space="preserve">Say only what you can defend: the two reported figures differ. Before calling that a difference</w:t>
      </w:r>
      <w:r>
        <w:t xml:space="preserve"> </w:t>
      </w:r>
      <w:r>
        <w:t xml:space="preserve">between the states, rather than a difference between two surveys, find out who was sampled, how,</w:t>
      </w:r>
      <w:r>
        <w:t xml:space="preserve"> </w:t>
      </w:r>
      <w:r>
        <w:t xml:space="preserve">and with what precision.</w:t>
      </w:r>
    </w:p>
    <w:p>
      <w:pPr>
        <w:pStyle w:val="BodyText"/>
      </w:pPr>
      <w:r>
        <w:rPr>
          <w:b/>
          <w:bCs/>
        </w:rPr>
        <w:t xml:space="preserve">Where this picture breaks.</w:t>
      </w:r>
      <w:r>
        <w:t xml:space="preserve"> </w:t>
      </w:r>
      <w:r>
        <w:t xml:space="preserve">The grid looks like the whole truth, laid out flat with nothing hidden. It is not. It is a</w:t>
      </w:r>
      <w:r>
        <w:t xml:space="preserve"> </w:t>
      </w:r>
      <w:r>
        <w:t xml:space="preserve">summary, and somebody chose it — which rows to include, which columns to print, which years to</w:t>
      </w:r>
      <w:r>
        <w:t xml:space="preserve"> </w:t>
      </w:r>
      <w:r>
        <w:t xml:space="preserve">cover, what to leave out. Those choices happened before the table reached you, and the neat</w:t>
      </w:r>
      <w:r>
        <w:t xml:space="preserve"> </w:t>
      </w:r>
      <w:r>
        <w:t xml:space="preserve">rectangle hides every one of them.</w:t>
      </w:r>
    </w:p>
    <w:p>
      <w:pPr>
        <w:pStyle w:val="BodyText"/>
      </w:pPr>
      <w:r>
        <w:t xml:space="preserve">Two people can build two honest tables from the same underlying numbers and leave two opposite</w:t>
      </w:r>
      <w:r>
        <w:t xml:space="preserve"> </w:t>
      </w:r>
      <w:r>
        <w:t xml:space="preserve">impressions. Neither has lied. Each simply chose different rows, or a different denominator, or</w:t>
      </w:r>
      <w:r>
        <w:t xml:space="preserve"> </w:t>
      </w:r>
      <w:r>
        <w:t xml:space="preserve">a different span of years. A table settles what was measured and reported. It does not settle</w:t>
      </w:r>
      <w:r>
        <w:t xml:space="preserve"> </w:t>
      </w:r>
      <w:r>
        <w:t xml:space="preserve">whether the comparison you want to make is a fair one. That check stays yours, every time,</w:t>
      </w:r>
      <w:r>
        <w:t xml:space="preserve"> </w:t>
      </w:r>
      <w:r>
        <w:t xml:space="preserve">before you set one row against another.</w:t>
      </w:r>
    </w:p>
    <w:p>
      <w:pPr>
        <w:pStyle w:val="BodyText"/>
      </w:pPr>
      <w:r>
        <w:rPr>
          <w:b/>
          <w:bCs/>
        </w:rPr>
        <w:t xml:space="preserve">Must know points for you.</w:t>
      </w:r>
    </w:p>
    <w:p>
      <w:pPr>
        <w:pStyle w:val="Compact"/>
        <w:numPr>
          <w:ilvl w:val="0"/>
          <w:numId w:val="1001"/>
        </w:numPr>
      </w:pPr>
      <w:r>
        <w:t xml:space="preserve">Before comparing two percentages across rows, check the count sitting beside each one. Twenty-four per cent of 42,100 women and twenty-four per cent of two hundred women are not the same evidence. Treating them as equal is the commonest mistake here.</w:t>
      </w:r>
    </w:p>
    <w:p>
      <w:pPr>
        <w:pStyle w:val="Compact"/>
        <w:numPr>
          <w:ilvl w:val="0"/>
          <w:numId w:val="1001"/>
        </w:numPr>
      </w:pPr>
      <w:r>
        <w:t xml:space="preserve">Ask the four questions in order, every time, before you look at any value. What is one row? What does each column report? What are the units and denominators? Where did the numbers come from?</w:t>
      </w:r>
    </w:p>
    <w:p>
      <w:pPr>
        <w:pStyle w:val="Compact"/>
        <w:numPr>
          <w:ilvl w:val="0"/>
          <w:numId w:val="1001"/>
        </w:numPr>
      </w:pPr>
      <w:r>
        <w:t xml:space="preserve">Expect an Indian survey table to report a fieldwork span rather than one year. Expect state sample sizes to differ several-fold within the same table. Miss either, and a state-to-state comparison rests on nothing.</w:t>
      </w:r>
    </w:p>
    <w:p>
      <w:pPr>
        <w:pStyle w:val="Compact"/>
        <w:numPr>
          <w:ilvl w:val="0"/>
          <w:numId w:val="1001"/>
        </w:numPr>
      </w:pPr>
      <w:r>
        <w:t xml:space="preserve">When a table arrives in a ministry deck or a press release, somebody chose its rows and columns before you saw it. That somebody holds a position. Ask what was left out. In that room it is the only way to know what you are being shown.</w:t>
      </w:r>
    </w:p>
    <w:p>
      <w:pPr>
        <w:pStyle w:val="Compact"/>
        <w:numPr>
          <w:ilvl w:val="0"/>
          <w:numId w:val="1001"/>
        </w:numPr>
      </w:pPr>
      <w:r>
        <w:t xml:space="preserve">If asked which of two percentages is higher, do not stop at naming the bigger number. Say whether the table supports a comparison at all, and name what is missing.</w:t>
      </w:r>
    </w:p>
    <w:p>
      <w:pPr>
        <w:pStyle w:val="Compact"/>
        <w:numPr>
          <w:ilvl w:val="0"/>
          <w:numId w:val="1001"/>
        </w:numPr>
      </w:pPr>
      <w:r>
        <w:t xml:space="preserve">This section gets you only to what a table says. It does not tell you whether the numbers are right, how precise they are, or whether a gap is real. When you are asked, say so plainly rather than guessing.</w:t>
      </w:r>
    </w:p>
    <w:p>
      <w:pPr>
        <w:pStyle w:val="FirstParagraph"/>
      </w:pPr>
      <w:r>
        <w:rPr>
          <w:b/>
          <w:bCs/>
        </w:rPr>
        <w:t xml:space="preserve">Exercise B0-R0-C39-E1</w:t>
      </w:r>
      <w:r>
        <w:t xml:space="preserve"> </w:t>
      </w:r>
      <w:r>
        <w:t xml:space="preserve">(interpretation). In the table above, what exactly does the number 39.6 describe? Write one sentence, and make</w:t>
      </w:r>
      <w:r>
        <w:t xml:space="preserve"> </w:t>
      </w:r>
      <w:r>
        <w:t xml:space="preserve">sure it contains the unit of observation, the denominator and the time span.</w:t>
      </w:r>
    </w:p>
    <w:p>
      <w:pPr>
        <w:pStyle w:val="BodyText"/>
      </w:pPr>
      <w:r>
        <w:rPr>
          <w:i/>
          <w:iCs/>
        </w:rPr>
        <w:t xml:space="preserve">Record your confidence as a percentage before turning to the answer.</w:t>
      </w:r>
    </w:p>
    <w:p>
      <w:pPr>
        <w:pStyle w:val="BodyText"/>
      </w:pPr>
      <w:r>
        <w:rPr>
          <w:b/>
          <w:bCs/>
        </w:rPr>
        <w:t xml:space="preserve">Exercise B0-R0-C39-E2</w:t>
      </w:r>
      <w:r>
        <w:t xml:space="preserve"> </w:t>
      </w:r>
      <w:r>
        <w:t xml:space="preserve">(critique). Here is what a colleague writes.</w:t>
      </w:r>
      <w:r>
        <w:t xml:space="preserve"> </w:t>
      </w:r>
      <w:r>
        <w:t xml:space="preserve">“State B has 15.5 percentage points more obesity than state A.”</w:t>
      </w:r>
      <w:r>
        <w:t xml:space="preserve"> </w:t>
      </w:r>
      <w:r>
        <w:t xml:space="preserve">Name two things wrong with that sentence, read as a description of this table.</w:t>
      </w:r>
    </w:p>
    <w:bookmarkEnd w:id="9"/>
    <w:bookmarkStart w:id="10" w:name="f3-checking-a-reference"/>
    <w:p>
      <w:pPr>
        <w:pStyle w:val="Heading3"/>
      </w:pPr>
      <w:r>
        <w:t xml:space="preserve">F3 · Checking a reference</w:t>
      </w:r>
    </w:p>
    <w:p>
      <w:pPr>
        <w:pStyle w:val="FirstParagraph"/>
      </w:pPr>
      <w:r>
        <w:rPr>
          <w:i/>
          <w:iCs/>
        </w:rPr>
        <w:t xml:space="preserve">B0-R0-C41 · derivable</w:t>
      </w:r>
    </w:p>
    <w:p>
      <w:pPr>
        <w:pStyle w:val="BodyText"/>
      </w:pPr>
      <w:r>
        <w:rPr>
          <w:b/>
          <w:bCs/>
        </w:rPr>
        <w:t xml:space="preserve">Definition.</w:t>
      </w:r>
      <w:r>
        <w:t xml:space="preserve"> </w:t>
      </w:r>
      <w:r>
        <w:t xml:space="preserve">A reference is a pointer from a claim to the place that is supposed to support it.</w:t>
      </w:r>
    </w:p>
    <w:p>
      <w:pPr>
        <w:pStyle w:val="BodyText"/>
      </w:pPr>
      <w:r>
        <w:t xml:space="preserve">Checking a reference means four things, and each one can fail on its own. Finding the source.</w:t>
      </w:r>
      <w:r>
        <w:t xml:space="preserve"> </w:t>
      </w:r>
      <w:r>
        <w:t xml:space="preserve">Confirming it is the source named. Finding the exact passage pointed to. Reading that passage to</w:t>
      </w:r>
      <w:r>
        <w:t xml:space="preserve"> </w:t>
      </w:r>
      <w:r>
        <w:t xml:space="preserve">see whether it supports the claim.</w:t>
      </w:r>
    </w:p>
    <w:p>
      <w:pPr>
        <w:pStyle w:val="BodyText"/>
      </w:pPr>
      <w:r>
        <w:t xml:space="preserve">Finding a source is not the same as checking it. A real source can be attached to a claim it</w:t>
      </w:r>
      <w:r>
        <w:t xml:space="preserve"> </w:t>
      </w:r>
      <w:r>
        <w:t xml:space="preserve">does not support, and that failure is invisible to anyone who stops at the first step.</w:t>
      </w:r>
      <w:r>
        <w:t xml:space="preserve"> </w:t>
      </w:r>
      <w:r>
        <w:t xml:space="preserve">(</w:t>
      </w:r>
      <w:r>
        <w:rPr>
          <w:i/>
          <w:iCs/>
        </w:rPr>
        <w:t xml:space="preserve">A Textbook Chapter on Citation and Source Verification</w:t>
      </w:r>
      <w:r>
        <w:t xml:space="preserve"> </w:t>
      </w:r>
      <w:r>
        <w:t xml:space="preserve">n.d., chapter on citation and verification - to be confirmed on obtaining)</w:t>
      </w:r>
      <w:r>
        <w:t xml:space="preserve"> </w:t>
      </w:r>
      <w:r>
        <w:rPr>
          <w:i/>
          <w:iCs/>
        </w:rPr>
        <w:t xml:space="preserve">[unverified]</w:t>
      </w:r>
    </w:p>
    <w:p>
      <w:pPr>
        <w:pStyle w:val="BodyText"/>
      </w:pPr>
      <w:r>
        <w:rPr>
          <w:b/>
          <w:bCs/>
        </w:rPr>
        <w:t xml:space="preserve">In plain terms.</w:t>
      </w:r>
      <w:r>
        <w:t xml:space="preserve"> </w:t>
      </w:r>
      <w:r>
        <w:t xml:space="preserve">Someone makes a claim and points you to a source — a book, a law, a paper. Checking a reference</w:t>
      </w:r>
      <w:r>
        <w:t xml:space="preserve"> </w:t>
      </w:r>
      <w:r>
        <w:t xml:space="preserve">means you go and look, not just glance at the name on it.</w:t>
      </w:r>
    </w:p>
    <w:p>
      <w:pPr>
        <w:pStyle w:val="BodyText"/>
      </w:pPr>
      <w:r>
        <w:t xml:space="preserve">Four separate acts sit inside that looking, and each one can fail on its own. First, find the</w:t>
      </w:r>
      <w:r>
        <w:t xml:space="preserve"> </w:t>
      </w:r>
      <w:r>
        <w:t xml:space="preserve">source. Second, check it is the source named, not something close to it. Third, find the exact</w:t>
      </w:r>
      <w:r>
        <w:t xml:space="preserve"> </w:t>
      </w:r>
      <w:r>
        <w:t xml:space="preserve">page or section pointed to. Fourth, read that passage and ask whether it actually says what you</w:t>
      </w:r>
      <w:r>
        <w:t xml:space="preserve"> </w:t>
      </w:r>
      <w:r>
        <w:t xml:space="preserve">were told.</w:t>
      </w:r>
    </w:p>
    <w:p>
      <w:pPr>
        <w:pStyle w:val="BodyText"/>
      </w:pPr>
      <w:r>
        <w:t xml:space="preserve">Most people stop at the first act and call the job done. That is where the danger sits. A real</w:t>
      </w:r>
      <w:r>
        <w:t xml:space="preserve"> </w:t>
      </w:r>
      <w:r>
        <w:t xml:space="preserve">source, spelled correctly and sitting on the right shelf, can still be attached to a claim it</w:t>
      </w:r>
      <w:r>
        <w:t xml:space="preserve"> </w:t>
      </w:r>
      <w:r>
        <w:t xml:space="preserve">never makes. Nothing about the name looks wrong. The book is real, the page number is real, and</w:t>
      </w:r>
      <w:r>
        <w:t xml:space="preserve"> </w:t>
      </w:r>
      <w:r>
        <w:t xml:space="preserve">the sentence you were promised is simply not on that page. You find this out one way only: by</w:t>
      </w:r>
      <w:r>
        <w:t xml:space="preserve"> </w:t>
      </w:r>
      <w:r>
        <w:t xml:space="preserve">opening the source yourself and reading the words on it.</w:t>
      </w:r>
    </w:p>
    <w:p>
      <w:pPr>
        <w:pStyle w:val="BodyText"/>
      </w:pPr>
      <w:r>
        <w:rPr>
          <w:b/>
          <w:bCs/>
        </w:rPr>
        <w:t xml:space="preserve">Illustration.</w:t>
      </w:r>
      <w:r>
        <w:t xml:space="preserve"> </w:t>
      </w:r>
      <w:r>
        <w:t xml:space="preserve">Pick a claim and test it yourself. Watch exactly where it breaks.</w:t>
      </w:r>
    </w:p>
    <w:p>
      <w:pPr>
        <w:pStyle w:val="BodyText"/>
      </w:pPr>
      <w:r>
        <w:t xml:space="preserve">Here is the claim.</w:t>
      </w:r>
    </w:p>
    <w:p>
      <w:pPr>
        <w:pStyle w:val="BlockText"/>
      </w:pPr>
      <w:r>
        <w:t xml:space="preserve">The GST Council is set up by Article 279A of the Constitution.</w:t>
      </w:r>
    </w:p>
    <w:p>
      <w:pPr>
        <w:pStyle w:val="FirstParagraph"/>
      </w:pPr>
      <w:r>
        <w:t xml:space="preserve">The Council is the body that sets goods and services tax rates. That fact is not what you are</w:t>
      </w:r>
      <w:r>
        <w:t xml:space="preserve"> </w:t>
      </w:r>
      <w:r>
        <w:t xml:space="preserve">testing. The claim is.</w:t>
      </w:r>
    </w:p>
    <w:p>
      <w:pPr>
        <w:pStyle w:val="BodyText"/>
      </w:pPr>
      <w:r>
        <w:t xml:space="preserve">First, find it. Open India Code, the government’s own website for Indian law. Search for</w:t>
      </w:r>
      <w:r>
        <w:t xml:space="preserve"> </w:t>
      </w:r>
      <w:r>
        <w:t xml:space="preserve">“Constitution of India”</w:t>
      </w:r>
      <w:r>
        <w:t xml:space="preserve">. A copy comes up. Open it.</w:t>
      </w:r>
    </w:p>
    <w:p>
      <w:pPr>
        <w:pStyle w:val="BodyText"/>
      </w:pPr>
      <w:r>
        <w:t xml:space="preserve">Second, check it is the right thing. The title reads The Constitution of India. It sits on a</w:t>
      </w:r>
      <w:r>
        <w:t xml:space="preserve"> </w:t>
      </w:r>
      <w:r>
        <w:t xml:space="preserve">government site. Nothing looks wrong yet.</w:t>
      </w:r>
    </w:p>
    <w:p>
      <w:pPr>
        <w:pStyle w:val="BodyText"/>
      </w:pPr>
      <w:r>
        <w:t xml:space="preserve">Third, find the exact place. The claim names Article 279A, so search inside the document for</w:t>
      </w:r>
      <w:r>
        <w:t xml:space="preserve"> </w:t>
      </w:r>
      <w:r>
        <w:t xml:space="preserve">“279A”</w:t>
      </w:r>
      <w:r>
        <w:t xml:space="preserve">. Nothing comes up. Try</w:t>
      </w:r>
      <w:r>
        <w:t xml:space="preserve"> </w:t>
      </w:r>
      <w:r>
        <w:t xml:space="preserve">“Goods and Services Tax”</w:t>
      </w:r>
      <w:r>
        <w:t xml:space="preserve"> </w:t>
      </w:r>
      <w:r>
        <w:t xml:space="preserve">instead. Nothing there either.</w:t>
      </w:r>
    </w:p>
    <w:p>
      <w:pPr>
        <w:pStyle w:val="BodyText"/>
      </w:pPr>
      <w:r>
        <w:t xml:space="preserve">Stop here, because this is the moment worth learning from. The site is official. The document</w:t>
      </w:r>
      <w:r>
        <w:t xml:space="preserve"> </w:t>
      </w:r>
      <w:r>
        <w:t xml:space="preserve">really is the Constitution. The title is right. And the thing you were promised is inside it is</w:t>
      </w:r>
      <w:r>
        <w:t xml:space="preserve"> </w:t>
      </w:r>
      <w:r>
        <w:t xml:space="preserve">not inside it.</w:t>
      </w:r>
    </w:p>
    <w:p>
      <w:pPr>
        <w:pStyle w:val="BodyText"/>
      </w:pPr>
      <w:r>
        <w:t xml:space="preserve">Why not? Look at the list of amendments this copy names — later changes stitched into the law.</w:t>
      </w:r>
      <w:r>
        <w:t xml:space="preserve"> </w:t>
      </w:r>
      <w:r>
        <w:t xml:space="preserve">The newest one is from 2003. Article 279A was written into the Constitution in 2016, thirteen</w:t>
      </w:r>
      <w:r>
        <w:t xml:space="preserve"> </w:t>
      </w:r>
      <w:r>
        <w:t xml:space="preserve">years after that. This copy is old, and nothing on the page warns you.</w:t>
      </w:r>
    </w:p>
    <w:p>
      <w:pPr>
        <w:pStyle w:val="BodyText"/>
      </w:pPr>
      <w:r>
        <w:t xml:space="preserve">A second copy sits on the same website, marked as up to date, and that one does hold Article</w:t>
      </w:r>
      <w:r>
        <w:t xml:space="preserve"> </w:t>
      </w:r>
      <w:r>
        <w:t xml:space="preserve">279A. Same claim, same search, same site — only the file differs, and that difference decides</w:t>
      </w:r>
      <w:r>
        <w:t xml:space="preserve"> </w:t>
      </w:r>
      <w:r>
        <w:t xml:space="preserve">whether the claim passes or fails.</w:t>
      </w:r>
    </w:p>
    <w:p>
      <w:pPr>
        <w:pStyle w:val="BodyText"/>
      </w:pPr>
      <w:r>
        <w:t xml:space="preserve">Now try an easier claim, so you can feel what passing looks like.</w:t>
      </w:r>
      <w:r>
        <w:t xml:space="preserve"> </w:t>
      </w:r>
      <w:r>
        <w:t xml:space="preserve">“The Food Safety and Standards</w:t>
      </w:r>
      <w:r>
        <w:t xml:space="preserve"> </w:t>
      </w:r>
      <w:r>
        <w:t xml:space="preserve">Authority of India was set up by an Act of Parliament. That Act lets it write its own rules.”</w:t>
      </w:r>
      <w:r>
        <w:t xml:space="preserve"> </w:t>
      </w:r>
      <w:r>
        <w:t xml:space="preserve">Open the Food Safety and Standards Act, 2006, on India Code. Search inside for</w:t>
      </w:r>
      <w:r>
        <w:t xml:space="preserve"> </w:t>
      </w:r>
      <w:r>
        <w:t xml:space="preserve">“Food Authority</w:t>
      </w:r>
      <w:r>
        <w:t xml:space="preserve"> </w:t>
      </w:r>
      <w:r>
        <w:t xml:space="preserve">to make regulations”</w:t>
      </w:r>
      <w:r>
        <w:t xml:space="preserve">. There it sits, at section 92. Section 93, right beside it, says those</w:t>
      </w:r>
      <w:r>
        <w:t xml:space="preserve"> </w:t>
      </w:r>
      <w:r>
        <w:t xml:space="preserve">regulations — the rules the Authority is allowed to write — must be laid before Parliament. Two</w:t>
      </w:r>
      <w:r>
        <w:t xml:space="preserve"> </w:t>
      </w:r>
      <w:r>
        <w:t xml:space="preserve">minutes of searching, and the claim holds.</w:t>
      </w:r>
    </w:p>
    <w:p>
      <w:pPr>
        <w:pStyle w:val="BodyText"/>
      </w:pPr>
      <w:r>
        <w:t xml:space="preserve">One more thing to notice. Look back at the definition above this section. Its own reference is</w:t>
      </w:r>
      <w:r>
        <w:t xml:space="preserve"> </w:t>
      </w:r>
      <w:r>
        <w:t xml:space="preserve">marked PENDING — nobody has opened it yet. That is on purpose. You can now see a checked</w:t>
      </w:r>
      <w:r>
        <w:t xml:space="preserve"> </w:t>
      </w:r>
      <w:r>
        <w:t xml:space="preserve">reference and an unchecked one side by side, and learn to tell them apart at a glance.</w:t>
      </w:r>
    </w:p>
    <w:p>
      <w:pPr>
        <w:pStyle w:val="BodyText"/>
      </w:pPr>
      <w:r>
        <w:rPr>
          <w:b/>
          <w:bCs/>
        </w:rPr>
        <w:t xml:space="preserve">Where this picture breaks.</w:t>
      </w:r>
      <w:r>
        <w:t xml:space="preserve"> </w:t>
      </w:r>
      <w:r>
        <w:t xml:space="preserve">Four acts make this sound like a checklist you can run without thinking, and that promise is not</w:t>
      </w:r>
      <w:r>
        <w:t xml:space="preserve"> </w:t>
      </w:r>
      <w:r>
        <w:t xml:space="preserve">quite true. A source can say something smaller than the claim built on it. A paper finds that</w:t>
      </w:r>
      <w:r>
        <w:t xml:space="preserve"> </w:t>
      </w:r>
      <w:r>
        <w:t xml:space="preserve">two things move together; someone later cites it as proof that one causes the other. Every one</w:t>
      </w:r>
      <w:r>
        <w:t xml:space="preserve"> </w:t>
      </w:r>
      <w:r>
        <w:t xml:space="preserve">of the four acts passes, and the mistake still gets through, because only judgement catches the</w:t>
      </w:r>
      <w:r>
        <w:t xml:space="preserve"> </w:t>
      </w:r>
      <w:r>
        <w:t xml:space="preserve">gap between</w:t>
      </w:r>
      <w:r>
        <w:t xml:space="preserve"> </w:t>
      </w:r>
      <w:r>
        <w:t xml:space="preserve">“linked”</w:t>
      </w:r>
      <w:r>
        <w:t xml:space="preserve"> </w:t>
      </w:r>
      <w:r>
        <w:t xml:space="preserve">and</w:t>
      </w:r>
      <w:r>
        <w:t xml:space="preserve"> </w:t>
      </w:r>
      <w:r>
        <w:t xml:space="preserve">“causes”</w:t>
      </w:r>
      <w:r>
        <w:t xml:space="preserve">.</w:t>
      </w:r>
    </w:p>
    <w:p>
      <w:pPr>
        <w:pStyle w:val="BodyText"/>
      </w:pPr>
      <w:r>
        <w:t xml:space="preserve">For a law there is a fifth question the four acts never ask on their own: is this copy up to</w:t>
      </w:r>
      <w:r>
        <w:t xml:space="preserve"> </w:t>
      </w:r>
      <w:r>
        <w:t xml:space="preserve">date? An old copy can pass finding, confirming and locating, then fail at reading. The words it</w:t>
      </w:r>
      <w:r>
        <w:t xml:space="preserve"> </w:t>
      </w:r>
      <w:r>
        <w:t xml:space="preserve">holds were true once and are not true now. That is exactly what happened above.</w:t>
      </w:r>
    </w:p>
    <w:p>
      <w:pPr>
        <w:pStyle w:val="BodyText"/>
      </w:pPr>
      <w:r>
        <w:rPr>
          <w:b/>
          <w:bCs/>
        </w:rPr>
        <w:t xml:space="preserve">Must know points for you.</w:t>
      </w:r>
    </w:p>
    <w:p>
      <w:pPr>
        <w:pStyle w:val="Compact"/>
        <w:numPr>
          <w:ilvl w:val="0"/>
          <w:numId w:val="1002"/>
        </w:numPr>
      </w:pPr>
      <w:r>
        <w:t xml:space="preserve">If a citation opens, that does not mean it is checked. Opening is only the first act, and the easiest one. The failure that matters is a real, correctly named source attached to a claim it does not make.</w:t>
      </w:r>
    </w:p>
    <w:p>
      <w:pPr>
        <w:pStyle w:val="Compact"/>
        <w:numPr>
          <w:ilvl w:val="0"/>
          <w:numId w:val="1002"/>
        </w:numPr>
      </w:pPr>
      <w:r>
        <w:t xml:space="preserve">Treat every reference as four separate acts: find it, confirm it, locate the passage, read it. For any law or regulation, add a fifth act — check whether this copy is up to date.</w:t>
      </w:r>
    </w:p>
    <w:p>
      <w:pPr>
        <w:pStyle w:val="Compact"/>
        <w:numPr>
          <w:ilvl w:val="0"/>
          <w:numId w:val="1002"/>
        </w:numPr>
      </w:pPr>
      <w:r>
        <w:t xml:space="preserve">An Indian statute is a law passed by Parliament or by a State Legislature. Statutes get republished as consolidated copies — all the changes merged into one text. Copies of different ages sit on the official sites at once, and nothing says which is newest. Before you trust a copy, check the newest amendment it names. That check takes seconds.</w:t>
      </w:r>
    </w:p>
    <w:p>
      <w:pPr>
        <w:pStyle w:val="Compact"/>
        <w:numPr>
          <w:ilvl w:val="0"/>
          <w:numId w:val="1002"/>
        </w:numPr>
      </w:pPr>
      <w:r>
        <w:t xml:space="preserve">Expect the people reading your work to test your citations against you, not for you. One reference that does not say what you claimed it says can end the argument, and take everything else you brought along with it.</w:t>
      </w:r>
    </w:p>
    <w:p>
      <w:pPr>
        <w:pStyle w:val="Compact"/>
        <w:numPr>
          <w:ilvl w:val="0"/>
          <w:numId w:val="1002"/>
        </w:numPr>
      </w:pPr>
      <w:r>
        <w:t xml:space="preserve">If asked whether a reference is sound, do not answer by checking the formatting. A citation can be perfectly formatted and still say nothing like what you claimed.</w:t>
      </w:r>
    </w:p>
    <w:p>
      <w:pPr>
        <w:pStyle w:val="Compact"/>
        <w:numPr>
          <w:ilvl w:val="0"/>
          <w:numId w:val="1002"/>
        </w:numPr>
      </w:pPr>
      <w:r>
        <w:t xml:space="preserve">This check tells you only whether a source supports a claim. It does not tell you whether the source is good, or whether better evidence exists. Nor does it tell you the claim is false: a bad citation can sit under a true statement.</w:t>
      </w:r>
    </w:p>
    <w:p>
      <w:pPr>
        <w:pStyle w:val="FirstParagraph"/>
      </w:pPr>
      <w:r>
        <w:rPr>
          <w:b/>
          <w:bCs/>
        </w:rPr>
        <w:t xml:space="preserve">Exercise B0-R0-C41-E1</w:t>
      </w:r>
      <w:r>
        <w:t xml:space="preserve"> </w:t>
      </w:r>
      <w:r>
        <w:t xml:space="preserve">(critique). A draft states:</w:t>
      </w:r>
      <w:r>
        <w:t xml:space="preserve"> </w:t>
      </w:r>
      <w:r>
        <w:t xml:space="preserve">“Article 279A of the Constitution establishes the GST Council [Constitution of</w:t>
      </w:r>
      <w:r>
        <w:t xml:space="preserve"> </w:t>
      </w:r>
      <w:r>
        <w:t xml:space="preserve">India, India Code].”</w:t>
      </w:r>
      <w:r>
        <w:t xml:space="preserve"> </w:t>
      </w:r>
      <w:r>
        <w:t xml:space="preserve">The reference resolves and the document is genuine. Explain precisely what</w:t>
      </w:r>
      <w:r>
        <w:t xml:space="preserve"> </w:t>
      </w:r>
      <w:r>
        <w:t xml:space="preserve">is still missing, and what you would do to settle it.</w:t>
      </w:r>
    </w:p>
    <w:p>
      <w:pPr>
        <w:pStyle w:val="BodyText"/>
      </w:pPr>
      <w:r>
        <w:rPr>
          <w:i/>
          <w:iCs/>
        </w:rPr>
        <w:t xml:space="preserve">Record your confidence as a percentage before turning to the answer.</w:t>
      </w:r>
    </w:p>
    <w:p>
      <w:pPr>
        <w:pStyle w:val="BodyText"/>
      </w:pPr>
      <w:r>
        <w:rPr>
          <w:b/>
          <w:bCs/>
        </w:rPr>
        <w:t xml:space="preserve">Exercise B0-R0-C41-E2</w:t>
      </w:r>
      <w:r>
        <w:t xml:space="preserve"> </w:t>
      </w:r>
      <w:r>
        <w:t xml:space="preserve">(build). Take any three references from something you have written and run all four acts on each. Record,</w:t>
      </w:r>
      <w:r>
        <w:t xml:space="preserve"> </w:t>
      </w:r>
      <w:r>
        <w:t xml:space="preserve">for each, which act it failed at, or that it passed.</w:t>
      </w:r>
    </w:p>
    <w:bookmarkEnd w:id="10"/>
    <w:bookmarkStart w:id="11" w:name="f4-argument-premise-inference-conclusion"/>
    <w:p>
      <w:pPr>
        <w:pStyle w:val="Heading3"/>
      </w:pPr>
      <w:r>
        <w:t xml:space="preserve">F4 · Argument: premise, inference, conclusion</w:t>
      </w:r>
    </w:p>
    <w:p>
      <w:pPr>
        <w:pStyle w:val="FirstParagraph"/>
      </w:pPr>
      <w:r>
        <w:rPr>
          <w:i/>
          <w:iCs/>
        </w:rPr>
        <w:t xml:space="preserve">B0-R0-C42 · derivable</w:t>
      </w:r>
    </w:p>
    <w:p>
      <w:pPr>
        <w:pStyle w:val="BodyText"/>
      </w:pPr>
      <w:r>
        <w:rPr>
          <w:b/>
          <w:bCs/>
        </w:rPr>
        <w:t xml:space="preserve">Definition.</w:t>
      </w:r>
      <w:r>
        <w:t xml:space="preserve"> </w:t>
      </w:r>
      <w:r>
        <w:t xml:space="preserve">An argument is a set of statements offered as reasons, called premises, together with a further</w:t>
      </w:r>
      <w:r>
        <w:t xml:space="preserve"> </w:t>
      </w:r>
      <w:r>
        <w:t xml:space="preserve">statement they are meant to establish, called the conclusion. The move from the first to the</w:t>
      </w:r>
      <w:r>
        <w:t xml:space="preserve"> </w:t>
      </w:r>
      <w:r>
        <w:t xml:space="preserve">second is the inference.</w:t>
      </w:r>
    </w:p>
    <w:p>
      <w:pPr>
        <w:pStyle w:val="BodyText"/>
      </w:pPr>
      <w:r>
        <w:t xml:space="preserve">An argument can fail in exactly two independent ways. A premise can be false. Or the inference</w:t>
      </w:r>
      <w:r>
        <w:t xml:space="preserve"> </w:t>
      </w:r>
      <w:r>
        <w:t xml:space="preserve">can fail to carry, even when every premise is true.</w:t>
      </w:r>
    </w:p>
    <w:p>
      <w:pPr>
        <w:pStyle w:val="BodyText"/>
      </w:pPr>
      <w:r>
        <w:t xml:space="preserve">Separating those two failures is the whole skill. True premises plus a broken inference</w:t>
      </w:r>
      <w:r>
        <w:t xml:space="preserve"> </w:t>
      </w:r>
      <w:r>
        <w:t xml:space="preserve">establish nothing. A sound inference with one false premise can be repaired.</w:t>
      </w:r>
      <w:r>
        <w:t xml:space="preserve"> </w:t>
      </w:r>
      <w:r>
        <w:t xml:space="preserve">(</w:t>
      </w:r>
      <w:r>
        <w:rPr>
          <w:i/>
          <w:iCs/>
        </w:rPr>
        <w:t xml:space="preserve">An Introductory Textbook Chapter on Argument Structure</w:t>
      </w:r>
      <w:r>
        <w:t xml:space="preserve"> </w:t>
      </w:r>
      <w:r>
        <w:t xml:space="preserve">n.d., introductory chapter on argument structure - to be confirmed on obtaining)</w:t>
      </w:r>
      <w:r>
        <w:t xml:space="preserve"> </w:t>
      </w:r>
      <w:r>
        <w:rPr>
          <w:i/>
          <w:iCs/>
        </w:rPr>
        <w:t xml:space="preserve">[unverified]</w:t>
      </w:r>
    </w:p>
    <w:p>
      <w:pPr>
        <w:pStyle w:val="BodyText"/>
      </w:pPr>
      <w:r>
        <w:rPr>
          <w:b/>
          <w:bCs/>
        </w:rPr>
        <w:t xml:space="preserve">In plain terms.</w:t>
      </w:r>
      <w:r>
        <w:t xml:space="preserve"> </w:t>
      </w:r>
      <w:r>
        <w:t xml:space="preserve">Someone hands you a claim and asks you to accept it. Along with the claim, they give you reasons</w:t>
      </w:r>
      <w:r>
        <w:t xml:space="preserve"> </w:t>
      </w:r>
      <w:r>
        <w:t xml:space="preserve">— these are the premises. The claim itself is the conclusion. The step from premises to</w:t>
      </w:r>
      <w:r>
        <w:t xml:space="preserve"> </w:t>
      </w:r>
      <w:r>
        <w:t xml:space="preserve">conclusion is the inference, the move meant to carry you from one to the other.</w:t>
      </w:r>
    </w:p>
    <w:p>
      <w:pPr>
        <w:pStyle w:val="BodyText"/>
      </w:pPr>
      <w:r>
        <w:t xml:space="preserve">An argument can fail in two separate ways, and you test each on its own. A premise can turn out</w:t>
      </w:r>
      <w:r>
        <w:t xml:space="preserve"> </w:t>
      </w:r>
      <w:r>
        <w:t xml:space="preserve">false. Or the inference can fail to carry, even when every premise is true. Mixing the two tests</w:t>
      </w:r>
      <w:r>
        <w:t xml:space="preserve"> </w:t>
      </w:r>
      <w:r>
        <w:t xml:space="preserve">wastes time. People argue for years over whether a premise is true, when the real fault sits in</w:t>
      </w:r>
      <w:r>
        <w:t xml:space="preserve"> </w:t>
      </w:r>
      <w:r>
        <w:t xml:space="preserve">the inference and not in the premise at all.</w:t>
      </w:r>
    </w:p>
    <w:p>
      <w:pPr>
        <w:pStyle w:val="BodyText"/>
      </w:pPr>
      <w:r>
        <w:t xml:space="preserve">Ask the two questions in order. First: if every premise were true, would the conclusion follow?</w:t>
      </w:r>
      <w:r>
        <w:t xml:space="preserve"> </w:t>
      </w:r>
      <w:r>
        <w:t xml:space="preserve">Then, only then: are the premises actually true? Keeping the two apart is most of the skill. A</w:t>
      </w:r>
      <w:r>
        <w:t xml:space="preserve"> </w:t>
      </w:r>
      <w:r>
        <w:t xml:space="preserve">true premise paired with a broken inference proves nothing. A sound inference with one false</w:t>
      </w:r>
      <w:r>
        <w:t xml:space="preserve"> </w:t>
      </w:r>
      <w:r>
        <w:t xml:space="preserve">premise can often be mended, once you see the fault plainly.</w:t>
      </w:r>
    </w:p>
    <w:p>
      <w:pPr>
        <w:pStyle w:val="BodyText"/>
      </w:pPr>
      <w:r>
        <w:rPr>
          <w:b/>
          <w:bCs/>
        </w:rPr>
        <w:t xml:space="preserve">Illustration.</w:t>
      </w:r>
      <w:r>
        <w:t xml:space="preserve"> </w:t>
      </w:r>
      <w:r>
        <w:t xml:space="preserve">Here is a claim you will meet often once you work in obesity policy. Take it apart, on paper, in</w:t>
      </w:r>
      <w:r>
        <w:t xml:space="preserve"> </w:t>
      </w:r>
      <w:r>
        <w:t xml:space="preserve">three lines.</w:t>
      </w:r>
    </w:p>
    <w:p>
      <w:pPr>
        <w:pStyle w:val="Compact"/>
        <w:numPr>
          <w:ilvl w:val="0"/>
          <w:numId w:val="1003"/>
        </w:numPr>
      </w:pPr>
      <w:r>
        <w:rPr>
          <w:i/>
          <w:iCs/>
        </w:rPr>
        <w:t xml:space="preserve">Premise one:</w:t>
      </w:r>
      <w:r>
        <w:t xml:space="preserve"> </w:t>
      </w:r>
      <w:r>
        <w:t xml:space="preserve">obesity happens when a person takes in more energy than they use.</w:t>
      </w:r>
    </w:p>
    <w:p>
      <w:pPr>
        <w:pStyle w:val="Compact"/>
        <w:numPr>
          <w:ilvl w:val="0"/>
          <w:numId w:val="1003"/>
        </w:numPr>
      </w:pPr>
      <w:r>
        <w:rPr>
          <w:i/>
          <w:iCs/>
        </w:rPr>
        <w:t xml:space="preserve">Premise two:</w:t>
      </w:r>
      <w:r>
        <w:t xml:space="preserve"> </w:t>
      </w:r>
      <w:r>
        <w:t xml:space="preserve">how much a person eats is something they choose.</w:t>
      </w:r>
    </w:p>
    <w:p>
      <w:pPr>
        <w:pStyle w:val="Compact"/>
        <w:numPr>
          <w:ilvl w:val="0"/>
          <w:numId w:val="1003"/>
        </w:numPr>
      </w:pPr>
      <w:r>
        <w:rPr>
          <w:i/>
          <w:iCs/>
        </w:rPr>
        <w:t xml:space="preserve">Conclusion:</w:t>
      </w:r>
      <w:r>
        <w:t xml:space="preserve"> </w:t>
      </w:r>
      <w:r>
        <w:t xml:space="preserve">obesity is a matter of personal choice.</w:t>
      </w:r>
    </w:p>
    <w:p>
      <w:pPr>
        <w:pStyle w:val="FirstParagraph"/>
      </w:pPr>
      <w:r>
        <w:t xml:space="preserve">Test the inference first. Grant both premises. Say them aloud as though you believed every word.</w:t>
      </w:r>
      <w:r>
        <w:t xml:space="preserve"> </w:t>
      </w:r>
      <w:r>
        <w:t xml:space="preserve">Now ask: does the conclusion follow?</w:t>
      </w:r>
    </w:p>
    <w:p>
      <w:pPr>
        <w:pStyle w:val="BodyText"/>
      </w:pPr>
      <w:r>
        <w:t xml:space="preserve">It does not. Premise two says intake is chosen. The conclusion needs something far stronger —</w:t>
      </w:r>
      <w:r>
        <w:t xml:space="preserve"> </w:t>
      </w:r>
      <w:r>
        <w:t xml:space="preserve">that intake is</w:t>
      </w:r>
      <w:r>
        <w:t xml:space="preserve"> </w:t>
      </w:r>
      <w:r>
        <w:rPr>
          <w:i/>
          <w:iCs/>
        </w:rPr>
        <w:t xml:space="preserve">freely</w:t>
      </w:r>
      <w:r>
        <w:t xml:space="preserve"> </w:t>
      </w:r>
      <w:r>
        <w:t xml:space="preserve">chosen. It would have to be untouched by price, by what sits on the</w:t>
      </w:r>
      <w:r>
        <w:t xml:space="preserve"> </w:t>
      </w:r>
      <w:r>
        <w:t xml:space="preserve">shelf nearby, by advertising, by sleep, by the biology that drives appetite.</w:t>
      </w:r>
    </w:p>
    <w:p>
      <w:pPr>
        <w:pStyle w:val="BodyText"/>
      </w:pPr>
      <w:r>
        <w:t xml:space="preserve">Somewhere between the premise and the conclusion,</w:t>
      </w:r>
      <w:r>
        <w:t xml:space="preserve"> </w:t>
      </w:r>
      <w:r>
        <w:t xml:space="preserve">“is a choice”</w:t>
      </w:r>
      <w:r>
        <w:t xml:space="preserve"> </w:t>
      </w:r>
      <w:r>
        <w:t xml:space="preserve">has quietly turned into</w:t>
      </w:r>
      <w:r>
        <w:t xml:space="preserve"> </w:t>
      </w:r>
      <w:r>
        <w:t xml:space="preserve">“is only</w:t>
      </w:r>
      <w:r>
        <w:t xml:space="preserve"> </w:t>
      </w:r>
      <w:r>
        <w:t xml:space="preserve">a choice”</w:t>
      </w:r>
      <w:r>
        <w:t xml:space="preserve">. That swap is the fault. It sits in the inference, and it stands whether or not the</w:t>
      </w:r>
      <w:r>
        <w:t xml:space="preserve"> </w:t>
      </w:r>
      <w:r>
        <w:t xml:space="preserve">premises themselves are true.</w:t>
      </w:r>
    </w:p>
    <w:p>
      <w:pPr>
        <w:pStyle w:val="BodyText"/>
      </w:pPr>
      <w:r>
        <w:t xml:space="preserve">Now test the premises, one at a time. Premise one holds up as plain accounting — energy in</w:t>
      </w:r>
      <w:r>
        <w:t xml:space="preserve"> </w:t>
      </w:r>
      <w:r>
        <w:t xml:space="preserve">against energy out. Premise two is partly true and badly incomplete; it leaves out everything</w:t>
      </w:r>
      <w:r>
        <w:t xml:space="preserve"> </w:t>
      </w:r>
      <w:r>
        <w:t xml:space="preserve">that shapes the choice before the person ever makes it.</w:t>
      </w:r>
    </w:p>
    <w:p>
      <w:pPr>
        <w:pStyle w:val="BodyText"/>
      </w:pPr>
      <w:r>
        <w:t xml:space="preserve">Notice what you just did. You reached</w:t>
      </w:r>
      <w:r>
        <w:t xml:space="preserve"> </w:t>
      </w:r>
      <w:r>
        <w:t xml:space="preserve">“this argument does not work”</w:t>
      </w:r>
      <w:r>
        <w:t xml:space="preserve"> </w:t>
      </w:r>
      <w:r>
        <w:t xml:space="preserve">without settling either</w:t>
      </w:r>
      <w:r>
        <w:t xml:space="preserve"> </w:t>
      </w:r>
      <w:r>
        <w:t xml:space="preserve">premise. Run the inference test first, always. It is quicker, and it keeps you out of a long</w:t>
      </w:r>
      <w:r>
        <w:t xml:space="preserve"> </w:t>
      </w:r>
      <w:r>
        <w:t xml:space="preserve">fight over facts that were never going to decide the question anyway.</w:t>
      </w:r>
    </w:p>
    <w:p>
      <w:pPr>
        <w:pStyle w:val="BodyText"/>
      </w:pPr>
      <w:r>
        <w:rPr>
          <w:b/>
          <w:bCs/>
        </w:rPr>
        <w:t xml:space="preserve">Where this picture breaks.</w:t>
      </w:r>
      <w:r>
        <w:t xml:space="preserve"> </w:t>
      </w:r>
      <w:r>
        <w:t xml:space="preserve">This three-line shape fits an argument laid out in the open, premise by premise. Most arguments</w:t>
      </w:r>
      <w:r>
        <w:t xml:space="preserve"> </w:t>
      </w:r>
      <w:r>
        <w:t xml:space="preserve">you meet in a hostile room are not laid out at all.</w:t>
      </w:r>
    </w:p>
    <w:p>
      <w:pPr>
        <w:pStyle w:val="BodyText"/>
      </w:pPr>
      <w:r>
        <w:t xml:space="preserve">The premise doing the real work is usually the one left unspoken, left out because saying it</w:t>
      </w:r>
      <w:r>
        <w:t xml:space="preserve"> </w:t>
      </w:r>
      <w:r>
        <w:t xml:space="preserve">aloud would expose it. Nobody in the claim above says out loud that eating sits untouched by</w:t>
      </w:r>
      <w:r>
        <w:t xml:space="preserve"> </w:t>
      </w:r>
      <w:r>
        <w:t xml:space="preserve">price, or by what is on the shelf nearby. That premise stays hidden, and the argument leans on</w:t>
      </w:r>
      <w:r>
        <w:t xml:space="preserve"> </w:t>
      </w:r>
      <w:r>
        <w:t xml:space="preserve">it anyway.</w:t>
      </w:r>
    </w:p>
    <w:p>
      <w:pPr>
        <w:pStyle w:val="BodyText"/>
      </w:pPr>
      <w:r>
        <w:t xml:space="preserve">So when you cannot find the fault in an argument, the likely reason is simple. You have not yet</w:t>
      </w:r>
      <w:r>
        <w:t xml:space="preserve"> </w:t>
      </w:r>
      <w:r>
        <w:t xml:space="preserve">written down the premise the speaker left out. Look there first.</w:t>
      </w:r>
    </w:p>
    <w:p>
      <w:pPr>
        <w:pStyle w:val="BodyText"/>
      </w:pPr>
      <w:r>
        <w:rPr>
          <w:b/>
          <w:bCs/>
        </w:rPr>
        <w:t xml:space="preserve">Must know points for you.</w:t>
      </w:r>
    </w:p>
    <w:p>
      <w:pPr>
        <w:pStyle w:val="Compact"/>
        <w:numPr>
          <w:ilvl w:val="0"/>
          <w:numId w:val="1004"/>
        </w:numPr>
      </w:pPr>
      <w:r>
        <w:t xml:space="preserve">True premises do not make a conclusion true. Whether the premises are true and whether the inference carries are separate questions, and you need both to hold before the argument does any work.</w:t>
      </w:r>
    </w:p>
    <w:p>
      <w:pPr>
        <w:pStyle w:val="Compact"/>
        <w:numPr>
          <w:ilvl w:val="0"/>
          <w:numId w:val="1004"/>
        </w:numPr>
      </w:pPr>
      <w:r>
        <w:t xml:space="preserve">Test the two failure modes in order: ask first whether the conclusion follows, then ask whether the premises are true.</w:t>
      </w:r>
    </w:p>
    <w:p>
      <w:pPr>
        <w:pStyle w:val="Compact"/>
        <w:numPr>
          <w:ilvl w:val="0"/>
          <w:numId w:val="1004"/>
        </w:numPr>
      </w:pPr>
      <w:r>
        <w:t xml:space="preserve">The shape of an argument does not change from one country to the next. What changes is which premise gets left unspoken. In Indian food policy debate, the commonest unspoken premise is that people already know what is in their food.</w:t>
      </w:r>
    </w:p>
    <w:p>
      <w:pPr>
        <w:pStyle w:val="Compact"/>
        <w:numPr>
          <w:ilvl w:val="0"/>
          <w:numId w:val="1004"/>
        </w:numPr>
      </w:pPr>
      <w:r>
        <w:t xml:space="preserve">Grant every premise aloud, then show the conclusion still does not follow. That move costs you nothing. It cannot be answered with more data, and it closes the argument instead of extending it.</w:t>
      </w:r>
    </w:p>
    <w:p>
      <w:pPr>
        <w:pStyle w:val="Compact"/>
        <w:numPr>
          <w:ilvl w:val="0"/>
          <w:numId w:val="1004"/>
        </w:numPr>
      </w:pPr>
      <w:r>
        <w:t xml:space="preserve">Watch yourself when you are handed an argument you already agree with. Check its inference as hard as you would if you disagreed, because left alone you will find that you do not.</w:t>
      </w:r>
    </w:p>
    <w:p>
      <w:pPr>
        <w:pStyle w:val="Compact"/>
        <w:numPr>
          <w:ilvl w:val="0"/>
          <w:numId w:val="1004"/>
        </w:numPr>
      </w:pPr>
      <w:r>
        <w:t xml:space="preserve">This gives you the shape of an argument and the point where it breaks. It does not tell you whether a premise is true — that needs evidence — or whether a conclusion matters, which needs judgement.</w:t>
      </w:r>
    </w:p>
    <w:p>
      <w:pPr>
        <w:pStyle w:val="FirstParagraph"/>
      </w:pPr>
      <w:r>
        <w:rPr>
          <w:b/>
          <w:bCs/>
        </w:rPr>
        <w:t xml:space="preserve">Exercise B0-R0-C42-E1</w:t>
      </w:r>
      <w:r>
        <w:t xml:space="preserve"> </w:t>
      </w:r>
      <w:r>
        <w:t xml:space="preserve">(critique). Take this claim:</w:t>
      </w:r>
      <w:r>
        <w:t xml:space="preserve"> </w:t>
      </w:r>
      <w:r>
        <w:t xml:space="preserve">“Countries that eat more packaged food have more obesity, so packaged food</w:t>
      </w:r>
      <w:r>
        <w:t xml:space="preserve"> </w:t>
      </w:r>
      <w:r>
        <w:t xml:space="preserve">causes obesity.”</w:t>
      </w:r>
      <w:r>
        <w:t xml:space="preserve"> </w:t>
      </w:r>
      <w:r>
        <w:t xml:space="preserve">Lay it out as premises and a conclusion. Then say whether the inference holds.</w:t>
      </w:r>
    </w:p>
    <w:p>
      <w:pPr>
        <w:pStyle w:val="BodyText"/>
      </w:pPr>
      <w:r>
        <w:rPr>
          <w:i/>
          <w:iCs/>
        </w:rPr>
        <w:t xml:space="preserve">Record your confidence as a percentage before turning to the answer.</w:t>
      </w:r>
    </w:p>
    <w:p>
      <w:pPr>
        <w:pStyle w:val="BodyText"/>
      </w:pPr>
      <w:r>
        <w:rPr>
          <w:b/>
          <w:bCs/>
        </w:rPr>
        <w:t xml:space="preserve">Exercise B0-R0-C42-E2</w:t>
      </w:r>
      <w:r>
        <w:t xml:space="preserve"> </w:t>
      </w:r>
      <w:r>
        <w:t xml:space="preserve">(teaching). Explain to a first-year resident, in ten minutes with a whiteboard, why</w:t>
      </w:r>
      <w:r>
        <w:t xml:space="preserve"> </w:t>
      </w:r>
      <w:r>
        <w:t xml:space="preserve">“the inference is</w:t>
      </w:r>
      <w:r>
        <w:t xml:space="preserve"> </w:t>
      </w:r>
      <w:r>
        <w:t xml:space="preserve">broken”</w:t>
      </w:r>
      <w:r>
        <w:t xml:space="preserve"> </w:t>
      </w:r>
      <w:r>
        <w:t xml:space="preserve">is a stronger objection than</w:t>
      </w:r>
      <w:r>
        <w:t xml:space="preserve"> </w:t>
      </w:r>
      <w:r>
        <w:t xml:space="preserve">“your facts are wrong”</w:t>
      </w:r>
      <w:r>
        <w:t xml:space="preserve">. Use a food policy example of your</w:t>
      </w:r>
      <w:r>
        <w:t xml:space="preserve"> </w:t>
      </w:r>
      <w:r>
        <w:t xml:space="preserve">own.</w:t>
      </w:r>
    </w:p>
    <w:bookmarkEnd w:id="11"/>
    <w:bookmarkStart w:id="12" w:name="X7c03753f3b72fdd576053afac694c64f199eaf8"/>
    <w:p>
      <w:pPr>
        <w:pStyle w:val="Heading3"/>
      </w:pPr>
      <w:r>
        <w:t xml:space="preserve">F5 · How government works, in the shape you need to read a regulation</w:t>
      </w:r>
    </w:p>
    <w:p>
      <w:pPr>
        <w:pStyle w:val="FirstParagraph"/>
      </w:pPr>
      <w:r>
        <w:rPr>
          <w:i/>
          <w:iCs/>
        </w:rPr>
        <w:t xml:space="preserve">B0-R0-C43 · institutional · as of 2026-09-19</w:t>
      </w:r>
    </w:p>
    <w:p>
      <w:pPr>
        <w:pStyle w:val="BodyText"/>
      </w:pPr>
      <w:r>
        <w:rPr>
          <w:b/>
          <w:bCs/>
        </w:rPr>
        <w:t xml:space="preserve">Definition.</w:t>
      </w:r>
      <w:r>
        <w:t xml:space="preserve"> </w:t>
      </w:r>
      <w:r>
        <w:t xml:space="preserve">In India the Constitution divides the power to make law from the power to apply it.</w:t>
      </w:r>
    </w:p>
    <w:p>
      <w:pPr>
        <w:pStyle w:val="BodyText"/>
      </w:pPr>
      <w:r>
        <w:t xml:space="preserve">Parliament and the State Legislatures enact statutes. Which of them may legislate on a given</w:t>
      </w:r>
      <w:r>
        <w:t xml:space="preserve"> </w:t>
      </w:r>
      <w:r>
        <w:t xml:space="preserve">subject is fixed by Article 246 together with the Seventh Schedule, which sorts subjects into a</w:t>
      </w:r>
      <w:r>
        <w:t xml:space="preserve"> </w:t>
      </w:r>
      <w:r>
        <w:t xml:space="preserve">Union List, a State List and a Concurrent List.</w:t>
      </w:r>
    </w:p>
    <w:p>
      <w:pPr>
        <w:pStyle w:val="BodyText"/>
      </w:pPr>
      <w:r>
        <w:t xml:space="preserve">The executive carries statutes out. That means the President, and beneath the President the</w:t>
      </w:r>
      <w:r>
        <w:t xml:space="preserve"> </w:t>
      </w:r>
      <w:r>
        <w:t xml:space="preserve">ministries and departments; the executive power of the Union is vested in the President by</w:t>
      </w:r>
      <w:r>
        <w:t xml:space="preserve"> </w:t>
      </w:r>
      <w:r>
        <w:t xml:space="preserve">Article 53.</w:t>
      </w:r>
    </w:p>
    <w:p>
      <w:pPr>
        <w:pStyle w:val="BodyText"/>
      </w:pPr>
      <w:r>
        <w:t xml:space="preserve">The courts interpret statutes, and they can be moved directly against unlawful state action —</w:t>
      </w:r>
      <w:r>
        <w:t xml:space="preserve"> </w:t>
      </w:r>
      <w:r>
        <w:t xml:space="preserve">the Supreme Court under Article 32, a High Court under Article 226.</w:t>
      </w:r>
    </w:p>
    <w:p>
      <w:pPr>
        <w:pStyle w:val="BodyText"/>
      </w:pPr>
      <w:r>
        <w:t xml:space="preserve">A statute may also hand onward a narrow power to write the detail it deliberately left blank.</w:t>
      </w:r>
      <w:r>
        <w:t xml:space="preserve"> </w:t>
      </w:r>
      <w:r>
        <w:t xml:space="preserve">The Central Government may make rules. A body that the statute creates may make regulations.</w:t>
      </w:r>
      <w:r>
        <w:t xml:space="preserve"> </w:t>
      </w:r>
      <w:r>
        <w:t xml:space="preserve">Both are written by the executive rather than by a legislature, and they bind because a statute</w:t>
      </w:r>
      <w:r>
        <w:t xml:space="preserve"> </w:t>
      </w:r>
      <w:r>
        <w:t xml:space="preserve">said they may.</w:t>
      </w:r>
      <w:r>
        <w:t xml:space="preserve"> </w:t>
      </w:r>
      <w:r>
        <w:t xml:space="preserve">(Government of India 2026, Articles 32, 53, 79, 226, 245 and 246)</w:t>
      </w:r>
    </w:p>
    <w:p>
      <w:pPr>
        <w:pStyle w:val="BodyText"/>
      </w:pPr>
      <w:r>
        <w:rPr>
          <w:b/>
          <w:bCs/>
        </w:rPr>
        <w:t xml:space="preserve">In plain terms.</w:t>
      </w:r>
      <w:r>
        <w:t xml:space="preserve"> </w:t>
      </w:r>
      <w:r>
        <w:t xml:space="preserve">Three different jobs, done by three different sets of people.</w:t>
      </w:r>
    </w:p>
    <w:p>
      <w:pPr>
        <w:pStyle w:val="BodyText"/>
      </w:pPr>
      <w:r>
        <w:t xml:space="preserve">A legislature makes law — Parliament for the country, a State Legislature for its own state.</w:t>
      </w:r>
      <w:r>
        <w:t xml:space="preserve"> </w:t>
      </w:r>
      <w:r>
        <w:t xml:space="preserve">Which of them may make law on a given subject is fixed by Article 246, together with the Seventh</w:t>
      </w:r>
      <w:r>
        <w:t xml:space="preserve"> </w:t>
      </w:r>
      <w:r>
        <w:t xml:space="preserve">Schedule. That Schedule sorts every subject into three baskets: one for the Union, one for the</w:t>
      </w:r>
      <w:r>
        <w:t xml:space="preserve"> </w:t>
      </w:r>
      <w:r>
        <w:t xml:space="preserve">states, one they share.</w:t>
      </w:r>
    </w:p>
    <w:p>
      <w:pPr>
        <w:pStyle w:val="BodyText"/>
      </w:pPr>
      <w:r>
        <w:t xml:space="preserve">Below the legislature sits the executive — the day-to-day running of government. It is held by</w:t>
      </w:r>
      <w:r>
        <w:t xml:space="preserve"> </w:t>
      </w:r>
      <w:r>
        <w:t xml:space="preserve">the President under Article 53, and carried out beneath the President by ministries and</w:t>
      </w:r>
      <w:r>
        <w:t xml:space="preserve"> </w:t>
      </w:r>
      <w:r>
        <w:t xml:space="preserve">departments.</w:t>
      </w:r>
    </w:p>
    <w:p>
      <w:pPr>
        <w:pStyle w:val="BodyText"/>
      </w:pPr>
      <w:r>
        <w:t xml:space="preserve">A statute often leaves its detail blank on purpose, then hands the power to fill that blank</w:t>
      </w:r>
      <w:r>
        <w:t xml:space="preserve"> </w:t>
      </w:r>
      <w:r>
        <w:t xml:space="preserve">onward. The Central Government may write rules to fill it. A body the statute itself sets up may</w:t>
      </w:r>
      <w:r>
        <w:t xml:space="preserve"> </w:t>
      </w:r>
      <w:r>
        <w:t xml:space="preserve">write regulations to fill it. Neither a rule nor a regulation comes from a legislature, yet both</w:t>
      </w:r>
      <w:r>
        <w:t xml:space="preserve"> </w:t>
      </w:r>
      <w:r>
        <w:t xml:space="preserve">bind you, because a statute said they could.</w:t>
      </w:r>
    </w:p>
    <w:p>
      <w:pPr>
        <w:pStyle w:val="BodyText"/>
      </w:pPr>
      <w:r>
        <w:t xml:space="preserve">Above all this sit the courts, reading statutes and testing whether the executive stayed inside</w:t>
      </w:r>
      <w:r>
        <w:t xml:space="preserve"> </w:t>
      </w:r>
      <w:r>
        <w:t xml:space="preserve">its permission. Move the Supreme Court under Article 32, or a High Court under Article 226, and</w:t>
      </w:r>
      <w:r>
        <w:t xml:space="preserve"> </w:t>
      </w:r>
      <w:r>
        <w:t xml:space="preserve">either can stop an unlawful act. Neither court will write you a replacement rule.</w:t>
      </w:r>
    </w:p>
    <w:p>
      <w:pPr>
        <w:pStyle w:val="BodyText"/>
      </w:pPr>
      <w:r>
        <w:rPr>
          <w:b/>
          <w:bCs/>
        </w:rPr>
        <w:t xml:space="preserve">Illustration.</w:t>
      </w:r>
      <w:r>
        <w:t xml:space="preserve"> </w:t>
      </w:r>
      <w:r>
        <w:t xml:space="preserve">Pick up a packet of biscuits from your kitchen. Turn it over. Read the nutrition panel on the</w:t>
      </w:r>
      <w:r>
        <w:t xml:space="preserve"> </w:t>
      </w:r>
      <w:r>
        <w:t xml:space="preserve">back.</w:t>
      </w:r>
    </w:p>
    <w:p>
      <w:pPr>
        <w:pStyle w:val="BodyText"/>
      </w:pPr>
      <w:r>
        <w:t xml:space="preserve">Ask who wrote that requirement, and follow it down to its source. Search for the Food Safety and</w:t>
      </w:r>
      <w:r>
        <w:t xml:space="preserve"> </w:t>
      </w:r>
      <w:r>
        <w:t xml:space="preserve">Standards Act, 2006, on the India Code website and open it. Check the copy is up to date the way</w:t>
      </w:r>
      <w:r>
        <w:t xml:space="preserve"> </w:t>
      </w:r>
      <w:r>
        <w:t xml:space="preserve">the last section showed you: find its list of amendments and read the newest date.</w:t>
      </w:r>
    </w:p>
    <w:p>
      <w:pPr>
        <w:pStyle w:val="BodyText"/>
      </w:pPr>
      <w:r>
        <w:t xml:space="preserve">Now read section 23(1) of the Act. It says no one may sell a packaged food that is not labelled</w:t>
      </w:r>
      <w:r>
        <w:t xml:space="preserve"> </w:t>
      </w:r>
      <w:r>
        <w:t xml:space="preserve">“in the manner as may be specified by regulations”</w:t>
      </w:r>
      <w:r>
        <w:t xml:space="preserve">. Stop there. The Act hands you a duty, not</w:t>
      </w:r>
      <w:r>
        <w:t xml:space="preserve"> </w:t>
      </w:r>
      <w:r>
        <w:t xml:space="preserve">the detail. The detail sits in a regulation — a rule written by a body, not by Parliament.</w:t>
      </w:r>
    </w:p>
    <w:p>
      <w:pPr>
        <w:pStyle w:val="BodyText"/>
      </w:pPr>
      <w:r>
        <w:t xml:space="preserve">Read on and you find where that power came from. Section 4 sets up the body that writes it, the</w:t>
      </w:r>
      <w:r>
        <w:t xml:space="preserve"> </w:t>
      </w:r>
      <w:r>
        <w:t xml:space="preserve">Food Safety and Standards Authority of India. Section 92 gives that body the power to make</w:t>
      </w:r>
      <w:r>
        <w:t xml:space="preserve"> </w:t>
      </w:r>
      <w:r>
        <w:t xml:space="preserve">regulations. Section 93 requires those regulations to be laid before Parliament, which is how</w:t>
      </w:r>
      <w:r>
        <w:t xml:space="preserve"> </w:t>
      </w:r>
      <w:r>
        <w:t xml:space="preserve">Parliament keeps sight of rules it did not write.</w:t>
      </w:r>
    </w:p>
    <w:p>
      <w:pPr>
        <w:pStyle w:val="BodyText"/>
      </w:pPr>
      <w:r>
        <w:t xml:space="preserve">You have not opened that regulation yet. So you do not yet know what the panel is required to</w:t>
      </w:r>
      <w:r>
        <w:t xml:space="preserve"> </w:t>
      </w:r>
      <w:r>
        <w:t xml:space="preserve">say, and you should not claim to.</w:t>
      </w:r>
    </w:p>
    <w:p>
      <w:pPr>
        <w:pStyle w:val="BodyText"/>
      </w:pPr>
      <w:r>
        <w:t xml:space="preserve">Before you write to anyone about it, check where the subject sits. Open Article 246 and the</w:t>
      </w:r>
      <w:r>
        <w:t xml:space="preserve"> </w:t>
      </w:r>
      <w:r>
        <w:t xml:space="preserve">Seventh Schedule and find which list holds food. If it sits with the states as well as the</w:t>
      </w:r>
      <w:r>
        <w:t xml:space="preserve"> </w:t>
      </w:r>
      <w:r>
        <w:t xml:space="preserve">centre, a letter to Delhi alone reaches half the answer.</w:t>
      </w:r>
    </w:p>
    <w:p>
      <w:pPr>
        <w:pStyle w:val="BodyText"/>
      </w:pPr>
      <w:r>
        <w:t xml:space="preserve">Now suppose you think the rule on this packet is wrong. Do not go to a court expecting a new</w:t>
      </w:r>
      <w:r>
        <w:t xml:space="preserve"> </w:t>
      </w:r>
      <w:r>
        <w:t xml:space="preserve">label. A court moved under Article 32 or Article 226 can stop an unlawful act; it cannot write</w:t>
      </w:r>
      <w:r>
        <w:t xml:space="preserve"> </w:t>
      </w:r>
      <w:r>
        <w:t xml:space="preserve">you a replacement rule. Write instead to the Authority that wrote the regulation, because that</w:t>
      </w:r>
      <w:r>
        <w:t xml:space="preserve"> </w:t>
      </w:r>
      <w:r>
        <w:t xml:space="preserve">is where the power to change it sits. A Member of Parliament is a second address rather than a</w:t>
      </w:r>
      <w:r>
        <w:t xml:space="preserve"> </w:t>
      </w:r>
      <w:r>
        <w:t xml:space="preserve">first one, since these regulations are laid before Parliament and can be raised there.</w:t>
      </w:r>
    </w:p>
    <w:p>
      <w:pPr>
        <w:pStyle w:val="BodyText"/>
      </w:pPr>
      <w:r>
        <w:rPr>
          <w:b/>
          <w:bCs/>
        </w:rPr>
        <w:t xml:space="preserve">Where this picture breaks.</w:t>
      </w:r>
      <w:r>
        <w:t xml:space="preserve"> </w:t>
      </w:r>
      <w:r>
        <w:t xml:space="preserve">The three-job picture promises two things that are not always true. The first is that the</w:t>
      </w:r>
      <w:r>
        <w:t xml:space="preserve"> </w:t>
      </w:r>
      <w:r>
        <w:t xml:space="preserve">branches stay separate. The second is that anything binding traces back to a statute passed by a</w:t>
      </w:r>
      <w:r>
        <w:t xml:space="preserve"> </w:t>
      </w:r>
      <w:r>
        <w:t xml:space="preserve">legislature.</w:t>
      </w:r>
    </w:p>
    <w:p>
      <w:pPr>
        <w:pStyle w:val="BodyText"/>
      </w:pPr>
      <w:r>
        <w:t xml:space="preserve">Most rules you will meet are written by the executive under a power a statute handed it, and</w:t>
      </w:r>
      <w:r>
        <w:t xml:space="preserve"> </w:t>
      </w:r>
      <w:r>
        <w:t xml:space="preserve">never debated afterwards.</w:t>
      </w:r>
    </w:p>
    <w:p>
      <w:pPr>
        <w:pStyle w:val="BodyText"/>
      </w:pPr>
      <w:r>
        <w:t xml:space="preserve">Some of the largest programmes shaping health in India rest on nothing but an executive decision</w:t>
      </w:r>
      <w:r>
        <w:t xml:space="preserve"> </w:t>
      </w:r>
      <w:r>
        <w:t xml:space="preserve">and a budget line. No statute, no section to open, no list of amendments to check. That makes</w:t>
      </w:r>
      <w:r>
        <w:t xml:space="preserve"> </w:t>
      </w:r>
      <w:r>
        <w:t xml:space="preserve">them quick to start and just as quick to stop. When you meet one, do not go hunting for the</w:t>
      </w:r>
      <w:r>
        <w:t xml:space="preserve"> </w:t>
      </w:r>
      <w:r>
        <w:t xml:space="preserve">statute. Notice that there is not one.</w:t>
      </w:r>
    </w:p>
    <w:p>
      <w:pPr>
        <w:pStyle w:val="BodyText"/>
      </w:pPr>
      <w:r>
        <w:t xml:space="preserve">Nor is the Seventh Schedule one clean ladder. A subject can sit with Parliament alone, with a</w:t>
      </w:r>
      <w:r>
        <w:t xml:space="preserve"> </w:t>
      </w:r>
      <w:r>
        <w:t xml:space="preserve">State Legislature alone, or with both together. Check which list holds your subject before you</w:t>
      </w:r>
      <w:r>
        <w:t xml:space="preserve"> </w:t>
      </w:r>
      <w:r>
        <w:t xml:space="preserve">decide who to write to, because a letter to the wrong legislature gets you nowhere.</w:t>
      </w:r>
    </w:p>
    <w:p>
      <w:pPr>
        <w:pStyle w:val="BodyText"/>
      </w:pPr>
      <w:r>
        <w:rPr>
          <w:b/>
          <w:bCs/>
        </w:rPr>
        <w:t xml:space="preserve">Must know points for you.</w:t>
      </w:r>
    </w:p>
    <w:p>
      <w:pPr>
        <w:pStyle w:val="Compact"/>
        <w:numPr>
          <w:ilvl w:val="0"/>
          <w:numId w:val="1005"/>
        </w:numPr>
      </w:pPr>
      <w:r>
        <w:t xml:space="preserve">“There is a law against it”</w:t>
      </w:r>
      <w:r>
        <w:t xml:space="preserve"> </w:t>
      </w:r>
      <w:r>
        <w:t xml:space="preserve">and</w:t>
      </w:r>
      <w:r>
        <w:t xml:space="preserve"> </w:t>
      </w:r>
      <w:r>
        <w:t xml:space="preserve">“there is a rule about it”</w:t>
      </w:r>
      <w:r>
        <w:t xml:space="preserve"> </w:t>
      </w:r>
      <w:r>
        <w:t xml:space="preserve">sound like the same claim. They are not, and the difference decides who can change it and how fast. A statute needs a legislature and a debate. A regulation needs a meeting and a notification in the Gazette — the government’s official newspaper.</w:t>
      </w:r>
    </w:p>
    <w:p>
      <w:pPr>
        <w:pStyle w:val="Compact"/>
        <w:numPr>
          <w:ilvl w:val="0"/>
          <w:numId w:val="1005"/>
        </w:numPr>
      </w:pPr>
      <w:r>
        <w:t xml:space="preserve">Four levels, hardest to easiest to change: the Constitution, a statute, a rule or regulation, a notification. Lawyers call any one of them an instrument. Place whatever you are told about on that list before you argue about it. Where it sits predicts how fast it can move, and who has to be persuaded.</w:t>
      </w:r>
    </w:p>
    <w:p>
      <w:pPr>
        <w:pStyle w:val="Compact"/>
        <w:numPr>
          <w:ilvl w:val="0"/>
          <w:numId w:val="1005"/>
        </w:numPr>
      </w:pPr>
      <w:r>
        <w:t xml:space="preserve">Before repeating a label rule to anyone, open the regulation itself. The Act tells you a label is compulsory; it does not tell you what goes on the label. Quoting the Act’s wording as though it were the rule is how a confident answer turns out to be the wrong one.</w:t>
      </w:r>
    </w:p>
    <w:p>
      <w:pPr>
        <w:pStyle w:val="Compact"/>
        <w:numPr>
          <w:ilvl w:val="0"/>
          <w:numId w:val="1005"/>
        </w:numPr>
      </w:pPr>
      <w:r>
        <w:t xml:space="preserve">Food is not one subject belonging to one government. Article 246 and the Seventh Schedule split subjects between Union, State and Concurrent lists, so both Parliament and the State Legislatures act in this space. Expect two authorities where you assumed one.</w:t>
      </w:r>
    </w:p>
    <w:p>
      <w:pPr>
        <w:pStyle w:val="Compact"/>
        <w:numPr>
          <w:ilvl w:val="0"/>
          <w:numId w:val="1005"/>
        </w:numPr>
      </w:pPr>
      <w:r>
        <w:t xml:space="preserve">When you want something changed, find the instrument first. Ask a minister to change a regulation and you get sympathy. Ask the body that wrote it, and you get a process with dates you can chase.</w:t>
      </w:r>
    </w:p>
    <w:p>
      <w:pPr>
        <w:pStyle w:val="Compact"/>
        <w:numPr>
          <w:ilvl w:val="0"/>
          <w:numId w:val="1005"/>
        </w:numPr>
      </w:pPr>
      <w:r>
        <w:t xml:space="preserve">A programme resting on an executive decision and a budget line can be stopped as quickly as it was started. If you are asked to design something meant to outlast a government, your first question is which instrument would carry it.</w:t>
      </w:r>
    </w:p>
    <w:p>
      <w:pPr>
        <w:pStyle w:val="Compact"/>
        <w:numPr>
          <w:ilvl w:val="0"/>
          <w:numId w:val="1005"/>
        </w:numPr>
      </w:pPr>
      <w:r>
        <w:t xml:space="preserve">Asked who regulates food labelling in India, the weak answer is</w:t>
      </w:r>
      <w:r>
        <w:t xml:space="preserve"> </w:t>
      </w:r>
      <w:r>
        <w:t xml:space="preserve">“the government”</w:t>
      </w:r>
      <w:r>
        <w:t xml:space="preserve">. The strong answer names the body, the statute that created it, the section granting the power, and the kind of instrument it issues.</w:t>
      </w:r>
    </w:p>
    <w:p>
      <w:pPr>
        <w:pStyle w:val="Compact"/>
        <w:numPr>
          <w:ilvl w:val="0"/>
          <w:numId w:val="1005"/>
        </w:numPr>
      </w:pPr>
      <w:r>
        <w:t xml:space="preserve">This tells you who may act and through which instrument. It says nothing about whether the instrument is sensible, whether anyone enforces it, or whether it works.</w:t>
      </w:r>
    </w:p>
    <w:p>
      <w:pPr>
        <w:pStyle w:val="FirstParagraph"/>
      </w:pPr>
      <w:r>
        <w:rPr>
          <w:b/>
          <w:bCs/>
        </w:rPr>
        <w:t xml:space="preserve">Exercise B0-R0-C43-E1</w:t>
      </w:r>
      <w:r>
        <w:t xml:space="preserve"> </w:t>
      </w:r>
      <w:r>
        <w:t xml:space="preserve">(retrieval). Write down, hardest to easiest to change, the four kinds of instrument named here. For each, say</w:t>
      </w:r>
      <w:r>
        <w:t xml:space="preserve"> </w:t>
      </w:r>
      <w:r>
        <w:t xml:space="preserve">who is able to change it.</w:t>
      </w:r>
    </w:p>
    <w:p>
      <w:pPr>
        <w:pStyle w:val="BodyText"/>
      </w:pPr>
      <w:r>
        <w:rPr>
          <w:i/>
          <w:iCs/>
        </w:rPr>
        <w:t xml:space="preserve">Record your confidence as a percentage before turning to the answer.</w:t>
      </w:r>
    </w:p>
    <w:p>
      <w:pPr>
        <w:pStyle w:val="BodyText"/>
      </w:pPr>
      <w:r>
        <w:rPr>
          <w:b/>
          <w:bCs/>
        </w:rPr>
        <w:t xml:space="preserve">Exercise B0-R0-C43-E2</w:t>
      </w:r>
      <w:r>
        <w:t xml:space="preserve"> </w:t>
      </w:r>
      <w:r>
        <w:t xml:space="preserve">(interpretation). A news report says</w:t>
      </w:r>
      <w:r>
        <w:t xml:space="preserve"> </w:t>
      </w:r>
      <w:r>
        <w:t xml:space="preserve">“the government has banned the sale of energy drinks in school canteens”</w:t>
      </w:r>
      <w:r>
        <w:t xml:space="preserve">.</w:t>
      </w:r>
      <w:r>
        <w:t xml:space="preserve"> </w:t>
      </w:r>
      <w:r>
        <w:t xml:space="preserve">List three questions you must answer before you can tell whether this is a statute, a</w:t>
      </w:r>
      <w:r>
        <w:t xml:space="preserve"> </w:t>
      </w:r>
      <w:r>
        <w:t xml:space="preserve">regulation, or an advisory with no legal force.</w:t>
      </w:r>
    </w:p>
    <w:p>
      <w:pPr>
        <w:pStyle w:val="BodyText"/>
      </w:pPr>
      <w:r>
        <w:rPr>
          <w:b/>
          <w:bCs/>
        </w:rPr>
        <w:t xml:space="preserve">Exercise B0-R0-C43-E3</w:t>
      </w:r>
      <w:r>
        <w:t xml:space="preserve"> </w:t>
      </w:r>
      <w:r>
        <w:t xml:space="preserve">(teaching). Explain to a journalist, in three minutes and without jargon. Why can a Health Minister not</w:t>
      </w:r>
      <w:r>
        <w:t xml:space="preserve"> </w:t>
      </w:r>
      <w:r>
        <w:t xml:space="preserve">change what is printed on a food packet next week?</w:t>
      </w:r>
    </w:p>
    <w:bookmarkEnd w:id="12"/>
    <w:bookmarkEnd w:id="13"/>
    <w:bookmarkEnd w:id="14"/>
    <w:bookmarkStart w:id="21" w:name="appendix-worked-answers"/>
    <w:p>
      <w:pPr>
        <w:pStyle w:val="Heading1"/>
      </w:pPr>
      <w:r>
        <w:t xml:space="preserve">Appendix · Worked answers</w:t>
      </w:r>
    </w:p>
    <w:p>
      <w:pPr>
        <w:pStyle w:val="FirstParagraph"/>
      </w:pPr>
      <w:r>
        <w:rPr>
          <w:b/>
          <w:bCs/>
        </w:rPr>
        <w:t xml:space="preserve">B0-R0-C39-E1.</w:t>
      </w:r>
      <w:r>
        <w:t xml:space="preserve"> </w:t>
      </w:r>
      <w:r>
        <w:t xml:space="preserve">Among the 18,750 women surveyed in state B during fieldwork conducted across 2019 to 2021, 39.6</w:t>
      </w:r>
      <w:r>
        <w:t xml:space="preserve"> </w:t>
      </w:r>
      <w:r>
        <w:t xml:space="preserve">per cent were recorded as overweight or obese. It is a property of a surveyed group, in one</w:t>
      </w:r>
      <w:r>
        <w:t xml:space="preserve"> </w:t>
      </w:r>
      <w:r>
        <w:t xml:space="preserve">state, over a period. It is not a property of any woman, of the state’s whole population, or of</w:t>
      </w:r>
      <w:r>
        <w:t xml:space="preserve"> </w:t>
      </w:r>
      <w:r>
        <w:t xml:space="preserve">a date.</w:t>
      </w:r>
    </w:p>
    <w:p>
      <w:pPr>
        <w:pStyle w:val="BodyText"/>
      </w:pPr>
      <w:r>
        <w:rPr>
          <w:b/>
          <w:bCs/>
        </w:rPr>
        <w:t xml:space="preserve">B0-R0-C39-E2.</w:t>
      </w:r>
      <w:r>
        <w:t xml:space="preserve"> </w:t>
      </w:r>
      <w:r>
        <w:t xml:space="preserve">First, it describes the states, when the table reports surveyed samples.</w:t>
      </w:r>
    </w:p>
    <w:p>
      <w:pPr>
        <w:pStyle w:val="BodyText"/>
      </w:pPr>
      <w:r>
        <w:t xml:space="preserve">Second, it treats the gap as a measured quantity. Nothing in the table tells you the precision</w:t>
      </w:r>
      <w:r>
        <w:t xml:space="preserve"> </w:t>
      </w:r>
      <w:r>
        <w:t xml:space="preserve">of either figure. The difference may be solid or may be noise, and the table cannot tell you</w:t>
      </w:r>
      <w:r>
        <w:t xml:space="preserve"> </w:t>
      </w:r>
      <w:r>
        <w:t xml:space="preserve">which.</w:t>
      </w:r>
    </w:p>
    <w:p>
      <w:pPr>
        <w:pStyle w:val="BodyText"/>
      </w:pPr>
      <w:r>
        <w:t xml:space="preserve">A third and subtler point:</w:t>
      </w:r>
      <w:r>
        <w:t xml:space="preserve"> </w:t>
      </w:r>
      <w:r>
        <w:t xml:space="preserve">“obesity”</w:t>
      </w:r>
      <w:r>
        <w:t xml:space="preserve"> </w:t>
      </w:r>
      <w:r>
        <w:t xml:space="preserve">and</w:t>
      </w:r>
      <w:r>
        <w:t xml:space="preserve"> </w:t>
      </w:r>
      <w:r>
        <w:t xml:space="preserve">“overweight or obese”</w:t>
      </w:r>
      <w:r>
        <w:t xml:space="preserve"> </w:t>
      </w:r>
      <w:r>
        <w:t xml:space="preserve">are different categories, and the</w:t>
      </w:r>
      <w:r>
        <w:t xml:space="preserve"> </w:t>
      </w:r>
      <w:r>
        <w:t xml:space="preserve">column heading says the second one.</w:t>
      </w:r>
    </w:p>
    <w:p>
      <w:pPr>
        <w:pStyle w:val="BodyText"/>
      </w:pPr>
      <w:r>
        <w:rPr>
          <w:b/>
          <w:bCs/>
        </w:rPr>
        <w:t xml:space="preserve">B0-R0-C41-E1.</w:t>
      </w:r>
      <w:r>
        <w:t xml:space="preserve"> </w:t>
      </w:r>
      <w:r>
        <w:t xml:space="preserve">Three things are missing. There is no locator, so nothing tells a reader where to look in a</w:t>
      </w:r>
      <w:r>
        <w:t xml:space="preserve"> </w:t>
      </w:r>
      <w:r>
        <w:t xml:space="preserve">document of several hundred articles. There is no evidence that anyone opened it. And there is</w:t>
      </w:r>
      <w:r>
        <w:t xml:space="preserve"> </w:t>
      </w:r>
      <w:r>
        <w:t xml:space="preserve">no indication of which consolidated edition was consulted.</w:t>
      </w:r>
    </w:p>
    <w:p>
      <w:pPr>
        <w:pStyle w:val="BodyText"/>
      </w:pPr>
      <w:r>
        <w:t xml:space="preserve">The edition matters here specifically. Article 279A was inserted in 2016, so any text predating</w:t>
      </w:r>
      <w:r>
        <w:t xml:space="preserve"> </w:t>
      </w:r>
      <w:r>
        <w:t xml:space="preserve">that will not contain it.</w:t>
      </w:r>
    </w:p>
    <w:p>
      <w:pPr>
        <w:pStyle w:val="BodyText"/>
      </w:pPr>
      <w:r>
        <w:t xml:space="preserve">To settle it: get a consolidated copy, check the latest amendment it cites, and search it for</w:t>
      </w:r>
      <w:r>
        <w:t xml:space="preserve"> </w:t>
      </w:r>
      <w:r>
        <w:t xml:space="preserve">Article 279A. Record both the locator and which copy you used.</w:t>
      </w:r>
    </w:p>
    <w:p>
      <w:pPr>
        <w:pStyle w:val="BodyText"/>
      </w:pPr>
      <w:r>
        <w:rPr>
          <w:b/>
          <w:bCs/>
        </w:rPr>
        <w:t xml:space="preserve">B0-R0-C41-E2.</w:t>
      </w:r>
      <w:r>
        <w:t xml:space="preserve"> </w:t>
      </w:r>
      <w:r>
        <w:t xml:space="preserve">There is no single correct answer; the output is the record. Expect at least one to fail at act</w:t>
      </w:r>
      <w:r>
        <w:t xml:space="preserve"> </w:t>
      </w:r>
      <w:r>
        <w:t xml:space="preserve">three or four.</w:t>
      </w:r>
    </w:p>
    <w:p>
      <w:pPr>
        <w:pStyle w:val="BodyText"/>
      </w:pPr>
      <w:r>
        <w:t xml:space="preserve">Three patterns are common. A page number that does not contain the claim. A review cited for a</w:t>
      </w:r>
      <w:r>
        <w:t xml:space="preserve"> </w:t>
      </w:r>
      <w:r>
        <w:t xml:space="preserve">finding that belongs to a single study. A source that supports a weaker statement than the one</w:t>
      </w:r>
      <w:r>
        <w:t xml:space="preserve"> </w:t>
      </w:r>
      <w:r>
        <w:t xml:space="preserve">it is attached to.</w:t>
      </w:r>
    </w:p>
    <w:p>
      <w:pPr>
        <w:pStyle w:val="BodyText"/>
      </w:pPr>
      <w:r>
        <w:rPr>
          <w:b/>
          <w:bCs/>
        </w:rPr>
        <w:t xml:space="preserve">B0-R0-C42-E1.</w:t>
      </w:r>
      <w:r>
        <w:t xml:space="preserve"> </w:t>
      </w:r>
      <w:r>
        <w:t xml:space="preserve">The premise: countries where people eat more packaged food show more obesity. The conclusion:</w:t>
      </w:r>
      <w:r>
        <w:t xml:space="preserve"> </w:t>
      </w:r>
      <w:r>
        <w:t xml:space="preserve">packaged food causes obesity.</w:t>
      </w:r>
    </w:p>
    <w:p>
      <w:pPr>
        <w:pStyle w:val="BodyText"/>
      </w:pPr>
      <w:r>
        <w:t xml:space="preserve">The inference does not hold. A pattern across countries can come from something that moves both,</w:t>
      </w:r>
      <w:r>
        <w:t xml:space="preserve"> </w:t>
      </w:r>
      <w:r>
        <w:t xml:space="preserve">such as income, or more people living in cities. And a pattern in country averages need not hold</w:t>
      </w:r>
      <w:r>
        <w:t xml:space="preserve"> </w:t>
      </w:r>
      <w:r>
        <w:t xml:space="preserve">for people.</w:t>
      </w:r>
    </w:p>
    <w:p>
      <w:pPr>
        <w:pStyle w:val="BodyText"/>
      </w:pPr>
      <w:r>
        <w:t xml:space="preserve">To repair it you would need two more premises. One ruling out a common cause. One connecting the</w:t>
      </w:r>
      <w:r>
        <w:t xml:space="preserve"> </w:t>
      </w:r>
      <w:r>
        <w:t xml:space="preserve">country pattern to people. The conclusion may still be true; what has failed is this route to</w:t>
      </w:r>
      <w:r>
        <w:t xml:space="preserve"> </w:t>
      </w:r>
      <w:r>
        <w:t xml:space="preserve">it.</w:t>
      </w:r>
    </w:p>
    <w:p>
      <w:pPr>
        <w:pStyle w:val="BodyText"/>
      </w:pPr>
      <w:r>
        <w:rPr>
          <w:b/>
          <w:bCs/>
        </w:rPr>
        <w:t xml:space="preserve">B0-R0-C42-E2.</w:t>
      </w:r>
      <w:r>
        <w:t xml:space="preserve"> </w:t>
      </w:r>
      <w:r>
        <w:t xml:space="preserve">The spine of the explanation. A wrong fact can be replaced, and the argument survives, so</w:t>
      </w:r>
      <w:r>
        <w:t xml:space="preserve"> </w:t>
      </w:r>
      <w:r>
        <w:t xml:space="preserve">attacking facts invites an endless supply of new ones. A broken inference means no fact of that</w:t>
      </w:r>
      <w:r>
        <w:t xml:space="preserve"> </w:t>
      </w:r>
      <w:r>
        <w:t xml:space="preserve">kind could establish the conclusion. That ends the line rather than extending it.</w:t>
      </w:r>
    </w:p>
    <w:p>
      <w:pPr>
        <w:pStyle w:val="BodyText"/>
      </w:pPr>
      <w:r>
        <w:t xml:space="preserve">Demonstrate it. Take a claim, grant every premise aloud, and show that the conclusion still does</w:t>
      </w:r>
      <w:r>
        <w:t xml:space="preserve"> </w:t>
      </w:r>
      <w:r>
        <w:t xml:space="preserve">not follow. The granting is what makes it land.</w:t>
      </w:r>
    </w:p>
    <w:p>
      <w:pPr>
        <w:pStyle w:val="BodyText"/>
      </w:pPr>
      <w:r>
        <w:rPr>
          <w:b/>
          <w:bCs/>
        </w:rPr>
        <w:t xml:space="preserve">B0-R0-C43-E1.</w:t>
      </w:r>
      <w:r>
        <w:t xml:space="preserve"> </w:t>
      </w:r>
      <w:r>
        <w:t xml:space="preserve">The Constitution is changed by Parliament, by a special majority. For some parts the states must</w:t>
      </w:r>
      <w:r>
        <w:t xml:space="preserve"> </w:t>
      </w:r>
      <w:r>
        <w:t xml:space="preserve">agree as well. A statute is changed by Parliament, or by a State Legislature. A rule or a</w:t>
      </w:r>
      <w:r>
        <w:t xml:space="preserve"> </w:t>
      </w:r>
      <w:r>
        <w:t xml:space="preserve">regulation is changed by the Central Government, or by the body the statute gave the power to. A</w:t>
      </w:r>
      <w:r>
        <w:t xml:space="preserve"> </w:t>
      </w:r>
      <w:r>
        <w:t xml:space="preserve">notification is issued by that same body and published in the Gazette.</w:t>
      </w:r>
    </w:p>
    <w:p>
      <w:pPr>
        <w:pStyle w:val="BodyText"/>
      </w:pPr>
      <w:r>
        <w:t xml:space="preserve">The ordering is useful because it predicts how quickly something can change, and who would have</w:t>
      </w:r>
      <w:r>
        <w:t xml:space="preserve"> </w:t>
      </w:r>
      <w:r>
        <w:t xml:space="preserve">to be persuaded.</w:t>
      </w:r>
    </w:p>
    <w:p>
      <w:pPr>
        <w:pStyle w:val="BodyText"/>
      </w:pPr>
      <w:r>
        <w:rPr>
          <w:b/>
          <w:bCs/>
        </w:rPr>
        <w:t xml:space="preserve">B0-R0-C43-E2.</w:t>
      </w:r>
      <w:r>
        <w:t xml:space="preserve"> </w:t>
      </w:r>
      <w:r>
        <w:t xml:space="preserve">Which government is it — the Union or a State? The Seventh Schedule splits the subject, so this</w:t>
      </w:r>
      <w:r>
        <w:t xml:space="preserve"> </w:t>
      </w:r>
      <w:r>
        <w:t xml:space="preserve">has to be settled first.</w:t>
      </w:r>
    </w:p>
    <w:p>
      <w:pPr>
        <w:pStyle w:val="BodyText"/>
      </w:pPr>
      <w:r>
        <w:t xml:space="preserve">Which instrument — was anything notified in the Gazette, and under which statutory power?</w:t>
      </w:r>
    </w:p>
    <w:p>
      <w:pPr>
        <w:pStyle w:val="BodyText"/>
      </w:pPr>
      <w:r>
        <w:t xml:space="preserve">And who is bound? A binding rule names who commits a breach and what follows. An advisory names</w:t>
      </w:r>
      <w:r>
        <w:t xml:space="preserve"> </w:t>
      </w:r>
      <w:r>
        <w:t xml:space="preserve">nobody and carries no consequence.</w:t>
      </w:r>
    </w:p>
    <w:p>
      <w:pPr>
        <w:pStyle w:val="BodyText"/>
      </w:pPr>
      <w:r>
        <w:t xml:space="preserve">A report that answers none of these has not established that anything legally happened.</w:t>
      </w:r>
    </w:p>
    <w:p>
      <w:pPr>
        <w:pStyle w:val="BodyText"/>
      </w:pPr>
      <w:r>
        <w:rPr>
          <w:b/>
          <w:bCs/>
        </w:rPr>
        <w:t xml:space="preserve">B0-R0-C43-E3.</w:t>
      </w:r>
      <w:r>
        <w:t xml:space="preserve"> </w:t>
      </w:r>
      <w:r>
        <w:t xml:space="preserve">The label requirement is a regulation, not a ministerial decision. It was written by the body an</w:t>
      </w:r>
      <w:r>
        <w:t xml:space="preserve"> </w:t>
      </w:r>
      <w:r>
        <w:t xml:space="preserve">Act of Parliament created for that purpose, using a power that Act granted.</w:t>
      </w:r>
    </w:p>
    <w:p>
      <w:pPr>
        <w:pStyle w:val="BodyText"/>
      </w:pPr>
      <w:r>
        <w:t xml:space="preserve">Changing it means that body drafting an amendment, taking comments, notifying it in the Gazette</w:t>
      </w:r>
      <w:r>
        <w:t xml:space="preserve"> </w:t>
      </w:r>
      <w:r>
        <w:t xml:space="preserve">and laying it before Parliament. The Minister can push, and can be blamed, but cannot sign it</w:t>
      </w:r>
      <w:r>
        <w:t xml:space="preserve"> </w:t>
      </w:r>
      <w:r>
        <w:t xml:space="preserve">away.</w:t>
      </w:r>
    </w:p>
    <w:p>
      <w:pPr>
        <w:pStyle w:val="BodyText"/>
      </w:pPr>
      <w:r>
        <w:t xml:space="preserve">So the accurate story is not</w:t>
      </w:r>
      <w:r>
        <w:t xml:space="preserve"> </w:t>
      </w:r>
      <w:r>
        <w:t xml:space="preserve">“Minister refuses”</w:t>
      </w:r>
      <w:r>
        <w:t xml:space="preserve">. It is</w:t>
      </w:r>
      <w:r>
        <w:t xml:space="preserve"> </w:t>
      </w:r>
      <w:r>
        <w:t xml:space="preserve">“here is how long this process takes, and</w:t>
      </w:r>
      <w:r>
        <w:t xml:space="preserve"> </w:t>
      </w:r>
      <w:r>
        <w:t xml:space="preserve">here is where it has reached”</w:t>
      </w:r>
      <w:r>
        <w:t xml:space="preserve">.</w:t>
      </w:r>
    </w:p>
    <w:bookmarkStart w:id="20" w:name="refs"/>
    <w:bookmarkStart w:id="15" w:name="ref-pending_scholarly_method_text"/>
    <w:p>
      <w:pPr>
        <w:pStyle w:val="Bibliography"/>
      </w:pPr>
      <w:r>
        <w:rPr>
          <w:i/>
          <w:iCs/>
        </w:rPr>
        <w:t xml:space="preserve">A Textbook Chapter on Citation and Source Verification</w:t>
      </w:r>
      <w:r>
        <w:t xml:space="preserve">. n.d.</w:t>
      </w:r>
    </w:p>
    <w:bookmarkEnd w:id="15"/>
    <w:bookmarkStart w:id="16" w:name="ref-pending_data_presentation_text"/>
    <w:p>
      <w:pPr>
        <w:pStyle w:val="Bibliography"/>
      </w:pPr>
      <w:r>
        <w:rPr>
          <w:i/>
          <w:iCs/>
        </w:rPr>
        <w:t xml:space="preserve">A Textbook Chapter on Tabular Presentation of Data</w:t>
      </w:r>
      <w:r>
        <w:t xml:space="preserve">. n.d.</w:t>
      </w:r>
    </w:p>
    <w:bookmarkEnd w:id="16"/>
    <w:bookmarkStart w:id="17" w:name="ref-pending_logic_text"/>
    <w:p>
      <w:pPr>
        <w:pStyle w:val="Bibliography"/>
      </w:pPr>
      <w:r>
        <w:rPr>
          <w:i/>
          <w:iCs/>
        </w:rPr>
        <w:t xml:space="preserve">An Introductory Textbook Chapter on Argument Structure</w:t>
      </w:r>
      <w:r>
        <w:t xml:space="preserve">. n.d.</w:t>
      </w:r>
    </w:p>
    <w:bookmarkEnd w:id="17"/>
    <w:bookmarkStart w:id="19" w:name="ref-constitution"/>
    <w:p>
      <w:pPr>
        <w:pStyle w:val="Bibliography"/>
      </w:pPr>
      <w:r>
        <w:t xml:space="preserve">Government of India. 2026.</w:t>
      </w:r>
      <w:r>
        <w:t xml:space="preserve"> </w:t>
      </w:r>
      <w:r>
        <w:rPr>
          <w:i/>
          <w:iCs/>
        </w:rPr>
        <w:t xml:space="preserve">The Constitution of India</w:t>
      </w:r>
      <w:r>
        <w:t xml:space="preserve">. India Code.</w:t>
      </w:r>
      <w:r>
        <w:t xml:space="preserve"> </w:t>
      </w:r>
      <w:hyperlink r:id="rId18">
        <w:r>
          <w:rPr>
            <w:rStyle w:val="Hyperlink"/>
          </w:rPr>
          <w:t xml:space="preserve">https://indiacode.gov.in/handle/123456789/618394</w:t>
        </w:r>
      </w:hyperlink>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indiacode.gov.in/handle/123456789/618394" TargetMode="External" /></Relationships>
</file>

<file path=word/_rels/footnotes.xml.rels><?xml version="1.0" encoding="UTF-8"?><Relationships xmlns="http://schemas.openxmlformats.org/package/2006/relationships"><Relationship Type="http://schemas.openxmlformats.org/officeDocument/2006/relationships/hyperlink" Id="rId18" Target="https://indiacode.gov.in/handle/123456789/6183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2026-09-19T13:44:15Z</dcterms:created>
  <dcterms:modified xsi:type="dcterms:W3CDTF">2026-09-19T13:44:15Z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C:\Users\harsh\.claude-science\orgs\64f01712-c0ad-461a-a1c2-db647c9795b1\workspaces\c6cdd767-1b51-480a-9aac-82ebb946aaad\course\references\library.bib</vt:lpwstr>
  </property>
</Properties>
</file>