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A12FC">
        <w:rPr>
          <w:rFonts w:hint="eastAsia"/>
        </w:rPr>
        <w:t>170902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9F4194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Pr="002B62F9" w:rsidRDefault="002F126A" w:rsidP="00DE6FA2">
      <w:pPr>
        <w:rPr>
          <w:b/>
        </w:rPr>
      </w:pP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Pr="0092193A" w:rsidRDefault="002A5475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pPr>
        <w:rPr>
          <w:rFonts w:hint="eastAsia"/>
        </w:rPr>
      </w:pPr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EE67B9" w:rsidRPr="00F3673C" w:rsidRDefault="00F3673C" w:rsidP="0014284F">
      <w:pPr>
        <w:rPr>
          <w:rFonts w:ascii="等线" w:eastAsia="等线" w:hAnsi="等线"/>
        </w:rPr>
      </w:pPr>
      <w:r w:rsidRPr="00F3673C">
        <w:rPr>
          <w:rFonts w:ascii="等线" w:eastAsia="等线" w:hAnsi="等线" w:hint="eastAsia"/>
        </w:rPr>
        <w:t>sqlite</w:t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数据库名称空间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bookmarkStart w:id="0" w:name="_GoBack"/>
      <w:bookmarkEnd w:id="0"/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lastRenderedPageBreak/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Pr="005D6C27">
          <w:rPr>
            <w:rStyle w:val="ab"/>
          </w:rPr>
          <w:t>https://github.com/mikecovlee/covscript/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</w:p>
    <w:p w:rsidR="00B72857" w:rsidRDefault="00B72857" w:rsidP="00B72857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B72857" w:rsidRP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E32" w:rsidRDefault="00917E32" w:rsidP="00245E5E">
      <w:r>
        <w:separator/>
      </w:r>
    </w:p>
  </w:endnote>
  <w:endnote w:type="continuationSeparator" w:id="0">
    <w:p w:rsidR="00917E32" w:rsidRDefault="00917E32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E32" w:rsidRDefault="00917E32" w:rsidP="00245E5E">
      <w:r>
        <w:separator/>
      </w:r>
    </w:p>
  </w:footnote>
  <w:footnote w:type="continuationSeparator" w:id="0">
    <w:p w:rsidR="00917E32" w:rsidRDefault="00917E32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56C2"/>
    <w:rsid w:val="00021948"/>
    <w:rsid w:val="00024B09"/>
    <w:rsid w:val="000346BB"/>
    <w:rsid w:val="000519EC"/>
    <w:rsid w:val="000569A0"/>
    <w:rsid w:val="00065DEC"/>
    <w:rsid w:val="00094A49"/>
    <w:rsid w:val="000A07B8"/>
    <w:rsid w:val="000D6F88"/>
    <w:rsid w:val="000E2D31"/>
    <w:rsid w:val="00101E71"/>
    <w:rsid w:val="00112051"/>
    <w:rsid w:val="001206C2"/>
    <w:rsid w:val="00130EAA"/>
    <w:rsid w:val="00133F02"/>
    <w:rsid w:val="0014284F"/>
    <w:rsid w:val="0016040C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C68"/>
    <w:rsid w:val="00245E5E"/>
    <w:rsid w:val="00250FDB"/>
    <w:rsid w:val="002622E3"/>
    <w:rsid w:val="002704B0"/>
    <w:rsid w:val="00277F16"/>
    <w:rsid w:val="00291703"/>
    <w:rsid w:val="002A5475"/>
    <w:rsid w:val="002A654E"/>
    <w:rsid w:val="002A7131"/>
    <w:rsid w:val="002B5DED"/>
    <w:rsid w:val="002B62F9"/>
    <w:rsid w:val="002C7EC6"/>
    <w:rsid w:val="002D2CC0"/>
    <w:rsid w:val="002E0668"/>
    <w:rsid w:val="002F126A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944B9"/>
    <w:rsid w:val="003B592F"/>
    <w:rsid w:val="003C3F78"/>
    <w:rsid w:val="003C6A3E"/>
    <w:rsid w:val="003E4005"/>
    <w:rsid w:val="003E43F4"/>
    <w:rsid w:val="003E6C2D"/>
    <w:rsid w:val="003F3FCF"/>
    <w:rsid w:val="00402AFE"/>
    <w:rsid w:val="00453ABA"/>
    <w:rsid w:val="00475A8C"/>
    <w:rsid w:val="0048351A"/>
    <w:rsid w:val="00490D3C"/>
    <w:rsid w:val="00493EA3"/>
    <w:rsid w:val="004A12FC"/>
    <w:rsid w:val="004A37F8"/>
    <w:rsid w:val="004E1D1C"/>
    <w:rsid w:val="004E4755"/>
    <w:rsid w:val="00502444"/>
    <w:rsid w:val="005037C6"/>
    <w:rsid w:val="00507858"/>
    <w:rsid w:val="00540CF3"/>
    <w:rsid w:val="00553595"/>
    <w:rsid w:val="00556C74"/>
    <w:rsid w:val="00560B77"/>
    <w:rsid w:val="00564FD5"/>
    <w:rsid w:val="00572584"/>
    <w:rsid w:val="005746B5"/>
    <w:rsid w:val="00592E04"/>
    <w:rsid w:val="00596F27"/>
    <w:rsid w:val="005C0CE4"/>
    <w:rsid w:val="005D0C8F"/>
    <w:rsid w:val="005F3030"/>
    <w:rsid w:val="006012CB"/>
    <w:rsid w:val="00607331"/>
    <w:rsid w:val="006103FD"/>
    <w:rsid w:val="00616BBA"/>
    <w:rsid w:val="006267EB"/>
    <w:rsid w:val="00631BB6"/>
    <w:rsid w:val="00637500"/>
    <w:rsid w:val="00645AFA"/>
    <w:rsid w:val="00663A87"/>
    <w:rsid w:val="006713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567A0"/>
    <w:rsid w:val="0078370B"/>
    <w:rsid w:val="00784D47"/>
    <w:rsid w:val="00793BF1"/>
    <w:rsid w:val="00793CC2"/>
    <w:rsid w:val="007C2406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3BF7"/>
    <w:rsid w:val="008A508A"/>
    <w:rsid w:val="008B08AD"/>
    <w:rsid w:val="008B1362"/>
    <w:rsid w:val="008B47BA"/>
    <w:rsid w:val="008B49FA"/>
    <w:rsid w:val="008C279C"/>
    <w:rsid w:val="008D085B"/>
    <w:rsid w:val="008D2F11"/>
    <w:rsid w:val="008E7F65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6678"/>
    <w:rsid w:val="009F3189"/>
    <w:rsid w:val="009F4194"/>
    <w:rsid w:val="00A009FB"/>
    <w:rsid w:val="00A13CB6"/>
    <w:rsid w:val="00A558C8"/>
    <w:rsid w:val="00A74FB0"/>
    <w:rsid w:val="00A937DB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198F"/>
    <w:rsid w:val="00B9248D"/>
    <w:rsid w:val="00BB31F7"/>
    <w:rsid w:val="00BC34E0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303B"/>
    <w:rsid w:val="00E57B01"/>
    <w:rsid w:val="00E7179F"/>
    <w:rsid w:val="00E72F17"/>
    <w:rsid w:val="00EA183E"/>
    <w:rsid w:val="00EA50EB"/>
    <w:rsid w:val="00EA573E"/>
    <w:rsid w:val="00EB69B4"/>
    <w:rsid w:val="00EB7F96"/>
    <w:rsid w:val="00ED75D0"/>
    <w:rsid w:val="00ED7BB2"/>
    <w:rsid w:val="00EE67B9"/>
    <w:rsid w:val="00EF7390"/>
    <w:rsid w:val="00F03412"/>
    <w:rsid w:val="00F1141E"/>
    <w:rsid w:val="00F152F9"/>
    <w:rsid w:val="00F156A9"/>
    <w:rsid w:val="00F2352B"/>
    <w:rsid w:val="00F26FE5"/>
    <w:rsid w:val="00F33C2D"/>
    <w:rsid w:val="00F3673C"/>
    <w:rsid w:val="00F50333"/>
    <w:rsid w:val="00F53E35"/>
    <w:rsid w:val="00F558D3"/>
    <w:rsid w:val="00F71847"/>
    <w:rsid w:val="00F91756"/>
    <w:rsid w:val="00FA2F97"/>
    <w:rsid w:val="00FB20AB"/>
    <w:rsid w:val="00FB558B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2BAC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kecovlee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201</cp:revision>
  <dcterms:created xsi:type="dcterms:W3CDTF">2017-08-06T13:22:00Z</dcterms:created>
  <dcterms:modified xsi:type="dcterms:W3CDTF">2017-10-02T15:01:00Z</dcterms:modified>
</cp:coreProperties>
</file>