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33" w:rsidRPr="00823FA1" w:rsidRDefault="00937B33" w:rsidP="00613778">
      <w:pPr>
        <w:spacing w:after="0" w:line="276" w:lineRule="auto"/>
        <w:rPr>
          <w:b/>
          <w:sz w:val="28"/>
          <w:szCs w:val="28"/>
          <w:lang w:val="en-CA"/>
        </w:rPr>
      </w:pPr>
      <w:r w:rsidRPr="00823FA1">
        <w:rPr>
          <w:b/>
          <w:sz w:val="28"/>
          <w:szCs w:val="28"/>
          <w:lang w:val="en-CA"/>
        </w:rPr>
        <w:t>Meridian –</w:t>
      </w:r>
      <w:r w:rsidR="00823FA1" w:rsidRPr="00823FA1">
        <w:rPr>
          <w:b/>
          <w:sz w:val="28"/>
          <w:szCs w:val="28"/>
          <w:lang w:val="en-CA"/>
        </w:rPr>
        <w:t xml:space="preserve"> Calculator</w:t>
      </w:r>
      <w:r w:rsidR="000072C4">
        <w:rPr>
          <w:b/>
          <w:sz w:val="28"/>
          <w:szCs w:val="28"/>
          <w:lang w:val="en-CA"/>
        </w:rPr>
        <w:t xml:space="preserve">’s Rates </w:t>
      </w:r>
      <w:r w:rsidR="00823FA1" w:rsidRPr="00823FA1">
        <w:rPr>
          <w:b/>
          <w:sz w:val="28"/>
          <w:szCs w:val="28"/>
          <w:lang w:val="en-CA"/>
        </w:rPr>
        <w:t>Data S</w:t>
      </w:r>
      <w:r w:rsidRPr="00823FA1">
        <w:rPr>
          <w:b/>
          <w:sz w:val="28"/>
          <w:szCs w:val="28"/>
          <w:lang w:val="en-CA"/>
        </w:rPr>
        <w:t>tructure</w:t>
      </w:r>
    </w:p>
    <w:p w:rsidR="00823FA1" w:rsidRDefault="00823FA1" w:rsidP="00613778">
      <w:pPr>
        <w:spacing w:after="0" w:line="276" w:lineRule="auto"/>
        <w:rPr>
          <w:sz w:val="20"/>
          <w:szCs w:val="20"/>
          <w:lang w:val="en-CA"/>
        </w:rPr>
      </w:pPr>
      <w:r w:rsidRPr="000072C4">
        <w:rPr>
          <w:sz w:val="20"/>
          <w:szCs w:val="20"/>
          <w:lang w:val="en-CA"/>
        </w:rPr>
        <w:t>Used by tools</w:t>
      </w:r>
      <w:r w:rsidR="000072C4" w:rsidRPr="000072C4">
        <w:rPr>
          <w:sz w:val="20"/>
          <w:szCs w:val="20"/>
          <w:lang w:val="en-CA"/>
        </w:rPr>
        <w:t xml:space="preserve"> made by </w:t>
      </w:r>
      <w:proofErr w:type="spellStart"/>
      <w:r w:rsidR="000072C4" w:rsidRPr="000072C4">
        <w:rPr>
          <w:sz w:val="20"/>
          <w:szCs w:val="20"/>
          <w:lang w:val="en-CA"/>
        </w:rPr>
        <w:t>Bluerush</w:t>
      </w:r>
      <w:proofErr w:type="spellEnd"/>
    </w:p>
    <w:p w:rsidR="0099357C" w:rsidRPr="0099357C" w:rsidRDefault="0099357C" w:rsidP="00613778">
      <w:pPr>
        <w:spacing w:after="0" w:line="276" w:lineRule="auto"/>
        <w:rPr>
          <w:sz w:val="16"/>
          <w:szCs w:val="16"/>
          <w:lang w:val="en-CA"/>
        </w:rPr>
      </w:pPr>
      <w:r w:rsidRPr="0099357C">
        <w:rPr>
          <w:sz w:val="16"/>
          <w:szCs w:val="16"/>
          <w:lang w:val="en-CA"/>
        </w:rPr>
        <w:t xml:space="preserve">Last update: 2016-09-27 by </w:t>
      </w:r>
      <w:proofErr w:type="spellStart"/>
      <w:r w:rsidRPr="0099357C">
        <w:rPr>
          <w:sz w:val="16"/>
          <w:szCs w:val="16"/>
          <w:lang w:val="en-CA"/>
        </w:rPr>
        <w:t>Bluerush’s</w:t>
      </w:r>
      <w:proofErr w:type="spellEnd"/>
      <w:r w:rsidRPr="0099357C">
        <w:rPr>
          <w:sz w:val="16"/>
          <w:szCs w:val="16"/>
          <w:lang w:val="en-CA"/>
        </w:rPr>
        <w:t xml:space="preserve"> Claudine Cyr</w:t>
      </w:r>
      <w:bookmarkStart w:id="0" w:name="_GoBack"/>
      <w:bookmarkEnd w:id="0"/>
    </w:p>
    <w:p w:rsidR="00823FA1" w:rsidRDefault="00823FA1" w:rsidP="00613778">
      <w:pPr>
        <w:spacing w:after="0" w:line="276" w:lineRule="auto"/>
        <w:rPr>
          <w:lang w:val="en-CA"/>
        </w:rPr>
      </w:pPr>
    </w:p>
    <w:p w:rsidR="00823FA1" w:rsidRDefault="00823FA1" w:rsidP="00613778">
      <w:pPr>
        <w:spacing w:after="0" w:line="276" w:lineRule="auto"/>
        <w:rPr>
          <w:lang w:val="en-CA"/>
        </w:rPr>
      </w:pPr>
      <w:r>
        <w:rPr>
          <w:lang w:val="en-CA"/>
        </w:rPr>
        <w:t>Calculator names:</w:t>
      </w:r>
    </w:p>
    <w:p w:rsidR="00823FA1" w:rsidRDefault="00823FA1" w:rsidP="00613778">
      <w:pPr>
        <w:pStyle w:val="ListParagraph"/>
        <w:numPr>
          <w:ilvl w:val="0"/>
          <w:numId w:val="1"/>
        </w:numPr>
        <w:spacing w:after="0" w:line="276" w:lineRule="auto"/>
        <w:rPr>
          <w:lang w:val="en-CA"/>
        </w:rPr>
      </w:pPr>
      <w:r>
        <w:rPr>
          <w:lang w:val="en-CA"/>
        </w:rPr>
        <w:t>Investment Selector</w:t>
      </w:r>
    </w:p>
    <w:p w:rsidR="00823FA1" w:rsidRDefault="00823FA1" w:rsidP="00613778">
      <w:pPr>
        <w:pStyle w:val="ListParagraph"/>
        <w:numPr>
          <w:ilvl w:val="0"/>
          <w:numId w:val="1"/>
        </w:numPr>
        <w:spacing w:after="0" w:line="276" w:lineRule="auto"/>
        <w:rPr>
          <w:lang w:val="en-CA"/>
        </w:rPr>
      </w:pPr>
      <w:r>
        <w:rPr>
          <w:lang w:val="en-CA"/>
        </w:rPr>
        <w:t>Payment Calculators (Affordability, Line of Credit, Mortgage Payment)</w:t>
      </w:r>
    </w:p>
    <w:p w:rsidR="00823FA1" w:rsidRDefault="00823FA1" w:rsidP="00613778">
      <w:pPr>
        <w:pStyle w:val="ListParagraph"/>
        <w:numPr>
          <w:ilvl w:val="0"/>
          <w:numId w:val="1"/>
        </w:numPr>
        <w:spacing w:after="0" w:line="276" w:lineRule="auto"/>
        <w:rPr>
          <w:lang w:val="en-CA"/>
        </w:rPr>
      </w:pPr>
      <w:r>
        <w:rPr>
          <w:lang w:val="en-CA"/>
        </w:rPr>
        <w:t>Retirement Planning</w:t>
      </w:r>
    </w:p>
    <w:p w:rsidR="00823FA1" w:rsidRDefault="00823FA1" w:rsidP="00613778">
      <w:pPr>
        <w:spacing w:after="0" w:line="276" w:lineRule="auto"/>
        <w:rPr>
          <w:lang w:val="en-CA"/>
        </w:rPr>
      </w:pPr>
    </w:p>
    <w:p w:rsidR="00823FA1" w:rsidRPr="00823FA1" w:rsidRDefault="00823FA1" w:rsidP="00613778">
      <w:pPr>
        <w:spacing w:after="0" w:line="276" w:lineRule="auto"/>
        <w:rPr>
          <w:lang w:val="en-CA"/>
        </w:rPr>
      </w:pPr>
    </w:p>
    <w:p w:rsidR="00823FA1" w:rsidRDefault="00613778" w:rsidP="00613778">
      <w:pPr>
        <w:spacing w:after="0" w:line="276" w:lineRule="auto"/>
        <w:rPr>
          <w:b/>
          <w:lang w:val="en-CA"/>
        </w:rPr>
      </w:pPr>
      <w:r w:rsidRPr="00613778">
        <w:rPr>
          <w:b/>
          <w:lang w:val="en-CA"/>
        </w:rPr>
        <w:t>Retrieval process:</w:t>
      </w:r>
    </w:p>
    <w:p w:rsidR="00AE30A4" w:rsidRDefault="00AE30A4" w:rsidP="00613778">
      <w:pPr>
        <w:spacing w:after="0" w:line="276" w:lineRule="auto"/>
        <w:rPr>
          <w:lang w:val="en-CA"/>
        </w:rPr>
      </w:pPr>
      <w:r>
        <w:rPr>
          <w:lang w:val="en-CA"/>
        </w:rPr>
        <w:t xml:space="preserve">In dev environment, </w:t>
      </w:r>
      <w:proofErr w:type="spellStart"/>
      <w:r>
        <w:rPr>
          <w:lang w:val="en-CA"/>
        </w:rPr>
        <w:t>Bluerush</w:t>
      </w:r>
      <w:proofErr w:type="spellEnd"/>
      <w:r>
        <w:rPr>
          <w:lang w:val="en-CA"/>
        </w:rPr>
        <w:t xml:space="preserve"> uses a JSON of the manually extracted and saved rates from Meridian’s current website by using the method </w:t>
      </w:r>
      <w:proofErr w:type="spellStart"/>
      <w:proofErr w:type="gramStart"/>
      <w:r>
        <w:rPr>
          <w:lang w:val="en-CA"/>
        </w:rPr>
        <w:t>Rates.getAll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).</w:t>
      </w:r>
    </w:p>
    <w:p w:rsidR="00AE30A4" w:rsidRDefault="00AE30A4" w:rsidP="00613778">
      <w:pPr>
        <w:spacing w:after="0" w:line="276" w:lineRule="auto"/>
        <w:rPr>
          <w:lang w:val="en-CA"/>
        </w:rPr>
      </w:pPr>
    </w:p>
    <w:p w:rsidR="00AE30A4" w:rsidRDefault="00AE30A4" w:rsidP="00613778">
      <w:pPr>
        <w:spacing w:after="0" w:line="276" w:lineRule="auto"/>
        <w:rPr>
          <w:lang w:val="en-CA"/>
        </w:rPr>
      </w:pPr>
      <w:r>
        <w:rPr>
          <w:lang w:val="en-CA"/>
        </w:rPr>
        <w:t xml:space="preserve">In order to replicate current website’s behavior, </w:t>
      </w:r>
      <w:proofErr w:type="spellStart"/>
      <w:r>
        <w:rPr>
          <w:lang w:val="en-CA"/>
        </w:rPr>
        <w:t>Bluerush</w:t>
      </w:r>
      <w:proofErr w:type="spellEnd"/>
      <w:r>
        <w:rPr>
          <w:lang w:val="en-CA"/>
        </w:rPr>
        <w:t xml:space="preserve"> uses a temporary </w:t>
      </w:r>
      <w:proofErr w:type="spellStart"/>
      <w:r>
        <w:rPr>
          <w:lang w:val="en-CA"/>
        </w:rPr>
        <w:t>javascript</w:t>
      </w:r>
      <w:proofErr w:type="spellEnd"/>
      <w:r>
        <w:rPr>
          <w:lang w:val="en-CA"/>
        </w:rPr>
        <w:t xml:space="preserve"> file to simulate </w:t>
      </w:r>
      <w:proofErr w:type="spellStart"/>
      <w:proofErr w:type="gramStart"/>
      <w:r>
        <w:rPr>
          <w:lang w:val="en-CA"/>
        </w:rPr>
        <w:t>Rates.getAll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), which returns the extracted JSON (assets/</w:t>
      </w:r>
      <w:proofErr w:type="spellStart"/>
      <w:r>
        <w:rPr>
          <w:lang w:val="en-CA"/>
        </w:rPr>
        <w:t>js</w:t>
      </w:r>
      <w:proofErr w:type="spellEnd"/>
      <w:r>
        <w:rPr>
          <w:lang w:val="en-CA"/>
        </w:rPr>
        <w:t>/rates.js).</w:t>
      </w:r>
    </w:p>
    <w:p w:rsidR="00AE30A4" w:rsidRDefault="00AE30A4" w:rsidP="00613778">
      <w:pPr>
        <w:spacing w:after="0" w:line="276" w:lineRule="auto"/>
        <w:rPr>
          <w:lang w:val="en-CA"/>
        </w:rPr>
      </w:pPr>
    </w:p>
    <w:p w:rsidR="00AE30A4" w:rsidRDefault="00AE30A4" w:rsidP="00613778">
      <w:pPr>
        <w:spacing w:after="0" w:line="276" w:lineRule="auto"/>
        <w:rPr>
          <w:lang w:val="en-CA"/>
        </w:rPr>
      </w:pPr>
      <w:r>
        <w:rPr>
          <w:lang w:val="en-CA"/>
        </w:rPr>
        <w:t xml:space="preserve">After integration, the assumption is that the new website will still possess </w:t>
      </w:r>
      <w:proofErr w:type="spellStart"/>
      <w:proofErr w:type="gramStart"/>
      <w:r>
        <w:rPr>
          <w:lang w:val="en-CA"/>
        </w:rPr>
        <w:t>Rates.getAll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), and will still respect the following data structure. The integration process should remove </w:t>
      </w:r>
      <w:proofErr w:type="spellStart"/>
      <w:r>
        <w:rPr>
          <w:lang w:val="en-CA"/>
        </w:rPr>
        <w:t>Bluerush’s</w:t>
      </w:r>
      <w:proofErr w:type="spellEnd"/>
      <w:r>
        <w:rPr>
          <w:lang w:val="en-CA"/>
        </w:rPr>
        <w:t xml:space="preserve"> temporary rates.js file in order for the calculators to use the official </w:t>
      </w:r>
      <w:proofErr w:type="spellStart"/>
      <w:proofErr w:type="gramStart"/>
      <w:r>
        <w:rPr>
          <w:lang w:val="en-CA"/>
        </w:rPr>
        <w:t>Rates.getAll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method.</w:t>
      </w:r>
    </w:p>
    <w:p w:rsidR="00AE30A4" w:rsidRPr="00AE30A4" w:rsidRDefault="00AE30A4" w:rsidP="00613778">
      <w:pPr>
        <w:spacing w:after="0" w:line="276" w:lineRule="auto"/>
        <w:rPr>
          <w:lang w:val="en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367"/>
      </w:tblGrid>
      <w:tr w:rsidR="00937B33" w:rsidTr="00823FA1">
        <w:tc>
          <w:tcPr>
            <w:tcW w:w="2263" w:type="dxa"/>
          </w:tcPr>
          <w:p w:rsidR="00937B33" w:rsidRDefault="00937B33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Requesting the data (sync)</w:t>
            </w:r>
          </w:p>
          <w:p w:rsidR="00613778" w:rsidRDefault="00613778" w:rsidP="00613778">
            <w:pPr>
              <w:spacing w:line="276" w:lineRule="auto"/>
              <w:rPr>
                <w:lang w:val="en-CA"/>
              </w:rPr>
            </w:pPr>
          </w:p>
          <w:p w:rsidR="00613778" w:rsidRDefault="00613778" w:rsidP="00613778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Javascript</w:t>
            </w:r>
            <w:proofErr w:type="spellEnd"/>
            <w:r>
              <w:rPr>
                <w:lang w:val="en-CA"/>
              </w:rPr>
              <w:t xml:space="preserve"> executes on document ready.</w:t>
            </w:r>
          </w:p>
        </w:tc>
        <w:tc>
          <w:tcPr>
            <w:tcW w:w="6367" w:type="dxa"/>
          </w:tcPr>
          <w:p w:rsidR="00937B33" w:rsidRDefault="00937B33" w:rsidP="00613778">
            <w:pPr>
              <w:spacing w:line="276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Rates.getAll</w:t>
            </w:r>
            <w:proofErr w:type="spellEnd"/>
            <w:r>
              <w:rPr>
                <w:lang w:val="en-CA"/>
              </w:rPr>
              <w:t>( );</w:t>
            </w:r>
          </w:p>
        </w:tc>
      </w:tr>
      <w:tr w:rsidR="00937B33" w:rsidTr="00823FA1">
        <w:tc>
          <w:tcPr>
            <w:tcW w:w="2263" w:type="dxa"/>
          </w:tcPr>
          <w:p w:rsidR="00937B33" w:rsidRDefault="00937B33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Expected return type</w:t>
            </w:r>
          </w:p>
        </w:tc>
        <w:tc>
          <w:tcPr>
            <w:tcW w:w="6367" w:type="dxa"/>
          </w:tcPr>
          <w:p w:rsidR="00823FA1" w:rsidRDefault="00937B33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Array of objects (rows)</w:t>
            </w:r>
          </w:p>
        </w:tc>
      </w:tr>
      <w:tr w:rsidR="00823FA1" w:rsidRPr="00823FA1" w:rsidTr="00823FA1">
        <w:tc>
          <w:tcPr>
            <w:tcW w:w="2263" w:type="dxa"/>
          </w:tcPr>
          <w:p w:rsidR="00823FA1" w:rsidRDefault="00823FA1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Return example</w:t>
            </w:r>
          </w:p>
          <w:p w:rsidR="00333B14" w:rsidRDefault="00333B14" w:rsidP="00613778">
            <w:pPr>
              <w:spacing w:line="276" w:lineRule="auto"/>
              <w:rPr>
                <w:lang w:val="en-CA"/>
              </w:rPr>
            </w:pPr>
          </w:p>
          <w:p w:rsidR="00333B14" w:rsidRDefault="00333B14" w:rsidP="00613778">
            <w:pPr>
              <w:spacing w:line="276" w:lineRule="auto"/>
              <w:rPr>
                <w:lang w:val="en-CA"/>
              </w:rPr>
            </w:pPr>
            <w:r>
              <w:rPr>
                <w:highlight w:val="yellow"/>
                <w:lang w:val="en-CA"/>
              </w:rPr>
              <w:t>Property u</w:t>
            </w:r>
            <w:r w:rsidRPr="00333B14">
              <w:rPr>
                <w:highlight w:val="yellow"/>
                <w:lang w:val="en-CA"/>
              </w:rPr>
              <w:t>sed by a calculator</w:t>
            </w:r>
          </w:p>
          <w:p w:rsidR="00C34EFA" w:rsidRDefault="00C34EFA" w:rsidP="00613778">
            <w:pPr>
              <w:spacing w:line="276" w:lineRule="auto"/>
              <w:rPr>
                <w:lang w:val="en-CA"/>
              </w:rPr>
            </w:pPr>
          </w:p>
          <w:p w:rsidR="00C34EFA" w:rsidRDefault="000C07F7" w:rsidP="00613778">
            <w:pPr>
              <w:spacing w:line="276" w:lineRule="auto"/>
              <w:rPr>
                <w:lang w:val="en-CA"/>
              </w:rPr>
            </w:pPr>
            <w:r>
              <w:rPr>
                <w:highlight w:val="cyan"/>
                <w:lang w:val="en-CA"/>
              </w:rPr>
              <w:t>Property used for some products only; either</w:t>
            </w:r>
            <w:r w:rsidR="00C34EFA">
              <w:rPr>
                <w:highlight w:val="cyan"/>
                <w:lang w:val="en-CA"/>
              </w:rPr>
              <w:t xml:space="preserve"> has</w:t>
            </w:r>
            <w:r w:rsidR="00C34EFA" w:rsidRPr="00C34EFA">
              <w:rPr>
                <w:highlight w:val="cyan"/>
                <w:lang w:val="en-CA"/>
              </w:rPr>
              <w:t xml:space="preserve"> fallback value </w:t>
            </w:r>
            <w:r>
              <w:rPr>
                <w:highlight w:val="cyan"/>
                <w:lang w:val="en-CA"/>
              </w:rPr>
              <w:t>or type of product is determined if property  is inexistent</w:t>
            </w:r>
          </w:p>
          <w:p w:rsidR="00333B14" w:rsidRDefault="00333B14" w:rsidP="00613778">
            <w:pPr>
              <w:spacing w:line="276" w:lineRule="auto"/>
              <w:rPr>
                <w:lang w:val="en-CA"/>
              </w:rPr>
            </w:pPr>
          </w:p>
          <w:p w:rsidR="00333B14" w:rsidRDefault="00333B14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Case sensitive</w:t>
            </w:r>
          </w:p>
        </w:tc>
        <w:tc>
          <w:tcPr>
            <w:tcW w:w="6367" w:type="dxa"/>
          </w:tcPr>
          <w:p w:rsidR="00823FA1" w:rsidRDefault="00823FA1" w:rsidP="00613778">
            <w:pPr>
              <w:spacing w:line="276" w:lineRule="auto"/>
              <w:rPr>
                <w:lang w:val="en-CA"/>
              </w:rPr>
            </w:pPr>
            <w:r w:rsidRPr="00823FA1">
              <w:rPr>
                <w:lang w:val="en-CA"/>
              </w:rPr>
              <w:t>[</w:t>
            </w:r>
          </w:p>
          <w:p w:rsidR="00823FA1" w:rsidRDefault="00823FA1" w:rsidP="00613778">
            <w:pPr>
              <w:spacing w:line="276" w:lineRule="auto"/>
              <w:ind w:firstLine="176"/>
              <w:rPr>
                <w:lang w:val="en-CA"/>
              </w:rPr>
            </w:pPr>
            <w:r w:rsidRPr="00823FA1">
              <w:rPr>
                <w:lang w:val="en-CA"/>
              </w:rPr>
              <w:t>{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highlight w:val="yellow"/>
                <w:lang w:val="en-CA"/>
              </w:rPr>
              <w:t>"ID":"1",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highlight w:val="yellow"/>
                <w:lang w:val="en-CA"/>
              </w:rPr>
              <w:t>"</w:t>
            </w:r>
            <w:proofErr w:type="spellStart"/>
            <w:r w:rsidRPr="00333B14">
              <w:rPr>
                <w:highlight w:val="yellow"/>
                <w:lang w:val="en-CA"/>
              </w:rPr>
              <w:t>Title":"Personal</w:t>
            </w:r>
            <w:proofErr w:type="spellEnd"/>
            <w:r w:rsidRPr="00333B14">
              <w:rPr>
                <w:highlight w:val="yellow"/>
                <w:lang w:val="en-CA"/>
              </w:rPr>
              <w:t>",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823FA1">
              <w:rPr>
                <w:lang w:val="en-CA"/>
              </w:rPr>
              <w:t>"GroupID":1,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highlight w:val="yellow"/>
                <w:lang w:val="en-CA"/>
              </w:rPr>
              <w:t>"</w:t>
            </w:r>
            <w:proofErr w:type="spellStart"/>
            <w:r w:rsidRPr="00333B14">
              <w:rPr>
                <w:highlight w:val="yellow"/>
                <w:lang w:val="en-CA"/>
              </w:rPr>
              <w:t>Group":"Advantage</w:t>
            </w:r>
            <w:proofErr w:type="spellEnd"/>
            <w:r w:rsidRPr="00333B14">
              <w:rPr>
                <w:highlight w:val="yellow"/>
                <w:lang w:val="en-CA"/>
              </w:rPr>
              <w:t xml:space="preserve"> Savings Account",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823FA1">
              <w:rPr>
                <w:lang w:val="en-CA"/>
              </w:rPr>
              <w:t>"Rate":"0.10%",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highlight w:val="yellow"/>
                <w:lang w:val="en-CA"/>
              </w:rPr>
              <w:t>"RateNumber":0.1,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823FA1">
              <w:rPr>
                <w:lang w:val="en-CA"/>
              </w:rPr>
              <w:t>"</w:t>
            </w:r>
            <w:proofErr w:type="spellStart"/>
            <w:r w:rsidRPr="00823FA1">
              <w:rPr>
                <w:lang w:val="en-CA"/>
              </w:rPr>
              <w:t>RateString</w:t>
            </w:r>
            <w:proofErr w:type="spellEnd"/>
            <w:r w:rsidRPr="00823FA1">
              <w:rPr>
                <w:lang w:val="en-CA"/>
              </w:rPr>
              <w:t>":["0.10%"],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823FA1">
              <w:rPr>
                <w:lang w:val="en-CA"/>
              </w:rPr>
              <w:t>"</w:t>
            </w:r>
            <w:proofErr w:type="spellStart"/>
            <w:r w:rsidRPr="00823FA1">
              <w:rPr>
                <w:lang w:val="en-CA"/>
              </w:rPr>
              <w:t>FeaturedRateString</w:t>
            </w:r>
            <w:proofErr w:type="spellEnd"/>
            <w:r w:rsidRPr="00823FA1">
              <w:rPr>
                <w:lang w:val="en-CA"/>
              </w:rPr>
              <w:t>":null,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823FA1">
              <w:rPr>
                <w:lang w:val="en-CA"/>
              </w:rPr>
              <w:t>"</w:t>
            </w:r>
            <w:proofErr w:type="spellStart"/>
            <w:r w:rsidRPr="00823FA1">
              <w:rPr>
                <w:lang w:val="en-CA"/>
              </w:rPr>
              <w:t>BestRate</w:t>
            </w:r>
            <w:proofErr w:type="spellEnd"/>
            <w:r w:rsidRPr="00823FA1">
              <w:rPr>
                <w:lang w:val="en-CA"/>
              </w:rPr>
              <w:t>":["0.10"],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823FA1">
              <w:rPr>
                <w:lang w:val="en-CA"/>
              </w:rPr>
              <w:t>"SplashFeatured":"0",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823FA1">
              <w:rPr>
                <w:lang w:val="en-CA"/>
              </w:rPr>
              <w:t>"</w:t>
            </w:r>
            <w:proofErr w:type="spellStart"/>
            <w:r w:rsidRPr="00823FA1">
              <w:rPr>
                <w:lang w:val="en-CA"/>
              </w:rPr>
              <w:t>Comparables</w:t>
            </w:r>
            <w:proofErr w:type="spellEnd"/>
            <w:r w:rsidRPr="00823FA1">
              <w:rPr>
                <w:lang w:val="en-CA"/>
              </w:rPr>
              <w:t>":["</w:t>
            </w:r>
            <w:proofErr w:type="spellStart"/>
            <w:r w:rsidRPr="00823FA1">
              <w:rPr>
                <w:lang w:val="en-CA"/>
              </w:rPr>
              <w:t>RBC","CIBC","TD","Scotiabank","BMO</w:t>
            </w:r>
            <w:proofErr w:type="spellEnd"/>
            <w:r w:rsidRPr="00823FA1">
              <w:rPr>
                <w:lang w:val="en-CA"/>
              </w:rPr>
              <w:t>"],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823FA1">
              <w:rPr>
                <w:lang w:val="en-CA"/>
              </w:rPr>
              <w:t>"</w:t>
            </w:r>
            <w:proofErr w:type="spellStart"/>
            <w:r w:rsidRPr="00823FA1">
              <w:rPr>
                <w:lang w:val="en-CA"/>
              </w:rPr>
              <w:t>VariableRate</w:t>
            </w:r>
            <w:proofErr w:type="spellEnd"/>
            <w:r w:rsidRPr="00823FA1">
              <w:rPr>
                <w:lang w:val="en-CA"/>
              </w:rPr>
              <w:t>":false,</w:t>
            </w:r>
          </w:p>
          <w:p w:rsidR="00823FA1" w:rsidRPr="00C34EFA" w:rsidRDefault="00823FA1" w:rsidP="00613778">
            <w:pPr>
              <w:spacing w:line="276" w:lineRule="auto"/>
              <w:ind w:firstLine="318"/>
              <w:rPr>
                <w:highlight w:val="cyan"/>
                <w:lang w:val="en-CA"/>
              </w:rPr>
            </w:pPr>
            <w:r w:rsidRPr="00C34EFA">
              <w:rPr>
                <w:highlight w:val="cyan"/>
                <w:lang w:val="en-CA"/>
              </w:rPr>
              <w:lastRenderedPageBreak/>
              <w:t>"</w:t>
            </w:r>
            <w:proofErr w:type="spellStart"/>
            <w:r w:rsidRPr="00C34EFA">
              <w:rPr>
                <w:highlight w:val="cyan"/>
                <w:lang w:val="en-CA"/>
              </w:rPr>
              <w:t>CalculatorProductName</w:t>
            </w:r>
            <w:proofErr w:type="spellEnd"/>
            <w:r w:rsidRPr="00C34EFA">
              <w:rPr>
                <w:highlight w:val="cyan"/>
                <w:lang w:val="en-CA"/>
              </w:rPr>
              <w:t>":"Advantage Savings Account",</w:t>
            </w:r>
          </w:p>
          <w:p w:rsidR="00823FA1" w:rsidRDefault="00823FA1" w:rsidP="00613778">
            <w:pPr>
              <w:spacing w:line="276" w:lineRule="auto"/>
              <w:ind w:firstLine="318"/>
              <w:rPr>
                <w:lang w:val="en-CA"/>
              </w:rPr>
            </w:pPr>
            <w:r w:rsidRPr="00C34EFA">
              <w:rPr>
                <w:highlight w:val="cyan"/>
                <w:lang w:val="en-CA"/>
              </w:rPr>
              <w:t>"CTAURL":</w:t>
            </w:r>
            <w:hyperlink r:id="rId5" w:history="1">
              <w:r w:rsidRPr="00C34EFA">
                <w:rPr>
                  <w:rStyle w:val="Hyperlink"/>
                  <w:highlight w:val="cyan"/>
                  <w:lang w:val="en-CA"/>
                </w:rPr>
                <w:t>http://www.meridiancu.ca/find-us/our-locations/Pages/default.aspx</w:t>
              </w:r>
            </w:hyperlink>
          </w:p>
          <w:p w:rsidR="00823FA1" w:rsidRDefault="00823FA1" w:rsidP="00613778">
            <w:pPr>
              <w:spacing w:line="276" w:lineRule="auto"/>
              <w:ind w:firstLine="176"/>
              <w:rPr>
                <w:lang w:val="en-CA"/>
              </w:rPr>
            </w:pPr>
            <w:r>
              <w:rPr>
                <w:lang w:val="en-CA"/>
              </w:rPr>
              <w:t>}</w:t>
            </w:r>
            <w:r w:rsidR="00333B14">
              <w:rPr>
                <w:lang w:val="en-CA"/>
              </w:rPr>
              <w:t>,</w:t>
            </w:r>
          </w:p>
          <w:p w:rsidR="00333B14" w:rsidRDefault="00333B14" w:rsidP="00613778">
            <w:pPr>
              <w:spacing w:line="276" w:lineRule="auto"/>
              <w:ind w:firstLine="176"/>
              <w:rPr>
                <w:lang w:val="en-CA"/>
              </w:rPr>
            </w:pPr>
            <w:r w:rsidRPr="00333B14">
              <w:rPr>
                <w:lang w:val="en-CA"/>
              </w:rPr>
              <w:t>{</w:t>
            </w:r>
          </w:p>
          <w:p w:rsidR="00333B14" w:rsidRPr="00333B14" w:rsidRDefault="00333B14" w:rsidP="00613778">
            <w:pPr>
              <w:spacing w:line="276" w:lineRule="auto"/>
              <w:ind w:firstLine="318"/>
              <w:rPr>
                <w:highlight w:val="yellow"/>
                <w:lang w:val="en-CA"/>
              </w:rPr>
            </w:pPr>
            <w:r w:rsidRPr="00333B14">
              <w:rPr>
                <w:highlight w:val="yellow"/>
                <w:lang w:val="en-CA"/>
              </w:rPr>
              <w:t>"ID":"200",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highlight w:val="yellow"/>
                <w:lang w:val="en-CA"/>
              </w:rPr>
              <w:t>"Title":"1 Year Global Diversified",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lang w:val="en-CA"/>
              </w:rPr>
              <w:t>"GroupID":59,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highlight w:val="yellow"/>
                <w:lang w:val="en-CA"/>
              </w:rPr>
              <w:t>"</w:t>
            </w:r>
            <w:proofErr w:type="spellStart"/>
            <w:r w:rsidRPr="00333B14">
              <w:rPr>
                <w:highlight w:val="yellow"/>
                <w:lang w:val="en-CA"/>
              </w:rPr>
              <w:t>Group":"Index-Linked</w:t>
            </w:r>
            <w:proofErr w:type="spellEnd"/>
            <w:r w:rsidRPr="00333B14">
              <w:rPr>
                <w:highlight w:val="yellow"/>
                <w:lang w:val="en-CA"/>
              </w:rPr>
              <w:t xml:space="preserve"> GIC",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lang w:val="en-CA"/>
              </w:rPr>
              <w:t>"Rate":"0.5%",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highlight w:val="yellow"/>
                <w:lang w:val="en-CA"/>
              </w:rPr>
              <w:t>"RateNumber":0.5,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lang w:val="en-CA"/>
              </w:rPr>
              <w:t>"</w:t>
            </w:r>
            <w:proofErr w:type="spellStart"/>
            <w:r w:rsidRPr="00333B14">
              <w:rPr>
                <w:lang w:val="en-CA"/>
              </w:rPr>
              <w:t>RateString</w:t>
            </w:r>
            <w:proofErr w:type="spellEnd"/>
            <w:r w:rsidRPr="00333B14">
              <w:rPr>
                <w:lang w:val="en-CA"/>
              </w:rPr>
              <w:t>":["0.5%"],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lang w:val="en-CA"/>
              </w:rPr>
              <w:t>"</w:t>
            </w:r>
            <w:proofErr w:type="spellStart"/>
            <w:r w:rsidRPr="00333B14">
              <w:rPr>
                <w:lang w:val="en-CA"/>
              </w:rPr>
              <w:t>FeaturedRateString</w:t>
            </w:r>
            <w:proofErr w:type="spellEnd"/>
            <w:r w:rsidRPr="00333B14">
              <w:rPr>
                <w:lang w:val="en-CA"/>
              </w:rPr>
              <w:t>":null,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lang w:val="en-CA"/>
              </w:rPr>
              <w:t>"</w:t>
            </w:r>
            <w:proofErr w:type="spellStart"/>
            <w:r w:rsidRPr="00333B14">
              <w:rPr>
                <w:lang w:val="en-CA"/>
              </w:rPr>
              <w:t>BestRate</w:t>
            </w:r>
            <w:proofErr w:type="spellEnd"/>
            <w:r w:rsidRPr="00333B14">
              <w:rPr>
                <w:lang w:val="en-CA"/>
              </w:rPr>
              <w:t>":["0.5"],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lang w:val="en-CA"/>
              </w:rPr>
              <w:t>"SplashFeatured":"0",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lang w:val="en-CA"/>
              </w:rPr>
              <w:t>"</w:t>
            </w:r>
            <w:proofErr w:type="spellStart"/>
            <w:r w:rsidRPr="00333B14">
              <w:rPr>
                <w:lang w:val="en-CA"/>
              </w:rPr>
              <w:t>Comparables</w:t>
            </w:r>
            <w:proofErr w:type="spellEnd"/>
            <w:r w:rsidRPr="00333B14">
              <w:rPr>
                <w:lang w:val="en-CA"/>
              </w:rPr>
              <w:t>":["</w:t>
            </w:r>
            <w:proofErr w:type="spellStart"/>
            <w:r w:rsidRPr="00333B14">
              <w:rPr>
                <w:lang w:val="en-CA"/>
              </w:rPr>
              <w:t>RBC","CIBC","TD","Scotiabank","BMO</w:t>
            </w:r>
            <w:proofErr w:type="spellEnd"/>
            <w:r w:rsidRPr="00333B14">
              <w:rPr>
                <w:lang w:val="en-CA"/>
              </w:rPr>
              <w:t>"],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333B14">
              <w:rPr>
                <w:lang w:val="en-CA"/>
              </w:rPr>
              <w:t>"</w:t>
            </w:r>
            <w:proofErr w:type="spellStart"/>
            <w:r w:rsidRPr="00333B14">
              <w:rPr>
                <w:lang w:val="en-CA"/>
              </w:rPr>
              <w:t>VariableRate</w:t>
            </w:r>
            <w:proofErr w:type="spellEnd"/>
            <w:r w:rsidRPr="00333B14">
              <w:rPr>
                <w:lang w:val="en-CA"/>
              </w:rPr>
              <w:t>":false,</w:t>
            </w:r>
          </w:p>
          <w:p w:rsidR="00333B14" w:rsidRPr="00C34EFA" w:rsidRDefault="00333B14" w:rsidP="00613778">
            <w:pPr>
              <w:spacing w:line="276" w:lineRule="auto"/>
              <w:ind w:firstLine="318"/>
              <w:rPr>
                <w:highlight w:val="cyan"/>
                <w:lang w:val="en-CA"/>
              </w:rPr>
            </w:pPr>
            <w:r w:rsidRPr="00C34EFA">
              <w:rPr>
                <w:highlight w:val="cyan"/>
                <w:lang w:val="en-CA"/>
              </w:rPr>
              <w:t>"CalculatorProductName":"1 Year Global",</w:t>
            </w:r>
          </w:p>
          <w:p w:rsidR="00333B14" w:rsidRPr="00C34EFA" w:rsidRDefault="00333B14" w:rsidP="00613778">
            <w:pPr>
              <w:spacing w:line="276" w:lineRule="auto"/>
              <w:ind w:firstLine="318"/>
              <w:rPr>
                <w:highlight w:val="cyan"/>
                <w:lang w:val="en-CA"/>
              </w:rPr>
            </w:pPr>
            <w:r w:rsidRPr="00C34EFA">
              <w:rPr>
                <w:highlight w:val="cyan"/>
                <w:lang w:val="en-CA"/>
              </w:rPr>
              <w:t>"MaxRate":"2.5%",</w:t>
            </w:r>
          </w:p>
          <w:p w:rsidR="00333B14" w:rsidRDefault="00333B14" w:rsidP="00613778">
            <w:pPr>
              <w:spacing w:line="276" w:lineRule="auto"/>
              <w:ind w:firstLine="318"/>
              <w:rPr>
                <w:lang w:val="en-CA"/>
              </w:rPr>
            </w:pPr>
            <w:r w:rsidRPr="00C34EFA">
              <w:rPr>
                <w:highlight w:val="cyan"/>
                <w:lang w:val="en-CA"/>
              </w:rPr>
              <w:t>"MinRate":"0.5%"</w:t>
            </w:r>
          </w:p>
          <w:p w:rsidR="00333B14" w:rsidRDefault="00333B14" w:rsidP="00613778">
            <w:pPr>
              <w:spacing w:line="276" w:lineRule="auto"/>
              <w:ind w:firstLine="176"/>
              <w:rPr>
                <w:lang w:val="en-CA"/>
              </w:rPr>
            </w:pPr>
            <w:r w:rsidRPr="00333B14">
              <w:rPr>
                <w:lang w:val="en-CA"/>
              </w:rPr>
              <w:t>}</w:t>
            </w:r>
          </w:p>
          <w:p w:rsidR="00823FA1" w:rsidRDefault="00823FA1" w:rsidP="00613778">
            <w:pPr>
              <w:spacing w:line="276" w:lineRule="auto"/>
              <w:ind w:firstLine="34"/>
              <w:rPr>
                <w:lang w:val="en-CA"/>
              </w:rPr>
            </w:pPr>
            <w:r>
              <w:rPr>
                <w:lang w:val="en-CA"/>
              </w:rPr>
              <w:t>]</w:t>
            </w:r>
          </w:p>
        </w:tc>
      </w:tr>
    </w:tbl>
    <w:p w:rsidR="00937B33" w:rsidRDefault="00937B33" w:rsidP="00613778">
      <w:pPr>
        <w:spacing w:after="0" w:line="276" w:lineRule="auto"/>
        <w:rPr>
          <w:lang w:val="en-CA"/>
        </w:rPr>
      </w:pPr>
    </w:p>
    <w:p w:rsidR="00937B33" w:rsidRDefault="00937B33" w:rsidP="00613778">
      <w:pPr>
        <w:spacing w:after="0" w:line="276" w:lineRule="auto"/>
        <w:rPr>
          <w:lang w:val="en-CA"/>
        </w:rPr>
      </w:pPr>
    </w:p>
    <w:p w:rsidR="00823FA1" w:rsidRPr="00333B14" w:rsidRDefault="00937B33" w:rsidP="00613778">
      <w:pPr>
        <w:spacing w:after="0" w:line="276" w:lineRule="auto"/>
        <w:rPr>
          <w:b/>
          <w:lang w:val="en-CA"/>
        </w:rPr>
      </w:pPr>
      <w:r w:rsidRPr="00333B14">
        <w:rPr>
          <w:b/>
          <w:lang w:val="en-CA"/>
        </w:rPr>
        <w:t>Products used</w:t>
      </w:r>
      <w:r w:rsidR="00823FA1" w:rsidRPr="00333B14">
        <w:rPr>
          <w:b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333B14" w:rsidTr="00333B14">
        <w:tc>
          <w:tcPr>
            <w:tcW w:w="2263" w:type="dxa"/>
          </w:tcPr>
          <w:p w:rsidR="00333B14" w:rsidRDefault="00333B14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Investment Selector</w:t>
            </w:r>
          </w:p>
        </w:tc>
        <w:tc>
          <w:tcPr>
            <w:tcW w:w="6367" w:type="dxa"/>
          </w:tcPr>
          <w:p w:rsidR="001C0A6E" w:rsidRDefault="00333B14" w:rsidP="00613778">
            <w:pPr>
              <w:spacing w:line="276" w:lineRule="auto"/>
              <w:rPr>
                <w:lang w:val="en-CA"/>
              </w:rPr>
            </w:pPr>
            <w:r w:rsidRPr="00937B33">
              <w:rPr>
                <w:lang w:val="en-CA"/>
              </w:rPr>
              <w:t>201, 203, 205, 202, 204, 206, 208, 209, 210, 207, 200, 199, 35, 192, 221, 222, 193, 223, 34, 10, 33, 7, 8, 9, 226, 32, 31, 215, 214, 213, 212, 211, 220, 219, 218, 217, 216, 45, 1, 2, 3, 4, 224, 225</w:t>
            </w:r>
          </w:p>
        </w:tc>
      </w:tr>
      <w:tr w:rsidR="001C0A6E" w:rsidTr="00333B14">
        <w:tc>
          <w:tcPr>
            <w:tcW w:w="2263" w:type="dxa"/>
          </w:tcPr>
          <w:p w:rsidR="00D15FF4" w:rsidRDefault="001C0A6E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Payment Calculators</w:t>
            </w:r>
            <w:r w:rsidR="00D15FF4">
              <w:rPr>
                <w:lang w:val="en-CA"/>
              </w:rPr>
              <w:t xml:space="preserve"> – Affordability</w:t>
            </w:r>
          </w:p>
        </w:tc>
        <w:tc>
          <w:tcPr>
            <w:tcW w:w="6367" w:type="dxa"/>
          </w:tcPr>
          <w:p w:rsidR="001C0A6E" w:rsidRPr="00937B33" w:rsidRDefault="00D15FF4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</w:tr>
      <w:tr w:rsidR="001C0A6E" w:rsidTr="00333B14">
        <w:tc>
          <w:tcPr>
            <w:tcW w:w="2263" w:type="dxa"/>
          </w:tcPr>
          <w:p w:rsidR="001C0A6E" w:rsidRDefault="00D15FF4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Payment Calculators – Mortgage Payment</w:t>
            </w:r>
          </w:p>
        </w:tc>
        <w:tc>
          <w:tcPr>
            <w:tcW w:w="6367" w:type="dxa"/>
          </w:tcPr>
          <w:p w:rsidR="001C0A6E" w:rsidRPr="00937B33" w:rsidRDefault="00D15FF4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[ unknown products ]</w:t>
            </w:r>
          </w:p>
        </w:tc>
      </w:tr>
      <w:tr w:rsidR="00D15FF4" w:rsidTr="00333B14">
        <w:tc>
          <w:tcPr>
            <w:tcW w:w="2263" w:type="dxa"/>
          </w:tcPr>
          <w:p w:rsidR="00D15FF4" w:rsidRDefault="00D15FF4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Payment Calculators – Line of Credit</w:t>
            </w:r>
          </w:p>
        </w:tc>
        <w:tc>
          <w:tcPr>
            <w:tcW w:w="6367" w:type="dxa"/>
          </w:tcPr>
          <w:p w:rsidR="00D15FF4" w:rsidRDefault="00D15FF4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</w:tr>
      <w:tr w:rsidR="00D15FF4" w:rsidTr="00333B14">
        <w:tc>
          <w:tcPr>
            <w:tcW w:w="2263" w:type="dxa"/>
          </w:tcPr>
          <w:p w:rsidR="00D15FF4" w:rsidRDefault="00D15FF4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Retirement Planning</w:t>
            </w:r>
          </w:p>
        </w:tc>
        <w:tc>
          <w:tcPr>
            <w:tcW w:w="6367" w:type="dxa"/>
          </w:tcPr>
          <w:p w:rsidR="00D15FF4" w:rsidRDefault="00D15FF4" w:rsidP="00613778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</w:tr>
    </w:tbl>
    <w:p w:rsidR="00333B14" w:rsidRDefault="00333B14" w:rsidP="000072C4">
      <w:pPr>
        <w:spacing w:after="0" w:line="276" w:lineRule="auto"/>
        <w:rPr>
          <w:lang w:val="en-CA"/>
        </w:rPr>
      </w:pPr>
    </w:p>
    <w:sectPr w:rsidR="00333B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A56A3"/>
    <w:multiLevelType w:val="hybridMultilevel"/>
    <w:tmpl w:val="E702D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07"/>
    <w:rsid w:val="000072C4"/>
    <w:rsid w:val="000C07F7"/>
    <w:rsid w:val="001C0A6E"/>
    <w:rsid w:val="002D0007"/>
    <w:rsid w:val="002E488B"/>
    <w:rsid w:val="00333B14"/>
    <w:rsid w:val="00613778"/>
    <w:rsid w:val="00823FA1"/>
    <w:rsid w:val="008319A5"/>
    <w:rsid w:val="00937B33"/>
    <w:rsid w:val="0099357C"/>
    <w:rsid w:val="00AC41E0"/>
    <w:rsid w:val="00AE30A4"/>
    <w:rsid w:val="00C34EFA"/>
    <w:rsid w:val="00D15FF4"/>
    <w:rsid w:val="00D456EB"/>
    <w:rsid w:val="00EF7229"/>
    <w:rsid w:val="00F7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E5A64-6FE0-4EC6-975D-5E0BBFAA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ridiancu.ca/find-us/our-locations/Pages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Cyr</dc:creator>
  <cp:keywords/>
  <dc:description/>
  <cp:lastModifiedBy>Claudine Cyr</cp:lastModifiedBy>
  <cp:revision>16</cp:revision>
  <dcterms:created xsi:type="dcterms:W3CDTF">2016-09-16T21:46:00Z</dcterms:created>
  <dcterms:modified xsi:type="dcterms:W3CDTF">2016-09-27T15:03:00Z</dcterms:modified>
</cp:coreProperties>
</file>