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信用卡逾期管理规则</w:t>
      </w:r>
    </w:p>
    <w:p>
      <w:r>
        <w:t>逾期是指在信用卡最后还款日后仍未归还最低还款额的行为。</w:t>
      </w:r>
    </w:p>
    <w:p>
      <w:pPr>
        <w:pStyle w:val="Heading2"/>
      </w:pPr>
      <w:r>
        <w:t>宽限期</w:t>
      </w:r>
    </w:p>
    <w:p>
      <w:r>
        <w:t>本行为持卡人提供3天还款宽限期。还款日后3天内还清最低还款额，不视为逾期，不产生滞纳金，不影响征信记录。</w:t>
      </w:r>
    </w:p>
    <w:p>
      <w:pPr>
        <w:pStyle w:val="Heading2"/>
      </w:pPr>
      <w:r>
        <w:t>滞纳金标准</w:t>
      </w:r>
    </w:p>
    <w:p>
      <w:r>
        <w:t>超过宽限期仍未还款，从第4天起计收滞纳金。滞纳金 = 最低还款额未还部分 × 5%，最低10元/笔。</w:t>
      </w:r>
    </w:p>
    <w:p>
      <w:pPr>
        <w:pStyle w:val="Heading2"/>
      </w:pPr>
      <w:r>
        <w:t>征信影响</w:t>
      </w:r>
    </w:p>
    <w:p>
      <w:r>
        <w:t>逾期超过30天，逾期记录将上报人民银行征信系统。征信逾期记录自还清欠款之日起保留5年。连续逾期超过90天将被列为失信被执行人。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逾期天数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  <w:tc>
          <w:tcPr>
            <w:tcW w:type="dxa" w:w="2880"/>
          </w:tcPr>
          <w:p>
            <w:r>
              <w:t>征信影响</w:t>
            </w:r>
          </w:p>
        </w:tc>
      </w:tr>
      <w:tr>
        <w:tc>
          <w:tcPr>
            <w:tcW w:type="dxa" w:w="2880"/>
          </w:tcPr>
          <w:p>
            <w:r>
              <w:t>1-3天</w:t>
            </w:r>
          </w:p>
        </w:tc>
        <w:tc>
          <w:tcPr>
            <w:tcW w:type="dxa" w:w="2880"/>
          </w:tcPr>
          <w:p>
            <w:r>
              <w:t>宽限期内，无影响</w:t>
            </w:r>
          </w:p>
        </w:tc>
        <w:tc>
          <w:tcPr>
            <w:tcW w:type="dxa" w:w="2880"/>
          </w:tcPr>
          <w:p>
            <w:r>
              <w:t>不上报</w:t>
            </w:r>
          </w:p>
        </w:tc>
      </w:tr>
      <w:tr>
        <w:tc>
          <w:tcPr>
            <w:tcW w:type="dxa" w:w="2880"/>
          </w:tcPr>
          <w:p>
            <w:r>
              <w:t>4-30天</w:t>
            </w:r>
          </w:p>
        </w:tc>
        <w:tc>
          <w:tcPr>
            <w:tcW w:type="dxa" w:w="2880"/>
          </w:tcPr>
          <w:p>
            <w:r>
              <w:t>计收滞纳金</w:t>
            </w:r>
          </w:p>
        </w:tc>
        <w:tc>
          <w:tcPr>
            <w:tcW w:type="dxa" w:w="2880"/>
          </w:tcPr>
          <w:p>
            <w:r>
              <w:t>不上报</w:t>
            </w:r>
          </w:p>
        </w:tc>
      </w:tr>
      <w:tr>
        <w:tc>
          <w:tcPr>
            <w:tcW w:type="dxa" w:w="2880"/>
          </w:tcPr>
          <w:p>
            <w:r>
              <w:t>31天以上</w:t>
            </w:r>
          </w:p>
        </w:tc>
        <w:tc>
          <w:tcPr>
            <w:tcW w:type="dxa" w:w="2880"/>
          </w:tcPr>
          <w:p>
            <w:r>
              <w:t>计收滞纳金+催收</w:t>
            </w:r>
          </w:p>
        </w:tc>
        <w:tc>
          <w:tcPr>
            <w:tcW w:type="dxa" w:w="2880"/>
          </w:tcPr>
          <w:p>
            <w:r>
              <w:t>上报征信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