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6"/>
          <w:szCs w:val="36"/>
        </w:rPr>
        <w:t xml:space="preserve">Diseño Completo de las APIs</w:t>
      </w:r>
    </w:p>
    <w:p>
      <w:pPr>
        <w:spacing w:before="120"/>
        <w:jc w:val="center"/>
      </w:pPr>
      <w:r>
        <w:rPr>
          <w:color w:val="888888"/>
          <w:sz w:val="18"/>
          <w:szCs w:val="18"/>
        </w:rPr>
        <w:t xml:space="preserve">BFF GraphQL · REST v1 · Sincronización · Webhooks · IoT · Interoperabilidad</w:t>
      </w:r>
    </w:p>
    <w:p>
      <w:pPr>
        <w:pBdr>
          <w:bottom w:val="single" w:color="1F4E3D" w:sz="8" w:space="1"/>
        </w:pBdr>
        <w:spacing w:before="500"/>
        <w:jc w:val="center"/>
      </w:pPr>
    </w:p>
    <w:p>
      <w:pPr>
        <w:spacing w:before="360"/>
        <w:jc w:val="center"/>
      </w:pPr>
      <w:r>
        <w:rPr>
          <w:b/>
          <w:bCs/>
          <w:sz w:val="21"/>
          <w:szCs w:val="21"/>
        </w:rPr>
        <w:t xml:space="preserve">API-first · Contrato primero · Estándares abiertos</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Visión y principios</w:t>
      </w:r>
    </w:p>
    <w:p>
      <w:pPr>
        <w:spacing w:after="140"/>
      </w:pPr>
      <w:r>
        <w:t xml:space="preserve">La API es el producto. Cowinance es </w:t>
      </w:r>
      <w:r>
        <w:rPr>
          <w:b/>
          <w:bCs/>
        </w:rPr>
        <w:t xml:space="preserve">API-first</w:t>
      </w:r>
      <w:r>
        <w:t xml:space="preserve">: toda capacidad del sistema —registrar un pesaje, consultar la rentabilidad de un lote, sincronizar un dispositivo offline, recibir un evento de un sensor— existe primero como un contrato de API versionado antes de tener interfaz. Las apps propias (web y móvil) y las integraciones de terceros consumen exactamente la misma plataforma. Este documento define </w:t>
      </w:r>
      <w:r>
        <w:rPr>
          <w:b/>
          <w:bCs/>
        </w:rPr>
        <w:t xml:space="preserve">todas las APIs</w:t>
      </w:r>
      <w:r>
        <w:t xml:space="preserve">: sus capas, su seguridad, sus convenciones y el catálogo completo de endpoints por módulo.</w:t>
      </w:r>
    </w:p>
    <w:p>
      <w:pPr>
        <w:pStyle w:val="Heading2"/>
      </w:pPr>
      <w:r>
        <w:t xml:space="preserve">1.1 Principios</w:t>
      </w:r>
    </w:p>
    <w:p>
      <w:pPr>
        <w:pStyle w:val="ListParagraph"/>
        <w:numPr>
          <w:ilvl w:val="0"/>
          <w:numId w:val="2"/>
        </w:numPr>
        <w:spacing w:after="60"/>
      </w:pPr>
      <w:r>
        <w:t xml:space="preserve"/>
      </w:r>
      <w:r>
        <w:rPr>
          <w:b/>
          <w:bCs/>
        </w:rPr>
        <w:t xml:space="preserve">Contrato primero:</w:t>
      </w:r>
      <w:r>
        <w:t xml:space="preserve"> cada API se especifica en OpenAPI 3.1 (REST) o SDL (GraphQL) antes de implementarse; los clientes se autogeneran desde el contrato.</w:t>
      </w:r>
    </w:p>
    <w:p>
      <w:pPr>
        <w:pStyle w:val="ListParagraph"/>
        <w:numPr>
          <w:ilvl w:val="0"/>
          <w:numId w:val="2"/>
        </w:numPr>
        <w:spacing w:after="60"/>
      </w:pPr>
      <w:r>
        <w:t xml:space="preserve"/>
      </w:r>
      <w:r>
        <w:rPr>
          <w:b/>
          <w:bCs/>
        </w:rPr>
        <w:t xml:space="preserve">Consistencia:</w:t>
      </w:r>
      <w:r>
        <w:t xml:space="preserve"> las mismas convenciones (paginación, errores, idempotencia, fechas) en toda la superficie.</w:t>
      </w:r>
    </w:p>
    <w:p>
      <w:pPr>
        <w:pStyle w:val="ListParagraph"/>
        <w:numPr>
          <w:ilvl w:val="0"/>
          <w:numId w:val="2"/>
        </w:numPr>
        <w:spacing w:after="60"/>
      </w:pPr>
      <w:r>
        <w:t xml:space="preserve"/>
      </w:r>
      <w:r>
        <w:rPr>
          <w:b/>
          <w:bCs/>
        </w:rPr>
        <w:t xml:space="preserve">Multi-tenant y seguro por defecto:</w:t>
      </w:r>
      <w:r>
        <w:t xml:space="preserve"> cada llamada opera dentro de un tenant y respeta los permisos del actor.</w:t>
      </w:r>
    </w:p>
    <w:p>
      <w:pPr>
        <w:pStyle w:val="ListParagraph"/>
        <w:numPr>
          <w:ilvl w:val="0"/>
          <w:numId w:val="2"/>
        </w:numPr>
        <w:spacing w:after="60"/>
      </w:pPr>
      <w:r>
        <w:t xml:space="preserve"/>
      </w:r>
      <w:r>
        <w:rPr>
          <w:b/>
          <w:bCs/>
        </w:rPr>
        <w:t xml:space="preserve">Estándares abiertos:</w:t>
      </w:r>
      <w:r>
        <w:t xml:space="preserve"> interoperabilidad con ICAR ADE, ISO 11784/85 y GS1 EPCIS para no encerrar los datos del productor.</w:t>
      </w:r>
    </w:p>
    <w:p>
      <w:pPr>
        <w:pStyle w:val="ListParagraph"/>
        <w:numPr>
          <w:ilvl w:val="0"/>
          <w:numId w:val="2"/>
        </w:numPr>
        <w:spacing w:after="60"/>
      </w:pPr>
      <w:r>
        <w:t xml:space="preserve"/>
      </w:r>
      <w:r>
        <w:rPr>
          <w:b/>
          <w:bCs/>
        </w:rPr>
        <w:t xml:space="preserve">Offline como ciudadano de primera clase:</w:t>
      </w:r>
      <w:r>
        <w:t xml:space="preserve"> la API de sincronización es tan importante como la REST.</w:t>
      </w:r>
    </w:p>
    <w:p>
      <w:pPr>
        <w:pStyle w:val="ListParagraph"/>
        <w:numPr>
          <w:ilvl w:val="0"/>
          <w:numId w:val="2"/>
        </w:numPr>
        <w:spacing w:after="60"/>
      </w:pPr>
      <w:r>
        <w:t xml:space="preserve"/>
      </w:r>
      <w:r>
        <w:rPr>
          <w:b/>
          <w:bCs/>
        </w:rPr>
        <w:t xml:space="preserve">Compatibilidad y deprecación previsibles:</w:t>
      </w:r>
      <w:r>
        <w:t xml:space="preserve"> versiones mayores por URL y política de deprecación de 18 meses.</w:t>
      </w:r>
    </w:p>
    <w:p>
      <w:pPr>
        <w:pStyle w:val="Heading1"/>
        <w:pageBreakBefore/>
      </w:pPr>
      <w:r>
        <w:t xml:space="preserve">2. Capas de API</w:t>
      </w:r>
    </w:p>
    <w:p>
      <w:pPr>
        <w:spacing w:after="140"/>
      </w:pPr>
      <w:r>
        <w:t xml:space="preserve">Cowinance expone seis superficies de API, cada una optimizada para un consumidor distinto. El diagrama de topología se incluye en 2.2.</w:t>
      </w:r>
    </w:p>
    <w:p>
      <w:pPr>
        <w:pStyle w:val="Heading2"/>
      </w:pPr>
      <w:r>
        <w:t xml:space="preserve">2.1 Las seis superficies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API</w:t>
            </w:r>
          </w:p>
        </w:tc>
        <w:tc>
          <w:tcPr>
            <w:tcW w:type="dxa" w:w="3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Consumidor</w:t>
            </w:r>
          </w:p>
        </w:tc>
        <w:tc>
          <w:tcPr>
            <w:tcW w:type="dxa" w:w="39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Tecnología / protocolo</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BFF (interno)</w:t>
            </w:r>
          </w:p>
        </w:tc>
        <w:tc>
          <w:tcPr>
            <w:tcW w:type="dxa" w:w="3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Apps propias web y móvil</w:t>
            </w:r>
          </w:p>
        </w:tc>
        <w:tc>
          <w:tcPr>
            <w:tcW w:type="dxa" w:w="3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GraphQL federado (consultas ricas) + REST para comandos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Pública v1</w:t>
            </w:r>
          </w:p>
        </w:tc>
        <w:tc>
          <w:tcPr>
            <w:tcW w:type="dxa" w:w="3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Partners, integradores, clientes enterprise</w:t>
            </w:r>
          </w:p>
        </w:tc>
        <w:tc>
          <w:tcPr>
            <w:tcW w:type="dxa" w:w="3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REST OpenAPI 3.1, JSON, /v1</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Sincronización</w:t>
            </w:r>
          </w:p>
        </w:tc>
        <w:tc>
          <w:tcPr>
            <w:tcW w:type="dxa" w:w="3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Motor offline de los clientes</w:t>
            </w:r>
          </w:p>
        </w:tc>
        <w:tc>
          <w:tcPr>
            <w:tcW w:type="dxa" w:w="3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Protobuf sobre HTTP/2 (push/pull de changesets)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Eventos</w:t>
            </w:r>
          </w:p>
        </w:tc>
        <w:tc>
          <w:tcPr>
            <w:tcW w:type="dxa" w:w="3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Integraciones reactivas</w:t>
            </w:r>
          </w:p>
        </w:tc>
        <w:tc>
          <w:tcPr>
            <w:tcW w:type="dxa" w:w="3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Webhooks firmados (HMAC) + suscripciones Kafka (enterprise)</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Ingesta IoT</w:t>
            </w:r>
          </w:p>
        </w:tc>
        <w:tc>
          <w:tcPr>
            <w:tcW w:type="dxa" w:w="3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Dispositivos y sensores</w:t>
            </w:r>
          </w:p>
        </w:tc>
        <w:tc>
          <w:tcPr>
            <w:tcW w:type="dxa" w:w="3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MQTT sobre TLS + LoRaWAN; HTTP para lotes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Interoperabilidad</w:t>
            </w:r>
          </w:p>
        </w:tc>
        <w:tc>
          <w:tcPr>
            <w:tcW w:type="dxa" w:w="3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Ecosistema ganadero (robots, registros, autoridades)</w:t>
            </w:r>
          </w:p>
        </w:tc>
        <w:tc>
          <w:tcPr>
            <w:tcW w:type="dxa" w:w="3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ICAR ADE (JSON), ISO 11784/85, EPCIS 2.0</w:t>
            </w:r>
          </w:p>
        </w:tc>
      </w:tr>
    </w:tbl>
    <w:p>
      <w:pPr>
        <w:spacing w:after="130"/>
      </w:pPr>
    </w:p>
    <w:p>
      <w:pPr>
        <w:pStyle w:val="Heading2"/>
      </w:pPr>
      <w:r>
        <w:t xml:space="preserve">2.2 Topología de la API</w:t>
      </w:r>
    </w:p>
    <w:p>
      <w:pPr>
        <w:spacing w:after="140"/>
      </w:pPr>
      <w:r>
        <w:t xml:space="preserve">Todas las superficies pasan por el </w:t>
      </w:r>
      <w:r>
        <w:rPr>
          <w:b/>
          <w:bCs/>
        </w:rPr>
        <w:t xml:space="preserve">API Gateway</w:t>
      </w:r>
      <w:r>
        <w:t xml:space="preserve"> (WAF, autenticación, rate limiting, enrutamiento por región) antes de llegar a los servicios de dominio. El gateway es el punto único de política; los servicios confían en el contexto (tenant, actor, permisos) que el gateway inyecta firmado.</w:t>
      </w:r>
    </w:p>
    <w:p>
      <w:pPr>
        <w:pStyle w:val="Heading1"/>
        <w:pageBreakBefore/>
      </w:pPr>
      <w:r>
        <w:t xml:space="preserve">3. Autenticación y autorización</w:t>
      </w:r>
    </w:p>
    <w:p>
      <w:pPr>
        <w:pStyle w:val="Heading2"/>
      </w:pPr>
      <w:r>
        <w:t xml:space="preserve">3.1 Autenticación</w:t>
      </w:r>
    </w:p>
    <w:p>
      <w:pPr>
        <w:pStyle w:val="ListParagraph"/>
        <w:numPr>
          <w:ilvl w:val="0"/>
          <w:numId w:val="2"/>
        </w:numPr>
        <w:spacing w:after="60"/>
      </w:pPr>
      <w:r>
        <w:t xml:space="preserve"/>
      </w:r>
      <w:r>
        <w:rPr>
          <w:b/>
          <w:bCs/>
        </w:rPr>
        <w:t xml:space="preserve">OAuth 2.1 / OIDC</w:t>
      </w:r>
      <w:r>
        <w:t xml:space="preserve"> con PKCE para clientes públicos (web/móvil); tokens de acceso cortos (10 min) + refresh rotativo con detección de reuso.</w:t>
      </w:r>
    </w:p>
    <w:p>
      <w:pPr>
        <w:pStyle w:val="ListParagraph"/>
        <w:numPr>
          <w:ilvl w:val="0"/>
          <w:numId w:val="2"/>
        </w:numPr>
        <w:spacing w:after="60"/>
      </w:pPr>
      <w:r>
        <w:t xml:space="preserve"/>
      </w:r>
      <w:r>
        <w:rPr>
          <w:b/>
          <w:bCs/>
        </w:rPr>
        <w:t xml:space="preserve">API keys</w:t>
      </w:r>
      <w:r>
        <w:t xml:space="preserve"> para integraciones servidor-a-servidor (partners), con scopes y nivel de rate limit; la clave viaja en `Authorization: Bearer` y nunca se guarda en claro (solo su hash).</w:t>
      </w:r>
    </w:p>
    <w:p>
      <w:pPr>
        <w:pStyle w:val="ListParagraph"/>
        <w:numPr>
          <w:ilvl w:val="0"/>
          <w:numId w:val="2"/>
        </w:numPr>
        <w:spacing w:after="60"/>
      </w:pPr>
      <w:r>
        <w:t xml:space="preserve"/>
      </w:r>
      <w:r>
        <w:rPr>
          <w:b/>
          <w:bCs/>
        </w:rPr>
        <w:t xml:space="preserve">SSO empresarial</w:t>
      </w:r>
      <w:r>
        <w:t xml:space="preserve"> (SAML/OIDC) y MFA/passkeys para usuarios administrativos.</w:t>
      </w:r>
    </w:p>
    <w:p>
      <w:pPr>
        <w:pStyle w:val="ListParagraph"/>
        <w:numPr>
          <w:ilvl w:val="0"/>
          <w:numId w:val="2"/>
        </w:numPr>
        <w:spacing w:after="60"/>
      </w:pPr>
      <w:r>
        <w:t xml:space="preserve"/>
      </w:r>
      <w:r>
        <w:rPr>
          <w:b/>
          <w:bCs/>
        </w:rPr>
        <w:t xml:space="preserve">Sesiones de dispositivo</w:t>
      </w:r>
      <w:r>
        <w:t xml:space="preserve"> de campo con vida extendida y revocación remota (para el motor offline).</w:t>
      </w:r>
    </w:p>
    <w:p>
      <w:pPr>
        <w:pStyle w:val="Heading2"/>
      </w:pPr>
      <w:r>
        <w:t xml:space="preserve">3.2 Autorización</w:t>
      </w:r>
    </w:p>
    <w:p>
      <w:pPr>
        <w:pStyle w:val="ListParagraph"/>
        <w:numPr>
          <w:ilvl w:val="0"/>
          <w:numId w:val="2"/>
        </w:numPr>
        <w:spacing w:after="60"/>
      </w:pPr>
      <w:r>
        <w:t xml:space="preserve"/>
      </w:r>
      <w:r>
        <w:rPr>
          <w:b/>
          <w:bCs/>
        </w:rPr>
        <w:t xml:space="preserve">Scopes de OAuth/API key:</w:t>
      </w:r>
      <w:r>
        <w:t xml:space="preserve"> granularidad por recurso y acción (`animals:read`, `animals:write`, `finance:read`, `sync`, `webhooks:manage`).</w:t>
      </w:r>
    </w:p>
    <w:p>
      <w:pPr>
        <w:pStyle w:val="ListParagraph"/>
        <w:numPr>
          <w:ilvl w:val="0"/>
          <w:numId w:val="2"/>
        </w:numPr>
        <w:spacing w:after="60"/>
      </w:pPr>
      <w:r>
        <w:t xml:space="preserve"/>
      </w:r>
      <w:r>
        <w:rPr>
          <w:b/>
          <w:bCs/>
        </w:rPr>
        <w:t xml:space="preserve">Autorización en dos capas:</w:t>
      </w:r>
      <w:r>
        <w:t xml:space="preserve"> RBAC (rol del usuario) + ABAC (atributos: finca, especie, módulo, sensibilidad) evaluada por el motor central (Cedar/OPA).</w:t>
      </w:r>
    </w:p>
    <w:p>
      <w:pPr>
        <w:pStyle w:val="ListParagraph"/>
        <w:numPr>
          <w:ilvl w:val="0"/>
          <w:numId w:val="2"/>
        </w:numPr>
        <w:spacing w:after="60"/>
      </w:pPr>
      <w:r>
        <w:t xml:space="preserve"/>
      </w:r>
      <w:r>
        <w:rPr>
          <w:b/>
          <w:bCs/>
        </w:rPr>
        <w:t xml:space="preserve">Contexto de tenant obligatorio:</w:t>
      </w:r>
      <w:r>
        <w:t xml:space="preserve"> toda llamada resuelve un `tenant_id`; la RLS de la base de datos garantiza el aislamiento aunque falle una capa superior.</w:t>
      </w:r>
    </w:p>
    <w:p>
      <w:pPr>
        <w:pStyle w:val="ListParagraph"/>
        <w:numPr>
          <w:ilvl w:val="0"/>
          <w:numId w:val="2"/>
        </w:numPr>
        <w:spacing w:after="60"/>
      </w:pPr>
      <w:r>
        <w:t xml:space="preserve"/>
      </w:r>
      <w:r>
        <w:rPr>
          <w:b/>
          <w:bCs/>
        </w:rPr>
        <w:t xml:space="preserve">Alcance de datos:</w:t>
      </w:r>
      <w:r>
        <w:t xml:space="preserve"> un asesor externo con `animals:read` solo ve las fincas asignadas y nunca finanzas; el token porta el alcance.</w:t>
      </w:r>
    </w:p>
    <w:p>
      <w:pPr>
        <w:pStyle w:val="Heading2"/>
      </w:pPr>
      <w:r>
        <w:t xml:space="preserve">3.3 Ejemplo de encabezados</w:t>
      </w:r>
    </w:p>
    <w:p>
      <w:pPr>
        <w:pStyle w:val="ListParagraph"/>
        <w:numPr>
          <w:ilvl w:val="0"/>
          <w:numId w:val="2"/>
        </w:numPr>
        <w:spacing w:after="60"/>
      </w:pPr>
      <w:r>
        <w:t xml:space="preserve">`Authorization: Bearer &lt;token&gt;` — credencial (obligatorio).</w:t>
      </w:r>
    </w:p>
    <w:p>
      <w:pPr>
        <w:pStyle w:val="ListParagraph"/>
        <w:numPr>
          <w:ilvl w:val="0"/>
          <w:numId w:val="2"/>
        </w:numPr>
        <w:spacing w:after="60"/>
      </w:pPr>
      <w:r>
        <w:t xml:space="preserve">`Idempotency-Key: &lt;uuid&gt;` — para POST de comando (recomendado; obligatorio en captura offline).</w:t>
      </w:r>
    </w:p>
    <w:p>
      <w:pPr>
        <w:pStyle w:val="ListParagraph"/>
        <w:numPr>
          <w:ilvl w:val="0"/>
          <w:numId w:val="2"/>
        </w:numPr>
        <w:spacing w:after="60"/>
      </w:pPr>
      <w:r>
        <w:t xml:space="preserve">`Cowinance-Company: &lt;id&gt;` / `Cowinance-Farm: &lt;id&gt;` — contexto opcional cuando el actor tiene alcance múltiple.</w:t>
      </w:r>
    </w:p>
    <w:p>
      <w:pPr>
        <w:pStyle w:val="ListParagraph"/>
        <w:numPr>
          <w:ilvl w:val="0"/>
          <w:numId w:val="2"/>
        </w:numPr>
        <w:spacing w:after="60"/>
      </w:pPr>
      <w:r>
        <w:t xml:space="preserve">`Accept-Language: es-AR` — idioma y formato regional de la respuesta.</w:t>
      </w:r>
    </w:p>
    <w:p>
      <w:pPr>
        <w:pStyle w:val="Heading1"/>
        <w:pageBreakBefore/>
      </w:pPr>
      <w:r>
        <w:t xml:space="preserve">4. Convenciones transversales</w:t>
      </w:r>
    </w:p>
    <w:p>
      <w:pPr>
        <w:spacing w:after="140"/>
      </w:pPr>
      <w:r>
        <w:t xml:space="preserve">Reglas que aplican a toda la superficie REST y que hacen predecible la integración.</w:t>
      </w:r>
    </w:p>
    <w:p>
      <w:pPr>
        <w:pStyle w:val="Heading2"/>
      </w:pPr>
      <w:r>
        <w:t xml:space="preserve">4.1 Versionado</w:t>
      </w:r>
    </w:p>
    <w:p>
      <w:pPr>
        <w:pStyle w:val="ListParagraph"/>
        <w:numPr>
          <w:ilvl w:val="0"/>
          <w:numId w:val="2"/>
        </w:numPr>
        <w:spacing w:after="60"/>
      </w:pPr>
      <w:r>
        <w:t xml:space="preserve">Versión mayor por URL: `/v1/...`; cambios compatibles no rompen la versión; los que rompen crean `/v2`.</w:t>
      </w:r>
    </w:p>
    <w:p>
      <w:pPr>
        <w:pStyle w:val="ListParagraph"/>
        <w:numPr>
          <w:ilvl w:val="0"/>
          <w:numId w:val="2"/>
        </w:numPr>
        <w:spacing w:after="60"/>
      </w:pPr>
      <w:r>
        <w:t xml:space="preserve">Política de deprecación de 18 meses con cabecera `Sunset` y avisos en la documentación.</w:t>
      </w:r>
    </w:p>
    <w:p>
      <w:pPr>
        <w:pStyle w:val="ListParagraph"/>
        <w:numPr>
          <w:ilvl w:val="0"/>
          <w:numId w:val="2"/>
        </w:numPr>
        <w:spacing w:after="60"/>
      </w:pPr>
      <w:r>
        <w:t xml:space="preserve">Los esquemas de eventos se versionan por separado en el Schema Registry con compatibilidad hacia atrás.</w:t>
      </w:r>
    </w:p>
    <w:p>
      <w:pPr>
        <w:pStyle w:val="Heading2"/>
      </w:pPr>
      <w:r>
        <w:t xml:space="preserve">4.2 Paginación, filtros y expansiones</w:t>
      </w:r>
    </w:p>
    <w:p>
      <w:pPr>
        <w:pStyle w:val="ListParagraph"/>
        <w:numPr>
          <w:ilvl w:val="0"/>
          <w:numId w:val="2"/>
        </w:numPr>
        <w:spacing w:after="60"/>
      </w:pPr>
      <w:r>
        <w:t xml:space="preserve"/>
      </w:r>
      <w:r>
        <w:rPr>
          <w:b/>
          <w:bCs/>
        </w:rPr>
        <w:t xml:space="preserve">Paginación por cursor opaco</w:t>
      </w:r>
      <w:r>
        <w:t xml:space="preserve"> (nunca offset): `?limit=50&amp;cursor=…`; la respuesta trae `next_cursor`.</w:t>
      </w:r>
    </w:p>
    <w:p>
      <w:pPr>
        <w:pStyle w:val="ListParagraph"/>
        <w:numPr>
          <w:ilvl w:val="0"/>
          <w:numId w:val="2"/>
        </w:numPr>
        <w:spacing w:after="60"/>
      </w:pPr>
      <w:r>
        <w:t xml:space="preserve"/>
      </w:r>
      <w:r>
        <w:rPr>
          <w:b/>
          <w:bCs/>
        </w:rPr>
        <w:t xml:space="preserve">Filtros</w:t>
      </w:r>
      <w:r>
        <w:t xml:space="preserve"> declarados en el contrato: `?status=active&amp;paddock=…&amp;updated_since=…`.</w:t>
      </w:r>
    </w:p>
    <w:p>
      <w:pPr>
        <w:pStyle w:val="ListParagraph"/>
        <w:numPr>
          <w:ilvl w:val="0"/>
          <w:numId w:val="2"/>
        </w:numPr>
        <w:spacing w:after="60"/>
      </w:pPr>
      <w:r>
        <w:t xml:space="preserve"/>
      </w:r>
      <w:r>
        <w:rPr>
          <w:b/>
          <w:bCs/>
        </w:rPr>
        <w:t xml:space="preserve">Ordenamiento:</w:t>
      </w:r>
      <w:r>
        <w:t xml:space="preserve"> `?sort=-weighed_at` (prefijo `-` = descendente).</w:t>
      </w:r>
    </w:p>
    <w:p>
      <w:pPr>
        <w:pStyle w:val="ListParagraph"/>
        <w:numPr>
          <w:ilvl w:val="0"/>
          <w:numId w:val="2"/>
        </w:numPr>
        <w:spacing w:after="60"/>
      </w:pPr>
      <w:r>
        <w:t xml:space="preserve"/>
      </w:r>
      <w:r>
        <w:rPr>
          <w:b/>
          <w:bCs/>
        </w:rPr>
        <w:t xml:space="preserve">Expansiones controladas:</w:t>
      </w:r>
      <w:r>
        <w:t xml:space="preserve"> `?include=mother,last_weight` para evitar el problema N+1 de los integradores.</w:t>
      </w:r>
    </w:p>
    <w:p>
      <w:pPr>
        <w:pStyle w:val="ListParagraph"/>
        <w:numPr>
          <w:ilvl w:val="0"/>
          <w:numId w:val="2"/>
        </w:numPr>
        <w:spacing w:after="60"/>
      </w:pPr>
      <w:r>
        <w:t xml:space="preserve"/>
      </w:r>
      <w:r>
        <w:rPr>
          <w:b/>
          <w:bCs/>
        </w:rPr>
        <w:t xml:space="preserve">Selección de campos:</w:t>
      </w:r>
      <w:r>
        <w:t xml:space="preserve"> `?fields=id,tag,status` para respuestas ligeras.</w:t>
      </w:r>
    </w:p>
    <w:p>
      <w:pPr>
        <w:pStyle w:val="Heading2"/>
      </w:pPr>
      <w:r>
        <w:t xml:space="preserve">4.3 Fechas, idempotencia y concurrencia</w:t>
      </w:r>
    </w:p>
    <w:p>
      <w:pPr>
        <w:pStyle w:val="ListParagraph"/>
        <w:numPr>
          <w:ilvl w:val="0"/>
          <w:numId w:val="2"/>
        </w:numPr>
        <w:spacing w:after="60"/>
      </w:pPr>
      <w:r>
        <w:t xml:space="preserve"/>
      </w:r>
      <w:r>
        <w:rPr>
          <w:b/>
          <w:bCs/>
        </w:rPr>
        <w:t xml:space="preserve">Triple marca temporal:</w:t>
      </w:r>
      <w:r>
        <w:t xml:space="preserve"> `occurred_at` (cuándo pasó en el campo), `recorded_at` (cuándo se capturó), `received_at` (cuándo llegó al servidor) — crítico en un sistema offline.</w:t>
      </w:r>
    </w:p>
    <w:p>
      <w:pPr>
        <w:pStyle w:val="ListParagraph"/>
        <w:numPr>
          <w:ilvl w:val="0"/>
          <w:numId w:val="2"/>
        </w:numPr>
        <w:spacing w:after="60"/>
      </w:pPr>
      <w:r>
        <w:t xml:space="preserve"/>
      </w:r>
      <w:r>
        <w:rPr>
          <w:b/>
          <w:bCs/>
        </w:rPr>
        <w:t xml:space="preserve">Idempotencia:</w:t>
      </w:r>
      <w:r>
        <w:t xml:space="preserve"> todo POST de comando acepta `Idempotency-Key`; el servidor deduplica por (tenant, key) y devuelve la misma respuesta ante reintentos.</w:t>
      </w:r>
    </w:p>
    <w:p>
      <w:pPr>
        <w:pStyle w:val="ListParagraph"/>
        <w:numPr>
          <w:ilvl w:val="0"/>
          <w:numId w:val="2"/>
        </w:numPr>
        <w:spacing w:after="60"/>
      </w:pPr>
      <w:r>
        <w:t xml:space="preserve"/>
      </w:r>
      <w:r>
        <w:rPr>
          <w:b/>
          <w:bCs/>
        </w:rPr>
        <w:t xml:space="preserve">Concurrencia optimista:</w:t>
      </w:r>
      <w:r>
        <w:t xml:space="preserve"> `ETag` + `If-Match` en actualizaciones para evitar sobrescrituras.</w:t>
      </w:r>
    </w:p>
    <w:p>
      <w:pPr>
        <w:pStyle w:val="ListParagraph"/>
        <w:numPr>
          <w:ilvl w:val="0"/>
          <w:numId w:val="2"/>
        </w:numPr>
        <w:spacing w:after="60"/>
      </w:pPr>
      <w:r>
        <w:t xml:space="preserve"/>
      </w:r>
      <w:r>
        <w:rPr>
          <w:b/>
          <w:bCs/>
        </w:rPr>
        <w:t xml:space="preserve">Formato:</w:t>
      </w:r>
      <w:r>
        <w:t xml:space="preserve"> JSON con `snake_case`; fechas ISO 8601 UTC; unidades en SI con la unidad indicada.</w:t>
      </w:r>
    </w:p>
    <w:p>
      <w:pPr>
        <w:pStyle w:val="Heading2"/>
      </w:pPr>
      <w:r>
        <w:t xml:space="preserve">4.4 Errores (RFC 9457)</w:t>
      </w:r>
    </w:p>
    <w:p>
      <w:pPr>
        <w:pStyle w:val="ListParagraph"/>
        <w:numPr>
          <w:ilvl w:val="0"/>
          <w:numId w:val="2"/>
        </w:numPr>
        <w:spacing w:after="60"/>
      </w:pPr>
      <w:r>
        <w:t xml:space="preserve">Errores en formato Problem Details (RFC 9457): `type`, `title`, `status`, `detail`, `instance`, más un `code` de dominio estable y traducible.</w:t>
      </w:r>
    </w:p>
    <w:p>
      <w:pPr>
        <w:pStyle w:val="ListParagraph"/>
        <w:numPr>
          <w:ilvl w:val="0"/>
          <w:numId w:val="2"/>
        </w:numPr>
        <w:spacing w:after="60"/>
      </w:pPr>
      <w:r>
        <w:t xml:space="preserve">Códigos HTTP: 200/201/204 éxito; 400 validación; 401 no autenticado; 403 sin permiso; 404 no existe; 409 conflicto (idempotencia/concurrencia); 422 regla de negocio; 429 rate limit; 5xx error del servidor.</w:t>
      </w:r>
    </w:p>
    <w:p>
      <w:pPr>
        <w:pStyle w:val="ListParagraph"/>
        <w:numPr>
          <w:ilvl w:val="0"/>
          <w:numId w:val="2"/>
        </w:numPr>
        <w:spacing w:after="60"/>
      </w:pPr>
      <w:r>
        <w:t xml:space="preserve">Ejemplo de regla de negocio (422): intentar vender un animal en retiro devuelve `code: animal.withdrawal_active` con la fecha de habilitación.</w:t>
      </w:r>
    </w:p>
    <w:p>
      <w:pPr>
        <w:pStyle w:val="Heading2"/>
      </w:pPr>
      <w:r>
        <w:t xml:space="preserve">4.5 Rate limiting</w:t>
      </w:r>
    </w:p>
    <w:p>
      <w:pPr>
        <w:spacing w:after="140"/>
      </w:pPr>
      <w:r>
        <w:t xml:space="preserve">Límite por token y por tenant con ventana deslizante (Redis); la respuesta incluye `RateLimit-Limit`, `RateLimit-Remaining` y `RateLimit-Reset`. Los límites dependen del plan comercial (sección de cuotas). El exceso devuelve 429 con `Retry-After`.</w:t>
      </w:r>
    </w:p>
    <w:p>
      <w:pPr>
        <w:pStyle w:val="Heading1"/>
        <w:pageBreakBefore/>
      </w:pPr>
      <w:r>
        <w:t xml:space="preserve">5. Catálogo de endpoints REST (API pública v1)</w:t>
      </w:r>
    </w:p>
    <w:p>
      <w:pPr>
        <w:spacing w:after="140"/>
      </w:pPr>
      <w:r>
        <w:t xml:space="preserve">Todos los recursos cuelgan de `https://api.cowinance.com/v1`. Se listan los endpoints principales por módulo; cada colección soporta las convenciones de la sección 4 (paginación, filtros, expansiones). Los identificadores son UUID.</w:t>
      </w:r>
    </w:p>
    <w:p>
      <w:pPr>
        <w:pStyle w:val="Heading2"/>
      </w:pPr>
      <w:r>
        <w:t xml:space="preserve">5.1 Núcleo: organización, identidad y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/organizations/current</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Datos de la organización (tenant) actual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/companies · POST /companies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Empresas del grupo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GET/POST/PATCH /farms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Fincas/establecimientos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/users · GET /users/{id}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Usuarios de la organización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/roles · GET /permissions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Roles y catálogo de permisos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/users/{id}/role-assignments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Asignar rol con alcance (empresa/finca) y vigencia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/invitations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Invitar a un usuario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/api-keys · DELETE /api-keys/{id}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Gestionar credenciales de API</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/catalogs/{species|breeds|categories|diagnoses|units}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Catálogos maestros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GET/PUT /settings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Configuración por tenant (clave-valor)</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/feature-flags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Banderas de funcionalidad activas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/subscription · GET /subscription/usage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Plan y medición de uso</w:t>
            </w:r>
          </w:p>
        </w:tc>
      </w:tr>
    </w:tbl>
    <w:p>
      <w:pPr>
        <w:spacing w:after="130"/>
      </w:pPr>
    </w:p>
    <w:p>
      <w:pPr>
        <w:pStyle w:val="Heading2"/>
      </w:pPr>
      <w:r>
        <w:t xml:space="preserve">5.2 Hato (animales)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/animals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Listar animales (filtros: status, farm, lot, paddock, category, tag)</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Alta de animal (nacimiento/compra/manual)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/animals/{id}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Ficha del animal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PATCH /animals/{id}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Editar identidad/atributos (con If-Match)</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/animals/{id}/timeline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Línea de tiempo unificada de eventos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/animals/{id}/events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evento polimórfico (weighing, treatment, breeding, movement, death…)</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/animals/{id}/identifiers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Agregar identificador (RFID, caravana, biométrico)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/animals/{id}/status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Cambiar estado (venta, muerte, transferencia) con datos requeridos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/animals/{id}/genealogy</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Árbol de pedigrí y descendencia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/animals/lookup</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Resolver animal por caravana/RFID/biometría (confirmación de escaneo)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/animals/merge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Fusionar duplicados conservando historial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/lots · POST /lots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Lotes/rodeos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/animal-movements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movimiento (potrero/lote/finca)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/batches/weighings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Captura masiva de pesajes de manga (hasta 5.000)</w:t>
            </w:r>
          </w:p>
        </w:tc>
      </w:tr>
    </w:tbl>
    <w:p>
      <w:pPr>
        <w:spacing w:after="130"/>
      </w:pPr>
    </w:p>
    <w:p>
      <w:pPr>
        <w:pStyle w:val="Heading2"/>
      </w:pPr>
      <w:r>
        <w:t xml:space="preserve">5.3 Reproducción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/animals/{id}/heats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detección de celo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/animals/{id}/services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servicio (monta/IA/TE)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/repro-protocols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Protocolos de sincronización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/synchronization-batches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Aplicar protocolo IATF a un lote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/pregnancies · POST /pregnancy-diagnoses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Gestaciones y diagnósticos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/calvings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parto y crías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/weanings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destete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/semen-batches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Banco de semen (inventario de pajuelas)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/embryos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Banco de embriones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/embryo-transfers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Transferir embrión a receptora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/flushing-sessions · POST /opu-sessions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Colecta (in vivo) y aspiración (FIV)</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/reproduction/kpis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Indicadores reproductivos (preñez, IEP, días abiertos)</w:t>
            </w:r>
          </w:p>
        </w:tc>
      </w:tr>
    </w:tbl>
    <w:p>
      <w:pPr>
        <w:spacing w:after="130"/>
      </w:pPr>
    </w:p>
    <w:p>
      <w:pPr>
        <w:pStyle w:val="Heading2"/>
      </w:pPr>
      <w:r>
        <w:t xml:space="preserve">5.4 Sanidad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/vaccinations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Vacunaciones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/treatments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Tratamientos (calcula retiros de carne/leche)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/health-events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Diagnósticos y eventos clínicos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/health-plans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Planes/calendarios sanitarios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/mortalities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Registrar muerte con causa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/products-veterinary</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Catálogo de productos veterinarios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/animals/{id}/withdrawals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Retiros activos del animal (carne/leche)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/health/kpis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Cobertura de vacunación, morbilidad, mortalidad</w:t>
            </w:r>
          </w:p>
        </w:tc>
      </w:tr>
    </w:tbl>
    <w:p>
      <w:pPr>
        <w:spacing w:after="130"/>
      </w:pPr>
    </w:p>
    <w:p>
      <w:pPr>
        <w:pStyle w:val="Heading2"/>
      </w:pPr>
      <w:r>
        <w:t xml:space="preserve">5.5 Producción y lechería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/animals/{id}/weighings · GET /animals/{id}/weighings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Pesajes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/animals/{id}/milkings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Ordeño individual (o ingesta desde robot)</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/lactations/{id}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Lactancia (curva, DEL, producción)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/milk-quality-tests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Control de calidad (grasa, proteína, RCS)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/milk-tanks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Tanques de frío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/milk-deliveries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Entrega a industria con liquidación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/dry-offs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Secado (cierre de lactancia)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/carcass-records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Datos de faena/canal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/dairy/kpis · GET /production/kpis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Indicadores lecheros y productivos</w:t>
            </w:r>
          </w:p>
        </w:tc>
      </w:tr>
    </w:tbl>
    <w:p>
      <w:pPr>
        <w:spacing w:after="130"/>
      </w:pPr>
    </w:p>
    <w:p>
      <w:pPr>
        <w:pStyle w:val="Heading2"/>
      </w:pPr>
      <w:r>
        <w:t xml:space="preserve">5.6 Nutrición y pasturas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/rations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Raciones formuladas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/feed-deliveries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Entrega de alimento a un lote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/paddocks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Potreros (geometría PostGIS)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/grazing-records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Registro de pastoreo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/paddocks/{id}/biomass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Biomasa/NDVI del potrero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/grazing/plan</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Plan de rotación sugerido</w:t>
            </w:r>
          </w:p>
        </w:tc>
      </w:tr>
    </w:tbl>
    <w:p>
      <w:pPr>
        <w:spacing w:after="130"/>
      </w:pPr>
    </w:p>
    <w:p>
      <w:pPr>
        <w:pStyle w:val="Heading2"/>
      </w:pPr>
      <w:r>
        <w:t xml:space="preserve">5.7 Agricultura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/crops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Ciclos de cultivo por lote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/crops/{id}/operations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Labores (siembra, fertilización, fumigación, riego)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/applications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Registro de aplicación fitosanitaria (con carencia)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/harvests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Cosecha (rendimiento, humedad, destino)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/soil-analyses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Análisis de suelo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/vra-prescriptions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Prescripción de aplicación/siembra variable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/crops/{id}/yield-map</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Mapa de rendimiento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/agri/kpis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Rinde, costo y margen por hectárea</w:t>
            </w:r>
          </w:p>
        </w:tc>
      </w:tr>
    </w:tbl>
    <w:p>
      <w:pPr>
        <w:spacing w:after="130"/>
      </w:pPr>
    </w:p>
    <w:p>
      <w:pPr>
        <w:pStyle w:val="Heading2"/>
      </w:pPr>
      <w:r>
        <w:t xml:space="preserve">5.8 Inventario, maquinaria y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/items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Maestro de materiales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/items/{id}/stock</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Existencias por almacén y lote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/items/{id}/kardex</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Movimientos del material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/stock-movements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Movimiento tipificado (entrada/salida/ajuste/consumo)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/stock-transfers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Transferencia entre almacenes/fincas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/physical-inventories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Recuento físico / conteo cíclico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/inventory/reorder-suggestions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Sugerencias de reposición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/warehouses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Almacenes y ubicaciones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/machinery · GET /machinery/{id}/telemetry</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Maquinaria y su telemetría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/maintenance-records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Mantenimiento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/fuel-logs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Cargas de combustible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/inventory/kpis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Valor, rotación, cobertura</w:t>
            </w:r>
          </w:p>
        </w:tc>
      </w:tr>
    </w:tbl>
    <w:p>
      <w:pPr>
        <w:spacing w:after="130"/>
      </w:pPr>
    </w:p>
    <w:p>
      <w:pPr>
        <w:pStyle w:val="Heading2"/>
      </w:pPr>
      <w:r>
        <w:t xml:space="preserve">5.9 Comercial y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/business-partners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Terceros (clientes/proveedores)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/customers · GET/POST /suppliers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Perfiles comerciales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/purchases · POST /purchases/{id}/receive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Compras y recepción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/sales · POST /sales/{id}/confirm</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Ventas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/contracts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Contratos comerciales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/price-lists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Listas de precios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/market-prices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Precios de mercado de referencia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/movement-guides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Guías de movilización de ganado</w:t>
            </w:r>
          </w:p>
        </w:tc>
      </w:tr>
    </w:tbl>
    <w:p>
      <w:pPr>
        <w:spacing w:after="130"/>
      </w:pPr>
    </w:p>
    <w:p>
      <w:pPr>
        <w:pStyle w:val="Heading2"/>
      </w:pPr>
      <w:r>
        <w:t xml:space="preserve">5.10 Finanzas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/chart-of-accounts · POST /journal-entries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Plan de cuentas y asientos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/reports/pnl</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Estado de resultados (P&amp;L), filtrable por centro de costo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/reports/balance-sheet</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Balance general</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/reports/cash-flow</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Flujo de caja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/invoices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Facturas (emitidas/recibidas)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/payments · POST /payments/{id}/allocate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Cobros/pagos y aplicación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/bank-accounts · POST /bank-reconciliations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Bancos y conciliación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/bank-transactions/import</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Importar movimientos bancarios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/budgets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Presupuestos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/cost-centers · GET /cost-centers/{id}/profitability</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Centros de costo y rentabilidad</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/biological-assets/valuation</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Valuación del ganado (activo biológico)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/finance/kpis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Resultado, márgenes, EBITDA, liquidez</w:t>
            </w:r>
          </w:p>
        </w:tc>
      </w:tr>
    </w:tbl>
    <w:p>
      <w:pPr>
        <w:spacing w:after="130"/>
      </w:pPr>
    </w:p>
    <w:p>
      <w:pPr>
        <w:pStyle w:val="Heading2"/>
      </w:pPr>
      <w:r>
        <w:t xml:space="preserve">5.11 Personas, laboratorio, trazabilidad, marketplace, academia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/employees · POST /work-logs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Personal y jornadas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/payroll-runs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Corridas de nómina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/lab-samples · GET /lab-results/{id}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Muestras y resultados de laboratorio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/trace-events · GET /trace/{subject}/{id}</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Eventos de trazabilidad (EPCIS)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/compliance-reports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Reportes regulatorios a autoridades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/certifications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Certificaciones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/marketplace/listings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Publicaciones del marketplace</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/marketplace/inquiries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Consultas/ofertas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/courses · POST /courses/{id}/enroll</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Academia y cursos</w:t>
            </w:r>
          </w:p>
        </w:tc>
      </w:tr>
    </w:tbl>
    <w:p>
      <w:pPr>
        <w:spacing w:after="130"/>
      </w:pPr>
    </w:p>
    <w:p>
      <w:pPr>
        <w:pStyle w:val="Heading2"/>
      </w:pPr>
      <w:r>
        <w:t xml:space="preserve">5.12 Documentos, tareas, alertas y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Método y ruta</w:t>
            </w:r>
          </w:p>
        </w:tc>
        <w:tc>
          <w:tcPr>
            <w:tcW w:type="dxa" w:w="5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Descripción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/files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Subir archivo (devuelve URL firmada de carga)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POST /attachments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Vincular archivo a una entidad</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/documents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Documentos formales con vigencia</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/tasks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Tareas/actividades</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GET/POST /calendar-events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Eventos de calendario</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/alerts · POST /alerts/{id}/acknowledge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Alertas y su gestión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GET/PUT /notification-preferences</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Preferencias de notificación</w:t>
            </w:r>
          </w:p>
        </w:tc>
      </w:tr>
      <w:tr>
        <w:tc>
          <w:tcPr>
            <w:tcW w:type="dxa" w:w="4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rFonts w:ascii="Courier New" w:cs="Courier New" w:eastAsia="Courier New" w:hAnsi="Courier New"/>
                <w:sz w:val="16"/>
                <w:szCs w:val="16"/>
              </w:rPr>
              <w:t xml:space="preserve">GET /reports/{code} · POST /reports/{code}/schedule</w:t>
            </w:r>
          </w:p>
        </w:tc>
        <w:tc>
          <w:tcPr>
            <w:tcW w:type="dxa" w:w="5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Ejecutar y programar reportes</w:t>
            </w:r>
          </w:p>
        </w:tc>
      </w:tr>
    </w:tbl>
    <w:p>
      <w:pPr>
        <w:spacing w:after="130"/>
      </w:pPr>
    </w:p>
    <w:p>
      <w:pPr>
        <w:pStyle w:val="Heading1"/>
        <w:pageBreakBefore/>
      </w:pPr>
      <w:r>
        <w:t xml:space="preserve">6. API interna (BFF) — GraphQL</w:t>
      </w:r>
    </w:p>
    <w:p>
      <w:pPr>
        <w:spacing w:after="140"/>
      </w:pPr>
      <w:r>
        <w:t xml:space="preserve">Las apps propias usan un </w:t>
      </w:r>
      <w:r>
        <w:rPr>
          <w:b/>
          <w:bCs/>
        </w:rPr>
        <w:t xml:space="preserve">GraphQL federado</w:t>
      </w:r>
      <w:r>
        <w:t xml:space="preserve"> para las lecturas ricas (una sola consulta arma toda la Ficha 360° o el dashboard) y REST para los comandos. Reduce el chattiness móvil y da al frontend control fino sobre los campos.</w:t>
      </w:r>
    </w:p>
    <w:p>
      <w:pPr>
        <w:pStyle w:val="ListParagraph"/>
        <w:numPr>
          <w:ilvl w:val="0"/>
          <w:numId w:val="2"/>
        </w:numPr>
        <w:spacing w:after="60"/>
      </w:pPr>
      <w:r>
        <w:t xml:space="preserve">Endpoint: `POST /graphql` (interno, autenticado igual que REST).</w:t>
      </w:r>
    </w:p>
    <w:p>
      <w:pPr>
        <w:pStyle w:val="ListParagraph"/>
        <w:numPr>
          <w:ilvl w:val="0"/>
          <w:numId w:val="2"/>
        </w:numPr>
        <w:spacing w:after="60"/>
      </w:pPr>
      <w:r>
        <w:t xml:space="preserve">Federación por dominio: cada bounded context aporta su subgrafo (Hato, Reproducción, Finanzas…) y se componen en un supergrafo.</w:t>
      </w:r>
    </w:p>
    <w:p>
      <w:pPr>
        <w:pStyle w:val="ListParagraph"/>
        <w:numPr>
          <w:ilvl w:val="0"/>
          <w:numId w:val="2"/>
        </w:numPr>
        <w:spacing w:after="60"/>
      </w:pPr>
      <w:r>
        <w:t xml:space="preserve">Consultas tipadas con el mismo modelo de datos; paginación por cursor (Relay-style connections).</w:t>
      </w:r>
    </w:p>
    <w:p>
      <w:pPr>
        <w:pStyle w:val="ListParagraph"/>
        <w:numPr>
          <w:ilvl w:val="0"/>
          <w:numId w:val="2"/>
        </w:numPr>
        <w:spacing w:after="60"/>
      </w:pPr>
      <w:r>
        <w:t xml:space="preserve">Suscripciones GraphQL (WebSocket) para datos en vivo del dashboard y del mapa (posiciones, alertas).</w:t>
      </w:r>
    </w:p>
    <w:p>
      <w:pPr>
        <w:pStyle w:val="ListParagraph"/>
        <w:numPr>
          <w:ilvl w:val="0"/>
          <w:numId w:val="2"/>
        </w:numPr>
        <w:spacing w:after="60"/>
      </w:pPr>
      <w:r>
        <w:t xml:space="preserve">Ejemplo: `query { animal(id:"…"){ tag status lastWeight{ kg adg } pregnancy{ dueDate } economics{ margin } } }`.</w:t>
      </w:r>
    </w:p>
    <w:p>
      <w:pPr>
        <w:pStyle w:val="Heading1"/>
        <w:pageBreakBefore/>
      </w:pPr>
      <w:r>
        <w:t xml:space="preserve">7. API de sincronización (offline)</w:t>
      </w:r>
    </w:p>
    <w:p>
      <w:pPr>
        <w:spacing w:after="140"/>
      </w:pPr>
      <w:r>
        <w:t xml:space="preserve">El canal más crítico del producto: mantiene los dispositivos de campo en convergencia con la nube. Protocolo binario optimizado para redes 2G/3G.</w:t>
      </w:r>
    </w:p>
    <w:p>
      <w:pPr>
        <w:pStyle w:val="ListParagraph"/>
        <w:numPr>
          <w:ilvl w:val="0"/>
          <w:numId w:val="2"/>
        </w:numPr>
        <w:spacing w:after="60"/>
      </w:pPr>
      <w:r>
        <w:t xml:space="preserve">`POST /sync/push` — el dispositivo envía un lote de changesets (operaciones offline) comprimidos (Protobuf + zstd) con su HLC y secuencia.</w:t>
      </w:r>
    </w:p>
    <w:p>
      <w:pPr>
        <w:pStyle w:val="ListParagraph"/>
        <w:numPr>
          <w:ilvl w:val="0"/>
          <w:numId w:val="2"/>
        </w:numPr>
        <w:spacing w:after="60"/>
      </w:pPr>
      <w:r>
        <w:t xml:space="preserve">`GET /sync/pull?cursor=…` — el dispositivo recibe los changesets remotos posteriores a su vector de versiones, filtrados por su suscripción (fincas asignadas, últimos N meses).</w:t>
      </w:r>
    </w:p>
    <w:p>
      <w:pPr>
        <w:pStyle w:val="ListParagraph"/>
        <w:numPr>
          <w:ilvl w:val="0"/>
          <w:numId w:val="2"/>
        </w:numPr>
        <w:spacing w:after="60"/>
      </w:pPr>
      <w:r>
        <w:t xml:space="preserve">`GET /sync/state` — estado del dispositivo (último sync, cola pendiente, conflictos).</w:t>
      </w:r>
    </w:p>
    <w:p>
      <w:pPr>
        <w:pStyle w:val="ListParagraph"/>
        <w:numPr>
          <w:ilvl w:val="0"/>
          <w:numId w:val="2"/>
        </w:numPr>
        <w:spacing w:after="60"/>
      </w:pPr>
      <w:r>
        <w:t xml:space="preserve">`POST /sync/resolve` — resolución manual de un conflicto que el sistema no pudo resolver por semántica.</w:t>
      </w:r>
    </w:p>
    <w:p>
      <w:pPr>
        <w:pStyle w:val="ListParagraph"/>
        <w:numPr>
          <w:ilvl w:val="0"/>
          <w:numId w:val="2"/>
        </w:numPr>
        <w:spacing w:after="60"/>
      </w:pPr>
      <w:r>
        <w:t xml:space="preserve">Garantías: exactly-once lógico por idempotencia de changeset (dedupe por device+seq); resumible tras cortes; deltas mínimos.</w:t>
      </w:r>
    </w:p>
    <w:p>
      <w:pPr>
        <w:pStyle w:val="ListParagraph"/>
        <w:numPr>
          <w:ilvl w:val="0"/>
          <w:numId w:val="2"/>
        </w:numPr>
        <w:spacing w:after="60"/>
      </w:pPr>
      <w:r>
        <w:t xml:space="preserve">Negociación de versión de esquema (upcasting de changesets antiguos) para clientes desactualizados.</w:t>
      </w:r>
    </w:p>
    <w:p>
      <w:pPr>
        <w:pStyle w:val="Heading1"/>
        <w:pageBreakBefore/>
      </w:pPr>
      <w:r>
        <w:t xml:space="preserve">8. Webhooks y eventos</w:t>
      </w:r>
    </w:p>
    <w:p>
      <w:pPr>
        <w:spacing w:after="140"/>
      </w:pPr>
      <w:r>
        <w:t xml:space="preserve">Las integraciones reactivas se suscriben a los eventos de dominio en lugar de hacer polling. Cada evento del sistema puede entregarse por webhook (firmado) o consumirse por Kafka (enterprise).</w:t>
      </w:r>
    </w:p>
    <w:p>
      <w:pPr>
        <w:pStyle w:val="Heading2"/>
      </w:pPr>
      <w:r>
        <w:t xml:space="preserve">8.1 Gestión de webhooks</w:t>
      </w:r>
    </w:p>
    <w:p>
      <w:pPr>
        <w:pStyle w:val="ListParagraph"/>
        <w:numPr>
          <w:ilvl w:val="0"/>
          <w:numId w:val="2"/>
        </w:numPr>
        <w:spacing w:after="60"/>
      </w:pPr>
      <w:r>
        <w:t xml:space="preserve">`POST /webhooks` — crear suscripción con `url`, lista de `events` y un `secret` para firmar.</w:t>
      </w:r>
    </w:p>
    <w:p>
      <w:pPr>
        <w:pStyle w:val="ListParagraph"/>
        <w:numPr>
          <w:ilvl w:val="0"/>
          <w:numId w:val="2"/>
        </w:numPr>
        <w:spacing w:after="60"/>
      </w:pPr>
      <w:r>
        <w:t xml:space="preserve">`GET /webhooks · DELETE /webhooks/{id}` — administrar suscripciones.</w:t>
      </w:r>
    </w:p>
    <w:p>
      <w:pPr>
        <w:pStyle w:val="ListParagraph"/>
        <w:numPr>
          <w:ilvl w:val="0"/>
          <w:numId w:val="2"/>
        </w:numPr>
        <w:spacing w:after="60"/>
      </w:pPr>
      <w:r>
        <w:t xml:space="preserve">`GET /webhooks/{id}/deliveries` — historial de entregas y reintentos.</w:t>
      </w:r>
    </w:p>
    <w:p>
      <w:pPr>
        <w:pStyle w:val="ListParagraph"/>
        <w:numPr>
          <w:ilvl w:val="0"/>
          <w:numId w:val="2"/>
        </w:numPr>
        <w:spacing w:after="60"/>
      </w:pPr>
      <w:r>
        <w:t xml:space="preserve">Entrega firmada con HMAC-SHA256 en la cabecera `Cowinance-Signature`; reintentos con backoff exponencial; confirmación por 2xx.</w:t>
      </w:r>
    </w:p>
    <w:p>
      <w:pPr>
        <w:pStyle w:val="ListParagraph"/>
        <w:numPr>
          <w:ilvl w:val="0"/>
          <w:numId w:val="2"/>
        </w:numPr>
        <w:spacing w:after="60"/>
      </w:pPr>
      <w:r>
        <w:t xml:space="preserve">Cada entrega es idempotente (incluye `event_id`); el receptor debe deduplicar.</w:t>
      </w:r>
    </w:p>
    <w:p>
      <w:pPr>
        <w:pStyle w:val="Heading2"/>
      </w:pPr>
      <w:r>
        <w:t xml:space="preserve">8.2 Catálogo de eventos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Dominio</w:t>
            </w:r>
          </w:p>
        </w:tc>
        <w:tc>
          <w:tcPr>
            <w:tcW w:type="dxa" w:w="71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Eventos</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Hato</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animal.created, animal.identified, animal.moved, animal.status_changed, animal.died, animal.sold</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Producción</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animal.weighed, dairy.milking_recorded, dairy.delivery_registered</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Reproducción</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repro.heat_detected, repro.service_registered, repro.pregnancy_diagnosed, repro.calving_registered</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Sanidad</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health.treatment_applied, health.withdrawal_started, health.mortality_registered</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Inventario</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inventory.received, inventory.consumed, inventory.below_reorder, inventory.batch_expiring</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Finanzas</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finance.invoice_issued, finance.payment_recorded, finance.period_closed</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Agricultura</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agri.crop_planted, agri.application_recorded, agri.harvest_registered</w:t>
            </w:r>
          </w:p>
        </w:tc>
      </w:tr>
      <w:tr>
        <w:tc>
          <w:tcPr>
            <w:tcW w:type="dxa" w:w="22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Sistema</w:t>
            </w:r>
          </w:p>
        </w:tc>
        <w:tc>
          <w:tcPr>
            <w:tcW w:type="dxa" w:w="71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sync.completed, alert.raised, report.generated</w:t>
            </w:r>
          </w:p>
        </w:tc>
      </w:tr>
    </w:tbl>
    <w:p>
      <w:pPr>
        <w:spacing w:after="130"/>
      </w:pPr>
    </w:p>
    <w:p>
      <w:pPr>
        <w:pStyle w:val="Heading1"/>
        <w:pageBreakBefore/>
      </w:pPr>
      <w:r>
        <w:t xml:space="preserve">9. Ingesta IoT</w:t>
      </w:r>
    </w:p>
    <w:p>
      <w:pPr>
        <w:spacing w:after="140"/>
      </w:pPr>
      <w:r>
        <w:t xml:space="preserve">Los dispositivos publican telemetría por un canal de alto throughput, separado de la API REST.</w:t>
      </w:r>
    </w:p>
    <w:p>
      <w:pPr>
        <w:pStyle w:val="ListParagraph"/>
        <w:numPr>
          <w:ilvl w:val="0"/>
          <w:numId w:val="2"/>
        </w:numPr>
        <w:spacing w:after="60"/>
      </w:pPr>
      <w:r>
        <w:t xml:space="preserve"/>
      </w:r>
      <w:r>
        <w:rPr>
          <w:b/>
          <w:bCs/>
        </w:rPr>
        <w:t xml:space="preserve">MQTT sobre TLS</w:t>
      </w:r>
      <w:r>
        <w:t xml:space="preserve"> con certificado X.509 por dispositivo; tópicos jerárquicos: `tenants/{tid}/farms/{fid}/devices/{did}/telemetry`.</w:t>
      </w:r>
    </w:p>
    <w:p>
      <w:pPr>
        <w:pStyle w:val="ListParagraph"/>
        <w:numPr>
          <w:ilvl w:val="0"/>
          <w:numId w:val="2"/>
        </w:numPr>
        <w:spacing w:after="60"/>
      </w:pPr>
      <w:r>
        <w:t xml:space="preserve">Payload normalizado (unidades SI, esquema por tipo de sensor); el broker (EMQX) → Kafka → TimescaleDB.</w:t>
      </w:r>
    </w:p>
    <w:p>
      <w:pPr>
        <w:pStyle w:val="ListParagraph"/>
        <w:numPr>
          <w:ilvl w:val="0"/>
          <w:numId w:val="2"/>
        </w:numPr>
        <w:spacing w:after="60"/>
      </w:pPr>
      <w:r>
        <w:t xml:space="preserve"/>
      </w:r>
      <w:r>
        <w:rPr>
          <w:b/>
          <w:bCs/>
        </w:rPr>
        <w:t xml:space="preserve">LoRaWAN</w:t>
      </w:r>
      <w:r>
        <w:t xml:space="preserve"> para sensores de bajo consumo vía gateway; </w:t>
      </w:r>
      <w:r>
        <w:rPr>
          <w:b/>
          <w:bCs/>
        </w:rPr>
        <w:t xml:space="preserve">HTTP batch</w:t>
      </w:r>
      <w:r>
        <w:t xml:space="preserve"> (`POST /iot/readings`) para dispositivos que no hablan MQTT o para el móvil como "mula de datos".</w:t>
      </w:r>
    </w:p>
    <w:p>
      <w:pPr>
        <w:pStyle w:val="ListParagraph"/>
        <w:numPr>
          <w:ilvl w:val="0"/>
          <w:numId w:val="2"/>
        </w:numPr>
        <w:spacing w:after="60"/>
      </w:pPr>
      <w:r>
        <w:t xml:space="preserve">Aprovisionamiento: `POST /devices` registra el dispositivo y emite su certificado; `GET /devices/{id}` su salud (batería, señal, firmware).</w:t>
      </w:r>
    </w:p>
    <w:p>
      <w:pPr>
        <w:pStyle w:val="ListParagraph"/>
        <w:numPr>
          <w:ilvl w:val="0"/>
          <w:numId w:val="2"/>
        </w:numPr>
        <w:spacing w:after="60"/>
      </w:pPr>
      <w:r>
        <w:t xml:space="preserve">Comandos salientes (actuadores, cerca virtual): `POST /devices/{id}/commands`.</w:t>
      </w:r>
    </w:p>
    <w:p>
      <w:pPr>
        <w:pStyle w:val="ListParagraph"/>
        <w:numPr>
          <w:ilvl w:val="0"/>
          <w:numId w:val="2"/>
        </w:numPr>
        <w:spacing w:after="60"/>
      </w:pPr>
      <w:r>
        <w:t xml:space="preserve">Reglas de alerta en streaming (Flink) sobre la ingesta: celo, temperatura de tanque, nivel de agua.</w:t>
      </w:r>
    </w:p>
    <w:p>
      <w:pPr>
        <w:pStyle w:val="Heading1"/>
        <w:pageBreakBefore/>
      </w:pPr>
      <w:r>
        <w:t xml:space="preserve">10. API de IA y copiloto</w:t>
      </w:r>
    </w:p>
    <w:p>
      <w:pPr>
        <w:pStyle w:val="ListParagraph"/>
        <w:numPr>
          <w:ilvl w:val="0"/>
          <w:numId w:val="2"/>
        </w:numPr>
        <w:spacing w:after="60"/>
      </w:pPr>
      <w:r>
        <w:t xml:space="preserve">`POST /ai/ask` — pregunta en lenguaje natural; devuelve respuesta con cifras, citas y confianza (el copiloto: RAG + text-to-SQL + herramientas, con guardas de permisos).</w:t>
      </w:r>
    </w:p>
    <w:p>
      <w:pPr>
        <w:pStyle w:val="ListParagraph"/>
        <w:numPr>
          <w:ilvl w:val="0"/>
          <w:numId w:val="2"/>
        </w:numPr>
        <w:spacing w:after="60"/>
      </w:pPr>
      <w:r>
        <w:t xml:space="preserve">`GET /ai/predictions?entity=animal&amp;id=…` — predicciones vigentes (peso, preñez, riesgo) con confianza y factores (explicabilidad).</w:t>
      </w:r>
    </w:p>
    <w:p>
      <w:pPr>
        <w:pStyle w:val="ListParagraph"/>
        <w:numPr>
          <w:ilvl w:val="0"/>
          <w:numId w:val="2"/>
        </w:numPr>
        <w:spacing w:after="60"/>
      </w:pPr>
      <w:r>
        <w:t xml:space="preserve">`GET /ai/recommendations` — recomendaciones (apareamiento, descarte, dieta) con su nivel de autonomía.</w:t>
      </w:r>
    </w:p>
    <w:p>
      <w:pPr>
        <w:pStyle w:val="ListParagraph"/>
        <w:numPr>
          <w:ilvl w:val="0"/>
          <w:numId w:val="2"/>
        </w:numPr>
        <w:spacing w:after="60"/>
      </w:pPr>
      <w:r>
        <w:t xml:space="preserve">`POST /ai/reports/generate` — generar un reporte narrativo automático para un período/audiencia.</w:t>
      </w:r>
    </w:p>
    <w:p>
      <w:pPr>
        <w:pStyle w:val="ListParagraph"/>
        <w:numPr>
          <w:ilvl w:val="0"/>
          <w:numId w:val="2"/>
        </w:numPr>
        <w:spacing w:after="60"/>
      </w:pPr>
      <w:r>
        <w:t xml:space="preserve">`POST /ai/vision` — analizar una imagen (peso/condición por foto, conteo, biometría).</w:t>
      </w:r>
    </w:p>
    <w:p>
      <w:pPr>
        <w:pStyle w:val="ListParagraph"/>
        <w:numPr>
          <w:ilvl w:val="0"/>
          <w:numId w:val="2"/>
        </w:numPr>
        <w:spacing w:after="60"/>
      </w:pPr>
      <w:r>
        <w:t xml:space="preserve">Todas respetan el tenant y los permisos del actor; las acciones sugeridas requieren confirmación explícita.</w:t>
      </w:r>
    </w:p>
    <w:p>
      <w:pPr>
        <w:pStyle w:val="Heading1"/>
        <w:pageBreakBefore/>
      </w:pPr>
      <w:r>
        <w:t xml:space="preserve">11. Interoperabilidad (estándares abiertos)</w:t>
      </w:r>
    </w:p>
    <w:p>
      <w:pPr>
        <w:pStyle w:val="ListParagraph"/>
        <w:numPr>
          <w:ilvl w:val="0"/>
          <w:numId w:val="2"/>
        </w:numPr>
        <w:spacing w:after="60"/>
      </w:pPr>
      <w:r>
        <w:t xml:space="preserve"/>
      </w:r>
      <w:r>
        <w:rPr>
          <w:b/>
          <w:bCs/>
        </w:rPr>
        <w:t xml:space="preserve">ICAR ADE (Animal Data Exchange):</w:t>
      </w:r>
      <w:r>
        <w:t xml:space="preserve"> import/export del expediente animal y de eventos (control lechero, reproducción) en el estándar JSON de ICAR — `GET /interop/ade/animals/{id}`.</w:t>
      </w:r>
    </w:p>
    <w:p>
      <w:pPr>
        <w:pStyle w:val="ListParagraph"/>
        <w:numPr>
          <w:ilvl w:val="0"/>
          <w:numId w:val="2"/>
        </w:numPr>
        <w:spacing w:after="60"/>
      </w:pPr>
      <w:r>
        <w:t xml:space="preserve"/>
      </w:r>
      <w:r>
        <w:rPr>
          <w:b/>
          <w:bCs/>
        </w:rPr>
        <w:t xml:space="preserve">ISO 11784/11785:</w:t>
      </w:r>
      <w:r>
        <w:t xml:space="preserve"> los identificadores RFID se manejan en el formato de 15 dígitos estándar.</w:t>
      </w:r>
    </w:p>
    <w:p>
      <w:pPr>
        <w:pStyle w:val="ListParagraph"/>
        <w:numPr>
          <w:ilvl w:val="0"/>
          <w:numId w:val="2"/>
        </w:numPr>
        <w:spacing w:after="60"/>
      </w:pPr>
      <w:r>
        <w:t xml:space="preserve"/>
      </w:r>
      <w:r>
        <w:rPr>
          <w:b/>
          <w:bCs/>
        </w:rPr>
        <w:t xml:space="preserve">GS1 EPCIS 2.0:</w:t>
      </w:r>
      <w:r>
        <w:t xml:space="preserve"> los eventos de trazabilidad se exponen en el vocabulario EPCIS para la cadena de suministro y el portal al consumidor.</w:t>
      </w:r>
    </w:p>
    <w:p>
      <w:pPr>
        <w:pStyle w:val="ListParagraph"/>
        <w:numPr>
          <w:ilvl w:val="0"/>
          <w:numId w:val="2"/>
        </w:numPr>
        <w:spacing w:after="60"/>
      </w:pPr>
      <w:r>
        <w:t xml:space="preserve"/>
      </w:r>
      <w:r>
        <w:rPr>
          <w:b/>
          <w:bCs/>
        </w:rPr>
        <w:t xml:space="preserve">Conectores certificados:</w:t>
      </w:r>
      <w:r>
        <w:t xml:space="preserve"> contabilidad (QuickBooks/Xero/SAP B1), básculas (Tru-Test/Gallagher), robots de ordeño, registros de razas, autoridades sanitarias y pasarelas de pago — vía el módulo de Integraciones.</w:t>
      </w:r>
    </w:p>
    <w:p>
      <w:pPr>
        <w:pStyle w:val="Heading1"/>
        <w:pageBreakBefore/>
      </w:pPr>
      <w:r>
        <w:t xml:space="preserve">12. Ciclo de vida de una petición</w:t>
      </w:r>
    </w:p>
    <w:p>
      <w:pPr>
        <w:spacing w:after="140"/>
      </w:pPr>
      <w:r>
        <w:t xml:space="preserve">Toda petición REST atraviesa la misma cadena de política en el gateway y el servicio, garantizando seguridad y consistencia antes de tocar los datos.</w:t>
      </w:r>
    </w:p>
    <w:p>
      <w:pPr>
        <w:pStyle w:val="Heading1"/>
        <w:pageBreakBefore/>
      </w:pPr>
      <w:r>
        <w:t xml:space="preserve">13. Cuotas y límites por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Plan</w:t>
            </w:r>
          </w:p>
        </w:tc>
        <w:tc>
          <w:tcPr>
            <w:tcW w:type="dxa" w:w="30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Rate limit</w:t>
            </w:r>
          </w:p>
        </w:tc>
        <w:tc>
          <w:tcPr>
            <w:tcW w:type="dxa" w:w="42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8"/>
                <w:szCs w:val="18"/>
              </w:rPr>
              <w:t xml:space="preserve">Notas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Free</w:t>
            </w:r>
          </w:p>
        </w:tc>
        <w:tc>
          <w:tcPr>
            <w:tcW w:type="dxa" w:w="3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60 req/min</w:t>
            </w:r>
          </w:p>
        </w:tc>
        <w:tc>
          <w:tcPr>
            <w:tcW w:type="dxa" w:w="42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Sandbox y uso personal; sin webhooks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Starter</w:t>
            </w:r>
          </w:p>
        </w:tc>
        <w:tc>
          <w:tcPr>
            <w:tcW w:type="dxa" w:w="3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300 req/min</w:t>
            </w:r>
          </w:p>
        </w:tc>
        <w:tc>
          <w:tcPr>
            <w:tcW w:type="dxa" w:w="42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Webhooks básicos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Pro</w:t>
            </w:r>
          </w:p>
        </w:tc>
        <w:tc>
          <w:tcPr>
            <w:tcW w:type="dxa" w:w="3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1.200 req/min</w:t>
            </w:r>
          </w:p>
        </w:tc>
        <w:tc>
          <w:tcPr>
            <w:tcW w:type="dxa" w:w="42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Webhooks + expansiones + reportes programados</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Enterprise</w:t>
            </w:r>
          </w:p>
        </w:tc>
        <w:tc>
          <w:tcPr>
            <w:tcW w:type="dxa" w:w="3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Personalizado</w:t>
            </w:r>
          </w:p>
        </w:tc>
        <w:tc>
          <w:tcPr>
            <w:tcW w:type="dxa" w:w="42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Suscripción Kafka, SLA, residencia de datos, claves CMK</w:t>
            </w:r>
          </w:p>
        </w:tc>
      </w:tr>
    </w:tbl>
    <w:p>
      <w:pPr>
        <w:spacing w:after="130"/>
      </w:pPr>
    </w:p>
    <w:p>
      <w:pPr>
        <w:spacing w:after="140"/>
      </w:pPr>
      <w:r>
        <w:t xml:space="preserve">Los límites se aplican por token y por tenant; las cabeceras `RateLimit-*` informan el estado. La ingesta IoT y la sincronización tienen límites propios dimensionados por dispositivo, no por el rate limit REST.</w:t>
      </w:r>
    </w:p>
    <w:p>
      <w:pPr>
        <w:pStyle w:val="Heading1"/>
        <w:pageBreakBefore/>
      </w:pPr>
      <w:r>
        <w:t xml:space="preserve">14. SDKs, sandbox y documentación</w:t>
      </w:r>
    </w:p>
    <w:p>
      <w:pPr>
        <w:pStyle w:val="ListParagraph"/>
        <w:numPr>
          <w:ilvl w:val="0"/>
          <w:numId w:val="2"/>
        </w:numPr>
        <w:spacing w:after="60"/>
      </w:pPr>
      <w:r>
        <w:t xml:space="preserve"/>
      </w:r>
      <w:r>
        <w:rPr>
          <w:b/>
          <w:bCs/>
        </w:rPr>
        <w:t xml:space="preserve">SDKs autogenerados</w:t>
      </w:r>
      <w:r>
        <w:t xml:space="preserve"> desde el OpenAPI: TypeScript/JavaScript, Python, Kotlin, Swift y Go — publicados en cada release.</w:t>
      </w:r>
    </w:p>
    <w:p>
      <w:pPr>
        <w:pStyle w:val="ListParagraph"/>
        <w:numPr>
          <w:ilvl w:val="0"/>
          <w:numId w:val="2"/>
        </w:numPr>
        <w:spacing w:after="60"/>
      </w:pPr>
      <w:r>
        <w:t xml:space="preserve"/>
      </w:r>
      <w:r>
        <w:rPr>
          <w:b/>
          <w:bCs/>
        </w:rPr>
        <w:t xml:space="preserve">Sandbox</w:t>
      </w:r>
      <w:r>
        <w:t xml:space="preserve"> con una finca demo de datos sintéticos: `https://sandbox.api.cowinance.com` con claves de prueba.</w:t>
      </w:r>
    </w:p>
    <w:p>
      <w:pPr>
        <w:pStyle w:val="ListParagraph"/>
        <w:numPr>
          <w:ilvl w:val="0"/>
          <w:numId w:val="2"/>
        </w:numPr>
        <w:spacing w:after="60"/>
      </w:pPr>
      <w:r>
        <w:t xml:space="preserve"/>
      </w:r>
      <w:r>
        <w:rPr>
          <w:b/>
          <w:bCs/>
        </w:rPr>
        <w:t xml:space="preserve">Documentación interactiva</w:t>
      </w:r>
      <w:r>
        <w:t xml:space="preserve"> (OpenAPI/Swagger + guías) con ejemplos ejecutables y explorador de endpoints.</w:t>
      </w:r>
    </w:p>
    <w:p>
      <w:pPr>
        <w:pStyle w:val="ListParagraph"/>
        <w:numPr>
          <w:ilvl w:val="0"/>
          <w:numId w:val="2"/>
        </w:numPr>
        <w:spacing w:after="60"/>
      </w:pPr>
      <w:r>
        <w:t xml:space="preserve"/>
      </w:r>
      <w:r>
        <w:rPr>
          <w:b/>
          <w:bCs/>
        </w:rPr>
        <w:t xml:space="preserve">Colección Postman/Bruno</w:t>
      </w:r>
      <w:r>
        <w:t xml:space="preserve"> oficial y ejemplos de webhooks e integración de básculas.</w:t>
      </w:r>
    </w:p>
    <w:p>
      <w:pPr>
        <w:pStyle w:val="ListParagraph"/>
        <w:numPr>
          <w:ilvl w:val="0"/>
          <w:numId w:val="2"/>
        </w:numPr>
        <w:spacing w:after="60"/>
      </w:pPr>
      <w:r>
        <w:t xml:space="preserve"/>
      </w:r>
      <w:r>
        <w:rPr>
          <w:b/>
          <w:bCs/>
        </w:rPr>
        <w:t xml:space="preserve">Changelog y estado</w:t>
      </w:r>
      <w:r>
        <w:t xml:space="preserve"> (status page) con avisos de deprecación (`Sunset`).</w:t>
      </w:r>
    </w:p>
    <w:p>
      <w:pPr>
        <w:pStyle w:val="Heading1"/>
        <w:pageBreakBefore/>
      </w:pPr>
      <w:r>
        <w:t xml:space="preserve">15. Ejemplos</w:t>
      </w:r>
    </w:p>
    <w:p>
      <w:pPr>
        <w:pStyle w:val="Heading2"/>
      </w:pPr>
      <w:r>
        <w:t xml:space="preserve">15.1 Registrar un pesaje (idempotente)</w:t>
      </w:r>
    </w:p>
    <w:p>
      <w:pPr>
        <w:pStyle w:val="ListParagraph"/>
        <w:numPr>
          <w:ilvl w:val="0"/>
          <w:numId w:val="2"/>
        </w:numPr>
        <w:spacing w:after="60"/>
      </w:pPr>
      <w:r>
        <w:t xml:space="preserve">`POST /v1/animals/AR-472/events` con `Idempotency-Key: 9f2c…`</w:t>
      </w:r>
    </w:p>
    <w:p>
      <w:pPr>
        <w:pStyle w:val="ListParagraph"/>
        <w:numPr>
          <w:ilvl w:val="0"/>
          <w:numId w:val="2"/>
        </w:numPr>
        <w:spacing w:after="60"/>
      </w:pPr>
      <w:r>
        <w:t xml:space="preserve">Cuerpo: `{ "type":"weighing", "occurred_at":"2026-07-02T10:20:00Z", "weight_kg":412, "method":"scale", "device_id":"scale-01" }`</w:t>
      </w:r>
    </w:p>
    <w:p>
      <w:pPr>
        <w:pStyle w:val="ListParagraph"/>
        <w:numPr>
          <w:ilvl w:val="0"/>
          <w:numId w:val="2"/>
        </w:numPr>
        <w:spacing w:after="60"/>
      </w:pPr>
      <w:r>
        <w:t xml:space="preserve">Respuesta 201: `{ "id":"evt_…", "animal_id":"AR-472", "recorded_at":"…", "adg_since_last":0.92 }`</w:t>
      </w:r>
    </w:p>
    <w:p>
      <w:pPr>
        <w:pStyle w:val="ListParagraph"/>
        <w:numPr>
          <w:ilvl w:val="0"/>
          <w:numId w:val="2"/>
        </w:numPr>
        <w:spacing w:after="60"/>
      </w:pPr>
      <w:r>
        <w:t xml:space="preserve">Un reintegro con la misma Idempotency-Key devuelve el mismo evento (no duplica).</w:t>
      </w:r>
    </w:p>
    <w:p>
      <w:pPr>
        <w:pStyle w:val="Heading2"/>
      </w:pPr>
      <w:r>
        <w:t xml:space="preserve">15.2 Error de regla de negocio (422)</w:t>
      </w:r>
    </w:p>
    <w:p>
      <w:pPr>
        <w:pStyle w:val="ListParagraph"/>
        <w:numPr>
          <w:ilvl w:val="0"/>
          <w:numId w:val="2"/>
        </w:numPr>
        <w:spacing w:after="60"/>
      </w:pPr>
      <w:r>
        <w:t xml:space="preserve">`POST /v1/sales` incluyendo un animal en retiro devuelve:</w:t>
      </w:r>
    </w:p>
    <w:p>
      <w:pPr>
        <w:pStyle w:val="ListParagraph"/>
        <w:numPr>
          <w:ilvl w:val="0"/>
          <w:numId w:val="2"/>
        </w:numPr>
        <w:spacing w:after="60"/>
      </w:pPr>
      <w:r>
        <w:t xml:space="preserve">`{ "type":"…/errors/withdrawal-active", "title":"Animal en período de retiro", "status":422, "code":"animal.withdrawal_active", "detail":"AR-472 no puede venderse a faena hasta 2026-07-05" }`</w:t>
      </w:r>
    </w:p>
    <w:p>
      <w:pPr>
        <w:pStyle w:val="Heading2"/>
      </w:pPr>
      <w:r>
        <w:t xml:space="preserve">15.3 Suscripción a un webhook</w:t>
      </w:r>
    </w:p>
    <w:p>
      <w:pPr>
        <w:pStyle w:val="ListParagraph"/>
        <w:numPr>
          <w:ilvl w:val="0"/>
          <w:numId w:val="2"/>
        </w:numPr>
        <w:spacing w:after="60"/>
      </w:pPr>
      <w:r>
        <w:t xml:space="preserve">`POST /v1/webhooks` con `{ "url":"https://mi-erp.com/hook", "events":["animal.sold","finance.invoice_issued"], "secret":"whsec_…" }`</w:t>
      </w:r>
    </w:p>
    <w:p>
      <w:pPr>
        <w:pStyle w:val="ListParagraph"/>
        <w:numPr>
          <w:ilvl w:val="0"/>
          <w:numId w:val="2"/>
        </w:numPr>
        <w:spacing w:after="60"/>
      </w:pPr>
      <w:r>
        <w:t xml:space="preserve">Cada entrega llega firmada; se verifica `Cowinance-Signature` con el secret antes de procesar.</w:t>
      </w:r>
    </w:p>
    <w:p>
      <w:pPr>
        <w:pStyle w:val="Heading1"/>
        <w:pageBreakBefore/>
      </w:pPr>
      <w:r>
        <w:t xml:space="preserve">16. Resumen</w:t>
      </w:r>
    </w:p>
    <w:p>
      <w:pPr>
        <w:spacing w:after="140"/>
      </w:pPr>
      <w:r>
        <w:t xml:space="preserve">La API de Cowinance es la plataforma misma: seis superficies coordinadas —BFF GraphQL para las apps, REST pública v1 para integradores, sincronización binaria para el offline, webhooks/Kafka para eventos, MQTT/LoRaWAN para IoT, e interoperabilidad ICAR ADE/ISO/EPCIS— todas detrás de un gateway que impone autenticación (OAuth 2.1/API keys con scopes), autorización de dos capas (RBAC+ABAC) y aislamiento multi-tenant. Bajo convenciones uniformes (versionado por URL, paginación por cursor, errores RFC 9457, idempotencia, triple marca temporal y rate limiting por plan), expone el catálogo completo de recursos de los 40 módulos, con SDKs autogenerados, sandbox y documentación interactiva. Diseñada contrato-primero y con estándares abiertos, para que las apps propias y todo el ecosistema construyan sobre la misma base, sin encerrar jamás los datos del productor.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Diseño de las APIs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6B54"/>
      <w:sz w:val="23"/>
      <w:szCs w:val="23"/>
    </w:rPr>
  </w:style>
  <w:style w:type="paragraph" w:styleId="Heading3">
    <w:name w:val="Heading 3"/>
    <w:basedOn w:val="Normal"/>
    <w:next w:val="Normal"/>
    <w:qFormat/>
    <w:pPr>
      <w:spacing w:after="80" w:before="15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2026-07-03T21:15:46.576Z</dcterms:created>
  <dcterms:modified xsi:type="dcterms:W3CDTF">2026-07-03T21:15:46.576Z</dcterms:modified>
</cp:coreProperties>
</file>

<file path=docProps/custom.xml><?xml version="1.0" encoding="utf-8"?>
<Properties xmlns="http://schemas.openxmlformats.org/officeDocument/2006/custom-properties" xmlns:vt="http://schemas.openxmlformats.org/officeDocument/2006/docPropsVTypes"/>
</file>