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r>
        <w:rPr>
          <w:b/>
          <w:bCs/>
          <w:color w:val="1F4E3D"/>
          <w:sz w:val="88"/>
          <w:szCs w:val="88"/>
        </w:rPr>
        <w:t xml:space="preserve">COWINANCE</w:t>
      </w:r>
    </w:p>
    <w:p>
      <w:pPr>
        <w:spacing w:before="200"/>
        <w:jc w:val="center"/>
      </w:pPr>
      <w:r>
        <w:rPr>
          <w:color w:val="444444"/>
          <w:sz w:val="32"/>
          <w:szCs w:val="32"/>
        </w:rPr>
        <w:t xml:space="preserve">Plataforma ERP Global para Ganadería, Agricultura y Administración de Fincas</w:t>
      </w:r>
    </w:p>
    <w:p>
      <w:pPr>
        <w:pBdr>
          <w:bottom w:val="single" w:color="1F4E3D" w:sz="8" w:space="1"/>
        </w:pBdr>
        <w:spacing w:before="600"/>
        <w:jc w:val="center"/>
      </w:pPr>
    </w:p>
    <w:p>
      <w:pPr>
        <w:spacing w:before="400"/>
        <w:jc w:val="center"/>
      </w:pPr>
      <w:r>
        <w:rPr>
          <w:b/>
          <w:bCs/>
          <w:sz w:val="26"/>
          <w:szCs w:val="26"/>
        </w:rPr>
        <w:t xml:space="preserve">Documento de Arquitectura de Software — Nivel Empresarial</w:t>
      </w:r>
    </w:p>
    <w:p>
      <w:pPr>
        <w:spacing w:before="200"/>
        <w:jc w:val="center"/>
      </w:pPr>
      <w:r>
        <w:rPr>
          <w:color w:val="888888"/>
          <w:sz w:val="22"/>
          <w:szCs w:val="22"/>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Resumen ejecutivo y visión del producto</w:t>
      </w:r>
    </w:p>
    <w:p>
      <w:pPr>
        <w:spacing w:after="160"/>
      </w:pPr>
      <w:r>
        <w:t xml:space="preserve"/>
      </w:r>
      <w:r>
        <w:rPr>
          <w:b/>
          <w:bCs/>
        </w:rPr>
        <w:t xml:space="preserve">Cowinance</w:t>
      </w:r>
      <w:r>
        <w:t xml:space="preserve"> es una plataforma ERP nativa en la nube, offline-first y multiempresa para la gestión integral de operaciones ganaderas, agrícolas y de administración de fincas, diseñada desde el día uno para operar a escala global: multi-idioma, multi-moneda, multi-normativa y multi-región. Su objetivo es superar funcional y técnicamente a las plataformas líderes del mercado (Control Ganadero, CattleMax, AgriWebb, HerdBoss, DairyComp, Farmbrite) mediante tres ventajas estructurales: una arquitectura de datos unificada que integra ganadería, agricultura y finanzas en un solo modelo; sincronización offline de nivel industrial pensada para conectividad rural intermitente; y una plataforma de datos preparada para IA, IoT, drones y trazabilidad blockchain sin rediseños futuros.</w:t>
      </w:r>
    </w:p>
    <w:p>
      <w:pPr>
        <w:spacing w:after="160"/>
      </w:pPr>
      <w:r>
        <w:t xml:space="preserve">Este documento define la arquitectura completa del sistema antes de escribir una sola línea de código. Cubre la arquitectura general, backend, frontend, base de datos, APIs, seguridad, escalabilidad, multiempresa, operación offline, sincronización, infraestructura cloud y las integraciones futuras con IA, IoT, drones y blockchain. Está pensado para una plataforma utilizada por millones de productores en todo el mundo.</w:t>
      </w:r>
    </w:p>
    <w:p>
      <w:pPr>
        <w:pStyle w:val="Heading2"/>
      </w:pPr>
      <w:r>
        <w:t xml:space="preserve">1.1 Alcance funcional (dominios del ERP)</w:t>
      </w:r>
    </w:p>
    <w:p>
      <w:pPr>
        <w:pStyle w:val="ListParagraph"/>
        <w:numPr>
          <w:ilvl w:val="0"/>
          <w:numId w:val="2"/>
        </w:numPr>
        <w:spacing w:after="80"/>
      </w:pPr>
      <w:r>
        <w:t xml:space="preserve"/>
      </w:r>
      <w:r>
        <w:rPr>
          <w:b/>
          <w:bCs/>
        </w:rPr>
        <w:t xml:space="preserve">Ganadería:</w:t>
      </w:r>
      <w:r>
        <w:t xml:space="preserve"> inventario animal individual y por lotes, genealogía y genética, reproducción (celos, servicios, IA/TE, palpaciones, partos), sanidad (vacunas, tratamientos, retiros), pesajes y ganancia de peso, producción láctea, alimentación y raciones, corrales y movimientos.</w:t>
      </w:r>
    </w:p>
    <w:p>
      <w:pPr>
        <w:pStyle w:val="ListParagraph"/>
        <w:numPr>
          <w:ilvl w:val="0"/>
          <w:numId w:val="2"/>
        </w:numPr>
        <w:spacing w:after="80"/>
      </w:pPr>
      <w:r>
        <w:t xml:space="preserve"/>
      </w:r>
      <w:r>
        <w:rPr>
          <w:b/>
          <w:bCs/>
        </w:rPr>
        <w:t xml:space="preserve">Agricultura:</w:t>
      </w:r>
      <w:r>
        <w:t xml:space="preserve"> parcelas y mapeo georreferenciado, cultivos y ciclos, pasturas y aforos, rotación de potreros, insumos y aplicaciones, riego, cosecha y rendimientos.</w:t>
      </w:r>
    </w:p>
    <w:p>
      <w:pPr>
        <w:pStyle w:val="ListParagraph"/>
        <w:numPr>
          <w:ilvl w:val="0"/>
          <w:numId w:val="2"/>
        </w:numPr>
        <w:spacing w:after="80"/>
      </w:pPr>
      <w:r>
        <w:t xml:space="preserve"/>
      </w:r>
      <w:r>
        <w:rPr>
          <w:b/>
          <w:bCs/>
        </w:rPr>
        <w:t xml:space="preserve">Administración de fincas:</w:t>
      </w:r>
      <w:r>
        <w:t xml:space="preserve"> finanzas (ingresos, gastos, centros de costo, presupuestos, flujo de caja), inventario de insumos y maquinaria, mantenimiento de activos, recursos humanos y jornales, compras y ventas, contratos, reportería gerencial.</w:t>
      </w:r>
    </w:p>
    <w:p>
      <w:pPr>
        <w:pStyle w:val="ListParagraph"/>
        <w:numPr>
          <w:ilvl w:val="0"/>
          <w:numId w:val="2"/>
        </w:numPr>
        <w:spacing w:after="80"/>
      </w:pPr>
      <w:r>
        <w:t xml:space="preserve"/>
      </w:r>
      <w:r>
        <w:rPr>
          <w:b/>
          <w:bCs/>
        </w:rPr>
        <w:t xml:space="preserve">Comercialización y trazabilidad:</w:t>
      </w:r>
      <w:r>
        <w:t xml:space="preserve"> ventas de animales y productos, integración con subastas y frigoríficos, cumplimiento normativo (SINIIGA, ICA, SENASA, NLIS, USDA-ADT, UE 2016/429) y trazabilidad de la granja al consumidor.</w:t>
      </w:r>
    </w:p>
    <w:p>
      <w:pPr>
        <w:pStyle w:val="Heading2"/>
      </w:pPr>
      <w:r>
        <w:t xml:space="preserve">1.2 Metas no funcionales (SLOs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Atributo</w:t>
            </w:r>
          </w:p>
        </w:tc>
        <w:tc>
          <w:tcPr>
            <w:tcW w:type="dxa" w:w="63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Objetivo de diseño</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Escala</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10M+ usuarios registrados, 500M+ animales activos, 1M+ empresas (tenants), 100k+ eventos IoT/segundo en pico</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Disponibilidad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99.95% para APIs core (≈4.4 h/año de indisponibilidad); 99.99% para el plano de sincronización</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Latencia</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p95 &lt; 200 ms en lecturas API; p95 &lt; 500 ms en escrituras; sincronización delta &lt; 5 s en conexiones 3G</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Offline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100% de las operaciones de campo disponibles sin conexión durante 90+ días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RPO / RTO</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RPO ≤ 5 minutos, RTO ≤ 1 hora ante desastre regional</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Seguridad</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SOC 2 Type II, ISO 27001, GDPR/LGPD; cifrado extremo a extremo en tránsito y reposo</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Internacionalización</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 idiomas, 150+ monedas, calendarios y unidades (kg/lb, ha/acre) por tenant</w:t>
            </w:r>
          </w:p>
        </w:tc>
      </w:tr>
    </w:tbl>
    <w:p>
      <w:pPr>
        <w:spacing w:after="160"/>
      </w:pPr>
    </w:p>
    <w:p>
      <w:pPr>
        <w:pStyle w:val="Heading1"/>
        <w:pageBreakBefore/>
      </w:pPr>
      <w:r>
        <w:t xml:space="preserve">2. Análisis competitivo y posicionamiento técnico</w:t>
      </w:r>
    </w:p>
    <w:p>
      <w:pPr>
        <w:spacing w:after="160"/>
      </w:pPr>
      <w:r>
        <w:t xml:space="preserve">El análisis de los competidores revela fortalezas parciales que Cowinance debe absorber y superar en una sola plataforma: CattleMax domina el registro genealógico y pedigrí; AgriWebb destaca en mapeo de fincas, operación móvil offline y cumplimiento (NLIS); DairyComp es el estándar en analítica lechera de precisión; Farmbrite integra cultivos, CRM y contabilidad ligera; Control Ganadero gana en simplicidad y adopción móvil en Latinoamérica. Ninguno ofrece simultáneamente: ERP financiero completo, plataforma multiempresa real (grupos empresariales con consolidación), arquitectura de datos abierta bajo estándares ICAR ADE, y una capa nativa de IA/IoT.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Capacidad</w:t>
            </w:r>
          </w:p>
        </w:tc>
        <w:tc>
          <w:tcPr>
            <w:tcW w:type="dxa" w:w="33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Competidores</w:t>
            </w:r>
          </w:p>
        </w:tc>
        <w:tc>
          <w:tcPr>
            <w:tcW w:type="dxa" w:w="36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Cowinance (diferencial)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Registro animal y pedigrí</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CattleMax (fuerte), resto medio</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Pedigrí multi-generación + genómica + estándar ICAR ADE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Offline móvil</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AgriWebb (bueno), resto limitado</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Offline-first total con CRDTs y sync bidireccional de 90+ días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ERP financiero</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Farmbrite (básico), resto casi nulo</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Contabilidad multi-moneda, centros de costo, consolidación multiempresa</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Multiempresa/grupos</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Prácticamente inexistente</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Jerarquía organización → empresa → finca → lote con consolidación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IA aplicada</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Incipiente en todos</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Predicción de peso, detección de celo/enfermedad, visión por computador, copiloto conversacional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IoT nativo</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Integraciones puntuales (básculas, RFID)</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Plataforma de ingesta MQTT/LoRaWAN a escala, básculas, collares, sensores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Trazabilidad regulatoria</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Por país (NLIS en AgriWebb)</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Motor multi-normativa configurable + anclaje blockchain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 abierta</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Limitada o cerrada</w:t>
            </w:r>
          </w:p>
        </w:tc>
        <w:tc>
          <w:tcPr>
            <w:tcW w:type="dxa" w:w="3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 pública REST/GraphQL + webhooks + marketplace de integraciones</w:t>
            </w:r>
          </w:p>
        </w:tc>
      </w:tr>
    </w:tbl>
    <w:p>
      <w:pPr>
        <w:spacing w:after="160"/>
      </w:pPr>
    </w:p>
    <w:p>
      <w:pPr>
        <w:spacing w:after="160"/>
      </w:pPr>
      <w:r>
        <w:t xml:space="preserve">Estrategia de plataforma: Cowinance no compite como "app de registros" sino como </w:t>
      </w:r>
      <w:r>
        <w:rPr>
          <w:b/>
          <w:bCs/>
        </w:rPr>
        <w:t xml:space="preserve">sistema operativo de la finca</w:t>
      </w:r>
      <w:r>
        <w:t xml:space="preserve">: el modelo de datos unificado (animal ↔ potrero ↔ insumo ↔ transacción financiera) permite responder preguntas que ningún competidor puede responder hoy, como el costo real por kilogramo producido por animal, por potrero y por empresa del grupo.</w:t>
      </w:r>
    </w:p>
    <w:p>
      <w:pPr>
        <w:pStyle w:val="Heading1"/>
        <w:pageBreakBefore/>
      </w:pPr>
      <w:r>
        <w:t xml:space="preserve">3. Principios y decisiones de arquitectura</w:t>
      </w:r>
    </w:p>
    <w:p>
      <w:pPr>
        <w:pStyle w:val="Heading2"/>
      </w:pPr>
      <w:r>
        <w:t xml:space="preserve">3.1 Principios rectores</w:t>
      </w:r>
    </w:p>
    <w:p>
      <w:pPr>
        <w:pStyle w:val="ListParagraph"/>
        <w:numPr>
          <w:ilvl w:val="0"/>
          <w:numId w:val="3"/>
        </w:numPr>
        <w:spacing w:after="80"/>
      </w:pPr>
      <w:r>
        <w:t xml:space="preserve"/>
      </w:r>
      <w:r>
        <w:rPr>
          <w:b/>
          <w:bCs/>
        </w:rPr>
        <w:t xml:space="preserve">Offline-first, no offline-también.</w:t>
      </w:r>
      <w:r>
        <w:t xml:space="preserve"> El cliente móvil es la fuente primaria de captura; la nube es el punto de convergencia. Toda funcionalidad de campo debe operar sin red.</w:t>
      </w:r>
    </w:p>
    <w:p>
      <w:pPr>
        <w:pStyle w:val="ListParagraph"/>
        <w:numPr>
          <w:ilvl w:val="0"/>
          <w:numId w:val="3"/>
        </w:numPr>
        <w:spacing w:after="80"/>
      </w:pPr>
      <w:r>
        <w:t xml:space="preserve"/>
      </w:r>
      <w:r>
        <w:rPr>
          <w:b/>
          <w:bCs/>
        </w:rPr>
        <w:t xml:space="preserve">Event-driven como columna vertebral.</w:t>
      </w:r>
      <w:r>
        <w:t xml:space="preserve"> Cada hecho del dominio (nacimiento, pesaje, tratamiento, venta) es un evento inmutable. El estado es una proyección de los eventos, lo que habilita auditoría total, trazabilidad y reprocesamiento para IA.</w:t>
      </w:r>
    </w:p>
    <w:p>
      <w:pPr>
        <w:pStyle w:val="ListParagraph"/>
        <w:numPr>
          <w:ilvl w:val="0"/>
          <w:numId w:val="3"/>
        </w:numPr>
        <w:spacing w:after="80"/>
      </w:pPr>
      <w:r>
        <w:t xml:space="preserve"/>
      </w:r>
      <w:r>
        <w:rPr>
          <w:b/>
          <w:bCs/>
        </w:rPr>
        <w:t xml:space="preserve">Multi-tenant desde el núcleo.</w:t>
      </w:r>
      <w:r>
        <w:t xml:space="preserve"> El aislamiento por tenant no es una capa añadida: está en el modelo de datos, en la autorización, en el cifrado y en la facturación.</w:t>
      </w:r>
    </w:p>
    <w:p>
      <w:pPr>
        <w:pStyle w:val="ListParagraph"/>
        <w:numPr>
          <w:ilvl w:val="0"/>
          <w:numId w:val="3"/>
        </w:numPr>
        <w:spacing w:after="80"/>
      </w:pPr>
      <w:r>
        <w:t xml:space="preserve"/>
      </w:r>
      <w:r>
        <w:rPr>
          <w:b/>
          <w:bCs/>
        </w:rPr>
        <w:t xml:space="preserve">API-first y estándares abiertos.</w:t>
      </w:r>
      <w:r>
        <w:t xml:space="preserve"> Toda capacidad se expone primero como API contractual (OpenAPI/GraphQL SDL). Adopción de ICAR ADE (Animal Data Exchange) e ISO 11784/11785 para interoperabilidad.</w:t>
      </w:r>
    </w:p>
    <w:p>
      <w:pPr>
        <w:pStyle w:val="ListParagraph"/>
        <w:numPr>
          <w:ilvl w:val="0"/>
          <w:numId w:val="3"/>
        </w:numPr>
        <w:spacing w:after="80"/>
      </w:pPr>
      <w:r>
        <w:t xml:space="preserve"/>
      </w:r>
      <w:r>
        <w:rPr>
          <w:b/>
          <w:bCs/>
        </w:rPr>
        <w:t xml:space="preserve">Domain-Driven Design.</w:t>
      </w:r>
      <w:r>
        <w:t xml:space="preserve"> Los límites de los microservicios siguen bounded contexts del negocio ganadero, no capas técnicas.</w:t>
      </w:r>
    </w:p>
    <w:p>
      <w:pPr>
        <w:pStyle w:val="ListParagraph"/>
        <w:numPr>
          <w:ilvl w:val="0"/>
          <w:numId w:val="3"/>
        </w:numPr>
        <w:spacing w:after="80"/>
      </w:pPr>
      <w:r>
        <w:t xml:space="preserve"/>
      </w:r>
      <w:r>
        <w:rPr>
          <w:b/>
          <w:bCs/>
        </w:rPr>
        <w:t xml:space="preserve">Evolución sin big-bang.</w:t>
      </w:r>
      <w:r>
        <w:t xml:space="preserve"> Monolito modular bien particionado en la fase 1, extracción a microservicios cuando la escala lo exija; los contratos de eventos y APIs se definen desde el día uno para que la extracción sea mecánica.</w:t>
      </w:r>
    </w:p>
    <w:p>
      <w:pPr>
        <w:pStyle w:val="ListParagraph"/>
        <w:numPr>
          <w:ilvl w:val="0"/>
          <w:numId w:val="3"/>
        </w:numPr>
        <w:spacing w:after="80"/>
      </w:pPr>
      <w:r>
        <w:t xml:space="preserve"/>
      </w:r>
      <w:r>
        <w:rPr>
          <w:b/>
          <w:bCs/>
        </w:rPr>
        <w:t xml:space="preserve">Datos como producto.</w:t>
      </w:r>
      <w:r>
        <w:t xml:space="preserve"> Cada dominio publica datasets versionados y documentados hacia el lakehouse, consumibles por analítica e IA sin acoplarse a las bases operacionales.</w:t>
      </w:r>
    </w:p>
    <w:p>
      <w:pPr>
        <w:pStyle w:val="ListParagraph"/>
        <w:numPr>
          <w:ilvl w:val="0"/>
          <w:numId w:val="3"/>
        </w:numPr>
        <w:spacing w:after="80"/>
      </w:pPr>
      <w:r>
        <w:t xml:space="preserve"/>
      </w:r>
      <w:r>
        <w:rPr>
          <w:b/>
          <w:bCs/>
        </w:rPr>
        <w:t xml:space="preserve">Seguridad y privacidad por diseño.</w:t>
      </w:r>
      <w:r>
        <w:t xml:space="preserve"> Mínimo privilegio, cifrado por defecto, datos del productor propiedad del productor.</w:t>
      </w:r>
    </w:p>
    <w:p>
      <w:pPr>
        <w:pStyle w:val="Heading2"/>
      </w:pPr>
      <w:r>
        <w:t xml:space="preserve">3.2 Decisiones tecnológicas clave (con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Área</w:t>
            </w:r>
          </w:p>
        </w:tc>
        <w:tc>
          <w:tcPr>
            <w:tcW w:type="dxa" w:w="27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Elección</w:t>
            </w:r>
          </w:p>
        </w:tc>
        <w:tc>
          <w:tcPr>
            <w:tcW w:type="dxa" w:w="47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Justificación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Backend</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TypeScript + NestJS (servicios de dominio); Go (servicios de alto throughput: sync, ingesta IoT)</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Un solo lenguaje dominante (TS) compartido con frontend acelera al equipo; Go donde el rendimiento por conexión importa (100k+ eventos/s)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 de datos operacional</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PostgreSQL 17 (Aurora/Cloud SQL) + extensión PostGIS + TimescaleDB</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ACID, RLS nativo para multi-tenant, geoespacial para mapeo de fincas, hypertables para series de tiempo (pesajes, sensores)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Mensajería</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Apache Kafka (MSK) + outbox pattern</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Log de eventos duradero y reproducible, base del event sourcing y de la capa de datos para IA</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Cache / colas ligeras</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Redis (ElastiCache)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Sesiones, rate-limiting, colas de trabajo, locks distribuidos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Búsqueda</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OpenSearch</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Búsqueda full-text de animales, insumos y documentos; facetas para catálogos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Analítica</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Lakehouse: S3 + Iceberg + ClickHouse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Reportería pesada y features de IA sin degradar OLTP</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Frontend web</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React 19 + Next.js + TanStack Query</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SSR para rendimiento y SEO del portal, ecosistema maduro, talento disponible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Móvil</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React Native (Expo) + WatermelonDB/SQLite</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Código compartido con web, base de datos local reactiva probada para offline masivo</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Orquestación</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Kubernetes (EKS) + Karpenter</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Portabilidad multi-cloud, autoscaling por demanda regional</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Cloud primario</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AWS multi-región (us-east-1, sa-east-1, ap-southeast-2, eu-west-1)</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Cobertura en los 4 mercados ganaderos clave: Norteamérica, Latinoamérica, Oceanía, Europa</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IaC / CI-CD</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Terraform + GitHub Actions + ArgoCD (GitOps)</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Infraestructura reproducible y despliegue continuo auditable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Observabilidad</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OpenTelemetry + Prometheus + Grafana + Loki/Tempo</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Estándar abierto, sin lock-in de vendor de APM</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Identidad</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OIDC/OAuth 2.1 (Keycloak gestionado o Auth0)</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SSO empresarial (SAML), MFA, federación para grupos ganaderos</w:t>
            </w:r>
          </w:p>
        </w:tc>
      </w:tr>
    </w:tbl>
    <w:p>
      <w:pPr>
        <w:spacing w:after="160"/>
      </w:pPr>
    </w:p>
    <w:p>
      <w:pPr>
        <w:pStyle w:val="Heading1"/>
        <w:pageBreakBefore/>
      </w:pPr>
      <w:r>
        <w:t xml:space="preserve">4. Arquitectura general del sistema</w:t>
      </w:r>
    </w:p>
    <w:p>
      <w:pPr>
        <w:pStyle w:val="Heading2"/>
      </w:pPr>
      <w:r>
        <w:t xml:space="preserve">4.1 Vista macro (C4 — nivel contexto y contenedores)</w:t>
      </w:r>
    </w:p>
    <w:p>
      <w:pPr>
        <w:spacing w:after="160"/>
      </w:pPr>
      <w:r>
        <w:t xml:space="preserve">La plataforma se organiza en </w:t>
      </w:r>
      <w:r>
        <w:rPr>
          <w:b/>
          <w:bCs/>
        </w:rPr>
        <w:t xml:space="preserve">seis planos</w:t>
      </w:r>
      <w:r>
        <w:t xml:space="preserve"> que separan responsabilidades y perfiles de escala:</w:t>
      </w:r>
    </w:p>
    <w:p>
      <w:pPr>
        <w:pStyle w:val="ListParagraph"/>
        <w:numPr>
          <w:ilvl w:val="0"/>
          <w:numId w:val="4"/>
        </w:numPr>
        <w:spacing w:after="80"/>
      </w:pPr>
      <w:r>
        <w:t xml:space="preserve"/>
      </w:r>
      <w:r>
        <w:rPr>
          <w:b/>
          <w:bCs/>
        </w:rPr>
        <w:t xml:space="preserve">Plano de experiencia:</w:t>
      </w:r>
      <w:r>
        <w:t xml:space="preserve"> apps móviles offline-first (iOS/Android), web app, portal de administración de grupo, portal público de trazabilidad (QR del consumidor), y superficies conversacionales (WhatsApp/Telegram bot, copiloto de voz para manga de trabajo).</w:t>
      </w:r>
    </w:p>
    <w:p>
      <w:pPr>
        <w:pStyle w:val="ListParagraph"/>
        <w:numPr>
          <w:ilvl w:val="0"/>
          <w:numId w:val="4"/>
        </w:numPr>
        <w:spacing w:after="80"/>
      </w:pPr>
      <w:r>
        <w:t xml:space="preserve"/>
      </w:r>
      <w:r>
        <w:rPr>
          <w:b/>
          <w:bCs/>
        </w:rPr>
        <w:t xml:space="preserve">Plano de borde (edge):</w:t>
      </w:r>
      <w:r>
        <w:t xml:space="preserve"> CDN + WAF, API Gateway (autenticación, rate-limiting, enrutamiento por región), gateway de sincronización (protocolo binario optimizado para redes rurales) y brokers MQTT para IoT.</w:t>
      </w:r>
    </w:p>
    <w:p>
      <w:pPr>
        <w:pStyle w:val="ListParagraph"/>
        <w:numPr>
          <w:ilvl w:val="0"/>
          <w:numId w:val="4"/>
        </w:numPr>
        <w:spacing w:after="80"/>
      </w:pPr>
      <w:r>
        <w:t xml:space="preserve"/>
      </w:r>
      <w:r>
        <w:rPr>
          <w:b/>
          <w:bCs/>
        </w:rPr>
        <w:t xml:space="preserve">Plano de dominio:</w:t>
      </w:r>
      <w:r>
        <w:t xml:space="preserve"> microservicios/módulos por bounded context (ver 4.2), cada uno dueño exclusivo de su esquema de datos, comunicados por eventos Kafka y comandos síncronos gRPC cuando la consistencia lo exige.</w:t>
      </w:r>
    </w:p>
    <w:p>
      <w:pPr>
        <w:pStyle w:val="ListParagraph"/>
        <w:numPr>
          <w:ilvl w:val="0"/>
          <w:numId w:val="4"/>
        </w:numPr>
        <w:spacing w:after="80"/>
      </w:pPr>
      <w:r>
        <w:t xml:space="preserve"/>
      </w:r>
      <w:r>
        <w:rPr>
          <w:b/>
          <w:bCs/>
        </w:rPr>
        <w:t xml:space="preserve">Plano de datos:</w:t>
      </w:r>
      <w:r>
        <w:t xml:space="preserve"> PostgreSQL operacional por región, Kafka como log de eventos canónico, lakehouse analítico global (S3+Iceberg), ClickHouse para dashboards, OpenSearch para búsqueda, feature store para IA.</w:t>
      </w:r>
    </w:p>
    <w:p>
      <w:pPr>
        <w:pStyle w:val="ListParagraph"/>
        <w:numPr>
          <w:ilvl w:val="0"/>
          <w:numId w:val="4"/>
        </w:numPr>
        <w:spacing w:after="80"/>
      </w:pPr>
      <w:r>
        <w:t xml:space="preserve"/>
      </w:r>
      <w:r>
        <w:rPr>
          <w:b/>
          <w:bCs/>
        </w:rPr>
        <w:t xml:space="preserve">Plano de integración:</w:t>
      </w:r>
      <w:r>
        <w:t xml:space="preserve"> API pública (REST + GraphQL), webhooks salientes, conectores (contabilidad: QuickBooks/Xero/SAP B1; básculas: Tru-Test, Gallagher; lectores RFID; laboratorios genéticos; registros de razas; autoridades sanitarias por país).</w:t>
      </w:r>
    </w:p>
    <w:p>
      <w:pPr>
        <w:pStyle w:val="ListParagraph"/>
        <w:numPr>
          <w:ilvl w:val="0"/>
          <w:numId w:val="4"/>
        </w:numPr>
        <w:spacing w:after="80"/>
      </w:pPr>
      <w:r>
        <w:t xml:space="preserve"/>
      </w:r>
      <w:r>
        <w:rPr>
          <w:b/>
          <w:bCs/>
        </w:rPr>
        <w:t xml:space="preserve">Plano transversal:</w:t>
      </w:r>
      <w:r>
        <w:t xml:space="preserve"> identidad y autorización, facturación y planes, notificaciones (push/SMS/email/WhatsApp), auditoría, configuración por tenant, feature flags, observabilidad.</w:t>
      </w:r>
    </w:p>
    <w:p>
      <w:pPr>
        <w:pStyle w:val="Heading2"/>
      </w:pPr>
      <w:r>
        <w:t xml:space="preserve">4.2 Bounded contexts (mapa de dominios)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rPr>
          <w:tblHeader/>
        </w:trPr>
        <w:tc>
          <w:tcPr>
            <w:tcW w:type="dxa" w:w="23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Contexto</w:t>
            </w:r>
          </w:p>
        </w:tc>
        <w:tc>
          <w:tcPr>
            <w:tcW w:type="dxa" w:w="43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Responsabilidad</w:t>
            </w:r>
          </w:p>
        </w:tc>
        <w:tc>
          <w:tcPr>
            <w:tcW w:type="dxa" w:w="27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Entidades raíz</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Identidad y Organización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Usuarios, organizaciones, empresas, fincas, roles, invitaciones, planes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Organization, Company, Farm, User</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Hato (Herd)</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Registro animal, identificaciones (caravana, RFID, bolus), lotes, movimientos, genealogía</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Animal, AnimalId, Lot, Movement</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Reproducción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Celos, servicios (monta/IA/TE), diagnósticos, partos, destetes, protocolos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BreedingEvent, Pregnancy, Protocol</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Sanidad</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Vacunaciones, tratamientos, diagnósticos, retiros de leche/carne, planes sanitarios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HealthEvent, Treatment, WithdrawalPeriod</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Producción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Pesajes, GDP, producción láctea, condición corporal, esquila/huevos (multi-especie)</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Measurement, MilkRecord</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Nutrición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Raciones, dietas, consumo, inventario de alimento, costos de alimentación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Ration, FeedPlan, FeedStock</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Tierra y Cultivos</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Parcelas georreferenciadas, potreros, pasturas, aforos, rotación, cultivos, labores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Paddock, Crop, Task, GrazingPlan</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Inventario y Activos</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Insumos, medicamentos (lotes/vencimientos), maquinaria, mantenimiento, combustible</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Item, StockMovement, Asset</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Finanzas</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Plan de cuentas, asientos, cuentas por cobrar/pagar, presupuestos, centros de costo, multi-moneda</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Account, JournalEntry, Budget</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Comercial</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Compras, ventas, contratos, precios de mercado, liquidaciones de frigorífico/lechería</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Order, Sale, Contract</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Personas</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Empleados, jornales, tareas asignadas, nómina básica, contratistas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Employee, WorkLog</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Trazabilidad y Cumplimiento</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Eventos regulatorios, reportes a autoridades, certificaciones, anclaje blockchain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TraceEvent, ComplianceReport</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Sincronización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Changesets, resolución de conflictos, estado de dispositivos, colas por tenant</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Changeset, DeviceState</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Telemetría IoT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Registro de dispositivos, ingesta, normalización, alertas de sensores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Device, SensorReading, Alert</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Inteligencia</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Modelos ML, predicciones, features, copiloto conversacional, visión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Prediction, ModelVersion</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Notificaciones</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Push, email, SMS, WhatsApp, recordatorios y alarmas por reglas</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NotificationRule, Delivery</w:t>
            </w:r>
          </w:p>
        </w:tc>
      </w:tr>
    </w:tbl>
    <w:p>
      <w:pPr>
        <w:spacing w:after="160"/>
      </w:pPr>
    </w:p>
    <w:p>
      <w:pPr>
        <w:pStyle w:val="Heading2"/>
      </w:pPr>
      <w:r>
        <w:t xml:space="preserve">4.3 Estilo de comunicación entre contextos</w:t>
      </w:r>
    </w:p>
    <w:p>
      <w:pPr>
        <w:pStyle w:val="ListParagraph"/>
        <w:numPr>
          <w:ilvl w:val="0"/>
          <w:numId w:val="2"/>
        </w:numPr>
        <w:spacing w:after="80"/>
      </w:pPr>
      <w:r>
        <w:t xml:space="preserve"/>
      </w:r>
      <w:r>
        <w:rPr>
          <w:b/>
          <w:bCs/>
        </w:rPr>
        <w:t xml:space="preserve">Comandos síncronos (gRPC interno / REST externo):</w:t>
      </w:r>
      <w:r>
        <w:t xml:space="preserve"> solo cuando el llamador necesita el resultado inmediato (ej. validar disponibilidad de stock al registrar un tratamiento).</w:t>
      </w:r>
    </w:p>
    <w:p>
      <w:pPr>
        <w:pStyle w:val="ListParagraph"/>
        <w:numPr>
          <w:ilvl w:val="0"/>
          <w:numId w:val="2"/>
        </w:numPr>
        <w:spacing w:after="80"/>
      </w:pPr>
      <w:r>
        <w:t xml:space="preserve"/>
      </w:r>
      <w:r>
        <w:rPr>
          <w:b/>
          <w:bCs/>
        </w:rPr>
        <w:t xml:space="preserve">Eventos de dominio (Kafka, esquemas Avro en Schema Registry):</w:t>
      </w:r>
      <w:r>
        <w:t xml:space="preserve"> modo por defecto. Ej.: `hato.animal.creado`, `sanidad.tratamiento.aplicado`, `produccion.pesaje.registrado`. Cada evento porta tenant_id, farm_id, actor, device_id, versión de esquema y marca temporal de captura (offline) y de recepción.</w:t>
      </w:r>
    </w:p>
    <w:p>
      <w:pPr>
        <w:pStyle w:val="ListParagraph"/>
        <w:numPr>
          <w:ilvl w:val="0"/>
          <w:numId w:val="2"/>
        </w:numPr>
        <w:spacing w:after="80"/>
      </w:pPr>
      <w:r>
        <w:t xml:space="preserve"/>
      </w:r>
      <w:r>
        <w:rPr>
          <w:b/>
          <w:bCs/>
        </w:rPr>
        <w:t xml:space="preserve">Patrón Outbox + CDC (Debezium):</w:t>
      </w:r>
      <w:r>
        <w:t xml:space="preserve"> garantiza publicación exactamente-una-vez-lógica de eventos junto con la transacción local.</w:t>
      </w:r>
    </w:p>
    <w:p>
      <w:pPr>
        <w:pStyle w:val="ListParagraph"/>
        <w:numPr>
          <w:ilvl w:val="0"/>
          <w:numId w:val="2"/>
        </w:numPr>
        <w:spacing w:after="80"/>
      </w:pPr>
      <w:r>
        <w:t xml:space="preserve"/>
      </w:r>
      <w:r>
        <w:rPr>
          <w:b/>
          <w:bCs/>
        </w:rPr>
        <w:t xml:space="preserve">Sagas coreografiadas</w:t>
      </w:r>
      <w:r>
        <w:t xml:space="preserve"> para procesos largos (ej. venta de animales: reserva de lote → certificado sanitario → guía de movilización → factura → baja del inventario), con compensaciones explícitas.</w:t>
      </w:r>
    </w:p>
    <w:p>
      <w:pPr>
        <w:pStyle w:val="ListParagraph"/>
        <w:numPr>
          <w:ilvl w:val="0"/>
          <w:numId w:val="2"/>
        </w:numPr>
        <w:spacing w:after="80"/>
      </w:pPr>
      <w:r>
        <w:t xml:space="preserve"/>
      </w:r>
      <w:r>
        <w:rPr>
          <w:b/>
          <w:bCs/>
        </w:rPr>
        <w:t xml:space="preserve">CQRS pragmático:</w:t>
      </w:r>
      <w:r>
        <w:t xml:space="preserve"> modelos de lectura desnormalizados (proyecciones en Postgres/ClickHouse/OpenSearch) alimentados por eventos; el lado de escritura permanece normalizado y transaccional.</w:t>
      </w:r>
    </w:p>
    <w:p>
      <w:pPr>
        <w:pStyle w:val="Heading2"/>
      </w:pPr>
      <w:r>
        <w:t xml:space="preserve">4.4 Estrategia de evolución: monolito modular → microservicios</w:t>
      </w:r>
    </w:p>
    <w:p>
      <w:pPr>
        <w:spacing w:after="160"/>
      </w:pPr>
      <w:r>
        <w:t xml:space="preserve">Fase 1 (0–18 meses): un </w:t>
      </w:r>
      <w:r>
        <w:rPr>
          <w:b/>
          <w:bCs/>
        </w:rPr>
        <w:t xml:space="preserve">monolito modular</w:t>
      </w:r>
      <w:r>
        <w:t xml:space="preserve"> en NestJS con módulos alineados 1:1 a los bounded contexts, cada módulo con su propio esquema de Postgres y comunicación interna a través del bus de eventos (aunque conviva en el mismo proceso). Los servicios de sincronización e ingesta IoT nacen separados en Go desde el día uno por su perfil de carga. Fase 2: extracción de los contextos con mayor presión de escala (Hato, Producción, Telemetría) a servicios independientes, sin cambiar contratos. Esta estrategia evita el impuesto operacional de 16 microservicios con un equipo pequeño, sin hipotecar la arquitectura objetivo.</w:t>
      </w:r>
    </w:p>
    <w:p>
      <w:pPr>
        <w:pStyle w:val="Heading1"/>
        <w:pageBreakBefore/>
      </w:pPr>
      <w:r>
        <w:t xml:space="preserve">5. Arquitectura de backend</w:t>
      </w:r>
    </w:p>
    <w:p>
      <w:pPr>
        <w:pStyle w:val="Heading2"/>
      </w:pPr>
      <w:r>
        <w:t xml:space="preserve">5.1 Stack y organización del código</w:t>
      </w:r>
    </w:p>
    <w:p>
      <w:pPr>
        <w:pStyle w:val="ListParagraph"/>
        <w:numPr>
          <w:ilvl w:val="0"/>
          <w:numId w:val="2"/>
        </w:numPr>
        <w:spacing w:after="80"/>
      </w:pPr>
      <w:r>
        <w:t xml:space="preserve"/>
      </w:r>
      <w:r>
        <w:rPr>
          <w:b/>
          <w:bCs/>
        </w:rPr>
        <w:t xml:space="preserve">Lenguajes:</w:t>
      </w:r>
      <w:r>
        <w:t xml:space="preserve"> TypeScript (NestJS 11) para servicios de dominio; Go 1.24 para sync-gateway, iot-ingest y jobs de alto volumen; Python 3.13 para servicios de ML.</w:t>
      </w:r>
    </w:p>
    <w:p>
      <w:pPr>
        <w:pStyle w:val="ListParagraph"/>
        <w:numPr>
          <w:ilvl w:val="0"/>
          <w:numId w:val="2"/>
        </w:numPr>
        <w:spacing w:after="80"/>
      </w:pPr>
      <w:r>
        <w:t xml:space="preserve"/>
      </w:r>
      <w:r>
        <w:rPr>
          <w:b/>
          <w:bCs/>
        </w:rPr>
        <w:t xml:space="preserve">Monorepo (Nx/Turborepo):</w:t>
      </w:r>
      <w:r>
        <w:t xml:space="preserve"> `apps/` (api-core, sync-gateway, iot-ingest, workers, web, mobile), `libs/` (domain-*, contracts, ui-kit, sdk-js), `infra/` (terraform, helm), `ml/` (pipelines, modelos).</w:t>
      </w:r>
    </w:p>
    <w:p>
      <w:pPr>
        <w:pStyle w:val="ListParagraph"/>
        <w:numPr>
          <w:ilvl w:val="0"/>
          <w:numId w:val="2"/>
        </w:numPr>
        <w:spacing w:after="80"/>
      </w:pPr>
      <w:r>
        <w:t xml:space="preserve"/>
      </w:r>
      <w:r>
        <w:rPr>
          <w:b/>
          <w:bCs/>
        </w:rPr>
        <w:t xml:space="preserve">Contratos primero:</w:t>
      </w:r>
      <w:r>
        <w:t xml:space="preserve"> OpenAPI 3.1 y esquemas Avro versionados en `libs/contracts`; generación automática de clientes (TS/Go/Python/Kotlin/Swift) en CI.</w:t>
      </w:r>
    </w:p>
    <w:p>
      <w:pPr>
        <w:pStyle w:val="ListParagraph"/>
        <w:numPr>
          <w:ilvl w:val="0"/>
          <w:numId w:val="2"/>
        </w:numPr>
        <w:spacing w:after="80"/>
      </w:pPr>
      <w:r>
        <w:t xml:space="preserve"/>
      </w:r>
      <w:r>
        <w:rPr>
          <w:b/>
          <w:bCs/>
        </w:rPr>
        <w:t xml:space="preserve">Arquitectura hexagonal por módulo:</w:t>
      </w:r>
      <w:r>
        <w:t xml:space="preserve"> dominio puro (entidades, agregados, invariantes) → casos de uso (application services) → adaptadores (HTTP, Kafka, Postgres). El dominio no importa frameworks.</w:t>
      </w:r>
    </w:p>
    <w:p>
      <w:pPr>
        <w:pStyle w:val="Heading2"/>
      </w:pPr>
      <w:r>
        <w:t xml:space="preserve">5.2 Servicios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Servicio</w:t>
            </w:r>
          </w:p>
        </w:tc>
        <w:tc>
          <w:tcPr>
            <w:tcW w:type="dxa" w:w="24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Tecnología</w:t>
            </w:r>
          </w:p>
        </w:tc>
        <w:tc>
          <w:tcPr>
            <w:tcW w:type="dxa" w:w="43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Perfil de escala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api-core (monolito modular de dominio)</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NestJS + Postgres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Escala horizontal por CPU; stateless; 3+ réplicas por región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sync-gateway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Go + Redis + Postgres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Miles de conexiones concurrentes de dispositivos; optimizado para redes 2G/3G; protocolo binario (Protobuf) con compresión zstd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iot-ingest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Go + MQTT (EMQX) + Kafka</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100k+ mensajes/s; backpressure; buffering en edge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workers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NestJS (BullMQ) + Kafka consumers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Proyecciones CQRS, reportes, notificaciones, integraciones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ml-serving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Python (FastAPI) + Triton/ONNX</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Inferencia online (predicciones) y batch (scoring nocturno)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reporting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ClickHouse + motor de reportes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Consultas analíticas pesadas aisladas del OLTP</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billing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NestJS + Stripe/pasarelas locales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Suscripciones, medición de uso (animales activos, dispositivos IoT)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notification-hub</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NestJS + SES/SNS/Twilio/WhatsApp Business API</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Fan-out masivo con reglas por tenant y quiet-hours</w:t>
            </w:r>
          </w:p>
        </w:tc>
      </w:tr>
    </w:tbl>
    <w:p>
      <w:pPr>
        <w:spacing w:after="160"/>
      </w:pPr>
    </w:p>
    <w:p>
      <w:pPr>
        <w:pStyle w:val="Heading2"/>
      </w:pPr>
      <w:r>
        <w:t xml:space="preserve">5.3 Patrones transversales</w:t>
      </w:r>
    </w:p>
    <w:p>
      <w:pPr>
        <w:pStyle w:val="ListParagraph"/>
        <w:numPr>
          <w:ilvl w:val="0"/>
          <w:numId w:val="2"/>
        </w:numPr>
        <w:spacing w:after="80"/>
      </w:pPr>
      <w:r>
        <w:t xml:space="preserve"/>
      </w:r>
      <w:r>
        <w:rPr>
          <w:b/>
          <w:bCs/>
        </w:rPr>
        <w:t xml:space="preserve">Idempotencia obligatoria:</w:t>
      </w:r>
      <w:r>
        <w:t xml:space="preserve"> toda escritura acepta `Idempotency-Key` (los clientes offline reintentan); deduplicación por (tenant, device, operation_id).</w:t>
      </w:r>
    </w:p>
    <w:p>
      <w:pPr>
        <w:pStyle w:val="ListParagraph"/>
        <w:numPr>
          <w:ilvl w:val="0"/>
          <w:numId w:val="2"/>
        </w:numPr>
        <w:spacing w:after="80"/>
      </w:pPr>
      <w:r>
        <w:t xml:space="preserve"/>
      </w:r>
      <w:r>
        <w:rPr>
          <w:b/>
          <w:bCs/>
        </w:rPr>
        <w:t xml:space="preserve">Event sourcing selectivo:</w:t>
      </w:r>
      <w:r>
        <w:t xml:space="preserve"> los agregados de alto valor auditable (Animal, Tratamiento, Movimiento, Transacción financiera, TraceEvent) persisten su historial completo de eventos; el resto usa estado + audit log.</w:t>
      </w:r>
    </w:p>
    <w:p>
      <w:pPr>
        <w:pStyle w:val="ListParagraph"/>
        <w:numPr>
          <w:ilvl w:val="0"/>
          <w:numId w:val="2"/>
        </w:numPr>
        <w:spacing w:after="80"/>
      </w:pPr>
      <w:r>
        <w:t xml:space="preserve"/>
      </w:r>
      <w:r>
        <w:rPr>
          <w:b/>
          <w:bCs/>
        </w:rPr>
        <w:t xml:space="preserve">Outbox transaccional</w:t>
      </w:r>
      <w:r>
        <w:t xml:space="preserve"> en cada módulo; Debezium publica a Kafka; los consumidores son idempotentes (exactly-once lógico).</w:t>
      </w:r>
    </w:p>
    <w:p>
      <w:pPr>
        <w:pStyle w:val="ListParagraph"/>
        <w:numPr>
          <w:ilvl w:val="0"/>
          <w:numId w:val="2"/>
        </w:numPr>
        <w:spacing w:after="80"/>
      </w:pPr>
      <w:r>
        <w:t xml:space="preserve"/>
      </w:r>
      <w:r>
        <w:rPr>
          <w:b/>
          <w:bCs/>
        </w:rPr>
        <w:t xml:space="preserve">Versionado de esquemas de eventos</w:t>
      </w:r>
      <w:r>
        <w:t xml:space="preserve"> con compatibilidad BACKWARD en Schema Registry; los eventos nunca se mutan, se agregan versiones.</w:t>
      </w:r>
    </w:p>
    <w:p>
      <w:pPr>
        <w:pStyle w:val="ListParagraph"/>
        <w:numPr>
          <w:ilvl w:val="0"/>
          <w:numId w:val="2"/>
        </w:numPr>
        <w:spacing w:after="80"/>
      </w:pPr>
      <w:r>
        <w:t xml:space="preserve"/>
      </w:r>
      <w:r>
        <w:rPr>
          <w:b/>
          <w:bCs/>
        </w:rPr>
        <w:t xml:space="preserve">Motor de reglas por tenant</w:t>
      </w:r>
      <w:r>
        <w:t xml:space="preserve"> (protocolos sanitarios, alertas, validaciones regionales) basado en definiciones declarativas (JSON Logic / CEL) evaluadas en backend y replicadas al cliente offline.</w:t>
      </w:r>
    </w:p>
    <w:p>
      <w:pPr>
        <w:pStyle w:val="ListParagraph"/>
        <w:numPr>
          <w:ilvl w:val="0"/>
          <w:numId w:val="2"/>
        </w:numPr>
        <w:spacing w:after="80"/>
      </w:pPr>
      <w:r>
        <w:t xml:space="preserve"/>
      </w:r>
      <w:r>
        <w:rPr>
          <w:b/>
          <w:bCs/>
        </w:rPr>
        <w:t xml:space="preserve">Jobs y scheduling:</w:t>
      </w:r>
      <w:r>
        <w:t xml:space="preserve"> BullMQ para colas por tenant con fairness (un tenant grande no bloquea a los pequeños); cron distribuido para recordatorios (vacunas, palpaciones, retiros).</w:t>
      </w:r>
    </w:p>
    <w:p>
      <w:pPr>
        <w:pStyle w:val="ListParagraph"/>
        <w:numPr>
          <w:ilvl w:val="0"/>
          <w:numId w:val="2"/>
        </w:numPr>
        <w:spacing w:after="80"/>
      </w:pPr>
      <w:r>
        <w:t xml:space="preserve"/>
      </w:r>
      <w:r>
        <w:rPr>
          <w:b/>
          <w:bCs/>
        </w:rPr>
        <w:t xml:space="preserve">Feature flags</w:t>
      </w:r>
      <w:r>
        <w:t xml:space="preserve"> (OpenFeature + Flagsmith) por tenant/región para despliegue progresivo.</w:t>
      </w:r>
    </w:p>
    <w:p>
      <w:pPr>
        <w:pStyle w:val="Heading1"/>
        <w:pageBreakBefore/>
      </w:pPr>
      <w:r>
        <w:t xml:space="preserve">6. Arquitectura de frontend</w:t>
      </w:r>
    </w:p>
    <w:p>
      <w:pPr>
        <w:pStyle w:val="Heading2"/>
      </w:pPr>
      <w:r>
        <w:t xml:space="preserve">6.1 Aplicación móvil (el producto principal)</w:t>
      </w:r>
    </w:p>
    <w:p>
      <w:pPr>
        <w:spacing w:after="160"/>
      </w:pPr>
      <w:r>
        <w:t xml:space="preserve">En ganadería el 80% de la captura ocurre en el campo, con guantes, sol directo y sin señal. La app móvil es el producto principal, no un complemento.</w:t>
      </w:r>
    </w:p>
    <w:p>
      <w:pPr>
        <w:pStyle w:val="ListParagraph"/>
        <w:numPr>
          <w:ilvl w:val="0"/>
          <w:numId w:val="2"/>
        </w:numPr>
        <w:spacing w:after="80"/>
      </w:pPr>
      <w:r>
        <w:t xml:space="preserve"/>
      </w:r>
      <w:r>
        <w:rPr>
          <w:b/>
          <w:bCs/>
        </w:rPr>
        <w:t xml:space="preserve">React Native + Expo (EAS):</w:t>
      </w:r>
      <w:r>
        <w:t xml:space="preserve"> iOS y Android desde un código base; módulos nativos para Bluetooth (básculas, bastones RFID), NFC, GPS de alta precisión y cámara.</w:t>
      </w:r>
    </w:p>
    <w:p>
      <w:pPr>
        <w:pStyle w:val="ListParagraph"/>
        <w:numPr>
          <w:ilvl w:val="0"/>
          <w:numId w:val="2"/>
        </w:numPr>
        <w:spacing w:after="80"/>
      </w:pPr>
      <w:r>
        <w:t xml:space="preserve"/>
      </w:r>
      <w:r>
        <w:rPr>
          <w:b/>
          <w:bCs/>
        </w:rPr>
        <w:t xml:space="preserve">Persistencia local:</w:t>
      </w:r>
      <w:r>
        <w:t xml:space="preserve"> WatermelonDB sobre SQLite (reactivo, lazy, probado con cientos de miles de registros); adjuntos (fotos) en filesystem con cola de subida diferida.</w:t>
      </w:r>
    </w:p>
    <w:p>
      <w:pPr>
        <w:pStyle w:val="ListParagraph"/>
        <w:numPr>
          <w:ilvl w:val="0"/>
          <w:numId w:val="2"/>
        </w:numPr>
        <w:spacing w:after="80"/>
      </w:pPr>
      <w:r>
        <w:t xml:space="preserve"/>
      </w:r>
      <w:r>
        <w:rPr>
          <w:b/>
          <w:bCs/>
        </w:rPr>
        <w:t xml:space="preserve">Arquitectura offline-first:</w:t>
      </w:r>
      <w:r>
        <w:t xml:space="preserve"> la UI lee y escribe SOLO contra la base local; un motor de sync en background reconcilia con la nube (ver sección 12). Cero spinners de red en flujos de campo.</w:t>
      </w:r>
    </w:p>
    <w:p>
      <w:pPr>
        <w:pStyle w:val="ListParagraph"/>
        <w:numPr>
          <w:ilvl w:val="0"/>
          <w:numId w:val="2"/>
        </w:numPr>
        <w:spacing w:after="80"/>
      </w:pPr>
      <w:r>
        <w:t xml:space="preserve"/>
      </w:r>
      <w:r>
        <w:rPr>
          <w:b/>
          <w:bCs/>
        </w:rPr>
        <w:t xml:space="preserve">Modo manga (chute mode):</w:t>
      </w:r>
      <w:r>
        <w:t xml:space="preserve"> UI de alto contraste, botones gigantes, entrada por voz ("caravana 4-7-2, peso 385, condición 3.5"), lectura RFID continua, registro en &lt; 3 segundos por animal.</w:t>
      </w:r>
    </w:p>
    <w:p>
      <w:pPr>
        <w:pStyle w:val="ListParagraph"/>
        <w:numPr>
          <w:ilvl w:val="0"/>
          <w:numId w:val="2"/>
        </w:numPr>
        <w:spacing w:after="80"/>
      </w:pPr>
      <w:r>
        <w:t xml:space="preserve"/>
      </w:r>
      <w:r>
        <w:rPr>
          <w:b/>
          <w:bCs/>
        </w:rPr>
        <w:t xml:space="preserve">Hardware integrado:</w:t>
      </w:r>
      <w:r>
        <w:t xml:space="preserve"> básculas Tru-Test/Gallagher/Prattley por Bluetooth, bastones RFID (ISO 11784/11785 FDX-B/HDX), impresoras de caravanas, lectores de bolus.</w:t>
      </w:r>
    </w:p>
    <w:p>
      <w:pPr>
        <w:pStyle w:val="ListParagraph"/>
        <w:numPr>
          <w:ilvl w:val="0"/>
          <w:numId w:val="2"/>
        </w:numPr>
        <w:spacing w:after="80"/>
      </w:pPr>
      <w:r>
        <w:t xml:space="preserve"/>
      </w:r>
      <w:r>
        <w:rPr>
          <w:b/>
          <w:bCs/>
        </w:rPr>
        <w:t xml:space="preserve">Mapas offline:</w:t>
      </w:r>
      <w:r>
        <w:t xml:space="preserve"> tiles vectoriales (MapLibre) descargados por finca; dibujo de potreros y tracking de recorridos sin conexión.</w:t>
      </w:r>
    </w:p>
    <w:p>
      <w:pPr>
        <w:pStyle w:val="Heading2"/>
      </w:pPr>
      <w:r>
        <w:t xml:space="preserve">6.2 Aplicación web</w:t>
      </w:r>
    </w:p>
    <w:p>
      <w:pPr>
        <w:pStyle w:val="ListParagraph"/>
        <w:numPr>
          <w:ilvl w:val="0"/>
          <w:numId w:val="2"/>
        </w:numPr>
        <w:spacing w:after="80"/>
      </w:pPr>
      <w:r>
        <w:t xml:space="preserve"/>
      </w:r>
      <w:r>
        <w:rPr>
          <w:b/>
          <w:bCs/>
        </w:rPr>
        <w:t xml:space="preserve">Next.js (App Router) + React 19:</w:t>
      </w:r>
      <w:r>
        <w:t xml:space="preserve"> SSR/streaming para dashboards; TanStack Query para estado de servidor; Zustand para estado local.</w:t>
      </w:r>
    </w:p>
    <w:p>
      <w:pPr>
        <w:pStyle w:val="ListParagraph"/>
        <w:numPr>
          <w:ilvl w:val="0"/>
          <w:numId w:val="2"/>
        </w:numPr>
        <w:spacing w:after="80"/>
      </w:pPr>
      <w:r>
        <w:t xml:space="preserve"/>
      </w:r>
      <w:r>
        <w:rPr>
          <w:b/>
          <w:bCs/>
        </w:rPr>
        <w:t xml:space="preserve">Roles de la web:</w:t>
      </w:r>
      <w:r>
        <w:t xml:space="preserve"> administración profunda (finanzas, reportes, configuración multiempresa), analítica y dashboards, planificación (rotación de potreros, presupuestos), importaciones masivas (CSV/Excel), y consola del grupo empresarial con consolidación entre fincas.</w:t>
      </w:r>
    </w:p>
    <w:p>
      <w:pPr>
        <w:pStyle w:val="ListParagraph"/>
        <w:numPr>
          <w:ilvl w:val="0"/>
          <w:numId w:val="2"/>
        </w:numPr>
        <w:spacing w:after="80"/>
      </w:pPr>
      <w:r>
        <w:t xml:space="preserve"/>
      </w:r>
      <w:r>
        <w:rPr>
          <w:b/>
          <w:bCs/>
        </w:rPr>
        <w:t xml:space="preserve">PWA con soporte offline parcial:</w:t>
      </w:r>
      <w:r>
        <w:t xml:space="preserve"> consulta de datos y captura básica cuando el usuario de oficina pierde conexión (Service Worker + IndexedDB, mismo protocolo de sync).</w:t>
      </w:r>
    </w:p>
    <w:p>
      <w:pPr>
        <w:pStyle w:val="ListParagraph"/>
        <w:numPr>
          <w:ilvl w:val="0"/>
          <w:numId w:val="2"/>
        </w:numPr>
        <w:spacing w:after="80"/>
      </w:pPr>
      <w:r>
        <w:t xml:space="preserve"/>
      </w:r>
      <w:r>
        <w:rPr>
          <w:b/>
          <w:bCs/>
        </w:rPr>
        <w:t xml:space="preserve">Design system propio ("Cowinance UI"):</w:t>
      </w:r>
      <w:r>
        <w:t xml:space="preserve"> tokens de diseño multiplataforma (web y móvil), tematizable por marca blanca (white-label para cooperativas y asociaciones de razas), accesibilidad WCAG 2.2 AA.</w:t>
      </w:r>
    </w:p>
    <w:p>
      <w:pPr>
        <w:pStyle w:val="ListParagraph"/>
        <w:numPr>
          <w:ilvl w:val="0"/>
          <w:numId w:val="2"/>
        </w:numPr>
        <w:spacing w:after="80"/>
      </w:pPr>
      <w:r>
        <w:t xml:space="preserve"/>
      </w:r>
      <w:r>
        <w:rPr>
          <w:b/>
          <w:bCs/>
        </w:rPr>
        <w:t xml:space="preserve">Internacionalización:</w:t>
      </w:r>
      <w:r>
        <w:t xml:space="preserve"> ICU MessageFormat, RTL-ready, formatos de fecha/número/unidad por locale y por preferencia del tenant (kg/lb, L/gal, ha/acre).</w:t>
      </w:r>
    </w:p>
    <w:p>
      <w:pPr>
        <w:pStyle w:val="Heading2"/>
      </w:pPr>
      <w:r>
        <w:t xml:space="preserve">6.3 Superficies adicionales</w:t>
      </w:r>
    </w:p>
    <w:p>
      <w:pPr>
        <w:pStyle w:val="ListParagraph"/>
        <w:numPr>
          <w:ilvl w:val="0"/>
          <w:numId w:val="2"/>
        </w:numPr>
        <w:spacing w:after="80"/>
      </w:pPr>
      <w:r>
        <w:t xml:space="preserve"/>
      </w:r>
      <w:r>
        <w:rPr>
          <w:b/>
          <w:bCs/>
        </w:rPr>
        <w:t xml:space="preserve">Portal público de trazabilidad:</w:t>
      </w:r>
      <w:r>
        <w:t xml:space="preserve"> página estática por QR (Next.js estático + edge) que muestra la historia verificable del animal/lote al consumidor o comprador.</w:t>
      </w:r>
    </w:p>
    <w:p>
      <w:pPr>
        <w:pStyle w:val="ListParagraph"/>
        <w:numPr>
          <w:ilvl w:val="0"/>
          <w:numId w:val="2"/>
        </w:numPr>
        <w:spacing w:after="80"/>
      </w:pPr>
      <w:r>
        <w:t xml:space="preserve"/>
      </w:r>
      <w:r>
        <w:rPr>
          <w:b/>
          <w:bCs/>
        </w:rPr>
        <w:t xml:space="preserve">Bot de WhatsApp/Telegram:</w:t>
      </w:r>
      <w:r>
        <w:t xml:space="preserve"> consultas rápidas ("¿cuántas vacas paridas este mes?") y captura ligera para productores pequeños; puerta de entrada de bajo costo en mercados emergentes.</w:t>
      </w:r>
    </w:p>
    <w:p>
      <w:pPr>
        <w:pStyle w:val="ListParagraph"/>
        <w:numPr>
          <w:ilvl w:val="0"/>
          <w:numId w:val="2"/>
        </w:numPr>
        <w:spacing w:after="80"/>
      </w:pPr>
      <w:r>
        <w:t xml:space="preserve"/>
      </w:r>
      <w:r>
        <w:rPr>
          <w:b/>
          <w:bCs/>
        </w:rPr>
        <w:t xml:space="preserve">SDK y widgets embebibles</w:t>
      </w:r>
      <w:r>
        <w:t xml:space="preserve"> para partners (bancos agro, aseguradoras, frigoríficos) que necesiten mostrar datos con consentimiento del productor.</w:t>
      </w:r>
    </w:p>
    <w:p>
      <w:pPr>
        <w:pStyle w:val="Heading1"/>
        <w:pageBreakBefore/>
      </w:pPr>
      <w:r>
        <w:t xml:space="preserve">7. Arquitectura de datos y base de datos</w:t>
      </w:r>
    </w:p>
    <w:p>
      <w:pPr>
        <w:pStyle w:val="Heading2"/>
      </w:pPr>
      <w:r>
        <w:t xml:space="preserve">7.1 Topología</w:t>
      </w:r>
    </w:p>
    <w:p>
      <w:pPr>
        <w:pStyle w:val="ListParagraph"/>
        <w:numPr>
          <w:ilvl w:val="0"/>
          <w:numId w:val="2"/>
        </w:numPr>
        <w:spacing w:after="80"/>
      </w:pPr>
      <w:r>
        <w:t xml:space="preserve"/>
      </w:r>
      <w:r>
        <w:rPr>
          <w:b/>
          <w:bCs/>
        </w:rPr>
        <w:t xml:space="preserve">OLTP:</w:t>
      </w:r>
      <w:r>
        <w:t xml:space="preserve"> PostgreSQL 17 (Aurora) por región geográfica; cada región aloja los tenants cuya residencia de datos así lo exige (GDPR, leyes locales). PostGIS para geometrías de potreros; TimescaleDB para hypertables de series temporales (pesajes, leche, sensores).</w:t>
      </w:r>
    </w:p>
    <w:p>
      <w:pPr>
        <w:pStyle w:val="ListParagraph"/>
        <w:numPr>
          <w:ilvl w:val="0"/>
          <w:numId w:val="2"/>
        </w:numPr>
        <w:spacing w:after="80"/>
      </w:pPr>
      <w:r>
        <w:t xml:space="preserve"/>
      </w:r>
      <w:r>
        <w:rPr>
          <w:b/>
          <w:bCs/>
        </w:rPr>
        <w:t xml:space="preserve">Log de eventos:</w:t>
      </w:r>
      <w:r>
        <w:t xml:space="preserve"> Kafka con retención infinita en topics compactados de dominio + tiering a S3; es la fuente para reconstruir proyecciones y entrenar modelos.</w:t>
      </w:r>
    </w:p>
    <w:p>
      <w:pPr>
        <w:pStyle w:val="ListParagraph"/>
        <w:numPr>
          <w:ilvl w:val="0"/>
          <w:numId w:val="2"/>
        </w:numPr>
        <w:spacing w:after="80"/>
      </w:pPr>
      <w:r>
        <w:t xml:space="preserve"/>
      </w:r>
      <w:r>
        <w:rPr>
          <w:b/>
          <w:bCs/>
        </w:rPr>
        <w:t xml:space="preserve">Analítica:</w:t>
      </w:r>
      <w:r>
        <w:t xml:space="preserve"> lakehouse S3 + Apache Iceberg (bronze/silver/gold) poblado por CDC; ClickHouse para dashboards en vivo; dbt para transformaciones gobernadas.</w:t>
      </w:r>
    </w:p>
    <w:p>
      <w:pPr>
        <w:pStyle w:val="ListParagraph"/>
        <w:numPr>
          <w:ilvl w:val="0"/>
          <w:numId w:val="2"/>
        </w:numPr>
        <w:spacing w:after="80"/>
      </w:pPr>
      <w:r>
        <w:t xml:space="preserve"/>
      </w:r>
      <w:r>
        <w:rPr>
          <w:b/>
          <w:bCs/>
        </w:rPr>
        <w:t xml:space="preserve">Búsqueda:</w:t>
      </w:r>
      <w:r>
        <w:t xml:space="preserve"> OpenSearch (animales por caravana parcial, insumos, documentos).</w:t>
      </w:r>
    </w:p>
    <w:p>
      <w:pPr>
        <w:pStyle w:val="ListParagraph"/>
        <w:numPr>
          <w:ilvl w:val="0"/>
          <w:numId w:val="2"/>
        </w:numPr>
        <w:spacing w:after="80"/>
      </w:pPr>
      <w:r>
        <w:t xml:space="preserve"/>
      </w:r>
      <w:r>
        <w:rPr>
          <w:b/>
          <w:bCs/>
        </w:rPr>
        <w:t xml:space="preserve">Cache:</w:t>
      </w:r>
      <w:r>
        <w:t xml:space="preserve"> Redis para sesiones, catálogos calientes por tenant y rate limiting.</w:t>
      </w:r>
    </w:p>
    <w:p>
      <w:pPr>
        <w:pStyle w:val="ListParagraph"/>
        <w:numPr>
          <w:ilvl w:val="0"/>
          <w:numId w:val="2"/>
        </w:numPr>
        <w:spacing w:after="80"/>
      </w:pPr>
      <w:r>
        <w:t xml:space="preserve"/>
      </w:r>
      <w:r>
        <w:rPr>
          <w:b/>
          <w:bCs/>
        </w:rPr>
        <w:t xml:space="preserve">Objetos:</w:t>
      </w:r>
      <w:r>
        <w:t xml:space="preserve"> S3 con prefijo por tenant para fotos de animales, documentos, ortomosaicos de drones (con lifecycle a Glacier).</w:t>
      </w:r>
    </w:p>
    <w:p>
      <w:pPr>
        <w:pStyle w:val="Heading2"/>
      </w:pPr>
      <w:r>
        <w:t xml:space="preserve">7.2 Estrategia multi-tenant en datos</w:t>
      </w:r>
    </w:p>
    <w:p>
      <w:pPr>
        <w:spacing w:after="160"/>
      </w:pPr>
      <w:r>
        <w:t xml:space="preserve">Modelo híbrido </w:t>
      </w:r>
      <w:r>
        <w:rPr>
          <w:b/>
          <w:bCs/>
        </w:rPr>
        <w:t xml:space="preserve">pool con aislamiento por filas + opción silo</w:t>
      </w:r>
      <w:r>
        <w:t xml:space="preserve">: todas las tablas llevan `tenant_id` (UUID v7) como primera columna de índice, con </w:t>
      </w:r>
      <w:r>
        <w:rPr>
          <w:b/>
          <w:bCs/>
        </w:rPr>
        <w:t xml:space="preserve">Row-Level Security de PostgreSQL activada obligatoriamente</w:t>
      </w:r>
      <w:r>
        <w:t xml:space="preserve"> (la política compara `tenant_id` con la variable de sesión firmada que fija el pool de conexiones por request). Tenants enterprise o con requisitos regulatorios pueden migrar a esquema dedicado o clúster dedicado (silo) sin cambio de código, porque el acceso a datos pasa por un repositorio que resuelve el data source por tenant. Particionado declarativo por hash de `tenant_id` en las tablas de mayor volumen (eventos, mediciones, movimientos) y por rango temporal en series de tiempo.</w:t>
      </w:r>
    </w:p>
    <w:p>
      <w:pPr>
        <w:pStyle w:val="Heading2"/>
      </w:pPr>
      <w:r>
        <w:t xml:space="preserve">7.3 Modelo de datos central (extracto de entidades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Tabla</w:t>
            </w:r>
          </w:p>
        </w:tc>
        <w:tc>
          <w:tcPr>
            <w:tcW w:type="dxa" w:w="38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Campos clave</w:t>
            </w:r>
          </w:p>
        </w:tc>
        <w:tc>
          <w:tcPr>
            <w:tcW w:type="dxa" w:w="33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Notas de diseño</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organizations / companies / farms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parent_id, país, moneda base, zona horaria, plan</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Jerarquía cerrada por closure table para consolidación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animals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tenant_id, farm_id, especie, raza(s) %, sexo, fecha_nac (exacta/estimada), madre_id, padre_id, estado (activo/vendido/muerto), lote_actual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Multi-especie (bovino, ovino, caprino, equino, porcino, búfalo); genealogía como grafo; soft-delete prohibido: cambios de estado por eventos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animal_identifiers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animal_id, tipo (visual, RFID EID, tatuaje, bolus, biométrico), valor, vigencia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Un animal, N identificadores en el tiempo; índice único parcial por (tenant, tipo, valor, activo)</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animal_events (event store)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ULID, animal_id, tipo, payload JSONB validado por esquema, occurred_at, recorded_at, device_id, actor_id, sync_version</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Particionada por mes; inmutable; base de trazabilidad y ML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measurements (hypertable)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animal_id, tipo (peso, CC, leche, temperatura), valor, unidad canónica, occurred_at, fuente (manual/báscula/sensor)</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Unidades siempre almacenadas en SI; conversión en presentación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paddocks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farm_id, nombre, geometría (PostGIS polygon), área, tipo de pastura, capacidad</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Historial de aforos y ocupación como series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inventory_items / stock_movements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item, lote proveedor, vencimiento, cantidad, ubicación, costo unitario</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Medicamentos con lote y vencimiento obligatorios (trazabilidad de retiros)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journal_entries / journal_lines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asiento, cuenta, débito/crédito, moneda, tasa de cambio, centro de costo (finca/potrero/lote/animal)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Contabilidad de partida doble; centro de costo hasta nivel animal habilita costo/kg real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sync_changesets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device_id, tenant_id, seq, operaciones, vector de versiones, estado</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Cola durable de sincronización por dispositivo (sección 12)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trace_events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sujeto (animal/lote/producto), tipo, hash del evento, anchor_batch_id</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Hash encadenado listo para anclaje blockchain (sección 17)</w:t>
            </w:r>
          </w:p>
        </w:tc>
      </w:tr>
    </w:tbl>
    <w:p>
      <w:pPr>
        <w:spacing w:after="160"/>
      </w:pPr>
    </w:p>
    <w:p>
      <w:pPr>
        <w:pStyle w:val="Heading2"/>
      </w:pPr>
      <w:r>
        <w:t xml:space="preserve">7.4 Gobierno del dato</w:t>
      </w:r>
    </w:p>
    <w:p>
      <w:pPr>
        <w:pStyle w:val="ListParagraph"/>
        <w:numPr>
          <w:ilvl w:val="0"/>
          <w:numId w:val="2"/>
        </w:numPr>
        <w:spacing w:after="80"/>
      </w:pPr>
      <w:r>
        <w:t xml:space="preserve">Catálogo de datos (DataHub) con linaje automático desde CDC hasta dashboards.</w:t>
      </w:r>
    </w:p>
    <w:p>
      <w:pPr>
        <w:pStyle w:val="ListParagraph"/>
        <w:numPr>
          <w:ilvl w:val="0"/>
          <w:numId w:val="2"/>
        </w:numPr>
        <w:spacing w:after="80"/>
      </w:pPr>
      <w:r>
        <w:t xml:space="preserve">Clasificación PII (personas) vs. datos operacionales (animales); retención y anonimización por política y por país.</w:t>
      </w:r>
    </w:p>
    <w:p>
      <w:pPr>
        <w:pStyle w:val="ListParagraph"/>
        <w:numPr>
          <w:ilvl w:val="0"/>
          <w:numId w:val="2"/>
        </w:numPr>
        <w:spacing w:after="80"/>
      </w:pPr>
      <w:r>
        <w:t xml:space="preserve">Contratos de datos entre dominios y lakehouse: cambios de esquema pasan por revisión y pruebas de compatibilidad en CI.</w:t>
      </w:r>
    </w:p>
    <w:p>
      <w:pPr>
        <w:pStyle w:val="ListParagraph"/>
        <w:numPr>
          <w:ilvl w:val="0"/>
          <w:numId w:val="2"/>
        </w:numPr>
        <w:spacing w:after="80"/>
      </w:pPr>
      <w:r>
        <w:t xml:space="preserve">Backups: PITR continuo (WAL) + snapshots cross-region cifrados; simulacros de restauración trimestrales automatizados.</w:t>
      </w:r>
    </w:p>
    <w:p>
      <w:pPr>
        <w:pStyle w:val="Heading1"/>
        <w:pageBreakBefore/>
      </w:pPr>
      <w:r>
        <w:t xml:space="preserve">8. Arquitectura de APIs</w:t>
      </w:r>
    </w:p>
    <w:p>
      <w:pPr>
        <w:pStyle w:val="Heading2"/>
      </w:pPr>
      <w:r>
        <w:t xml:space="preserve">8.1 Capas 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460"/>
      </w:tblGrid>
      <w:tr>
        <w:trPr>
          <w:tblHeader/>
        </w:trPr>
        <w:tc>
          <w:tcPr>
            <w:tcW w:type="dxa" w:w="27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API</w:t>
            </w:r>
          </w:p>
        </w:tc>
        <w:tc>
          <w:tcPr>
            <w:tcW w:type="dxa" w:w="32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Consumidor</w:t>
            </w:r>
          </w:p>
        </w:tc>
        <w:tc>
          <w:tcPr>
            <w:tcW w:type="dxa" w:w="34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Tecnología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 interna (BFF)</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Apps propias web/móvil</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GraphQL federado (consultas ricas de dashboards) + REST para comandos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 de sincronización</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Motor offline de clientes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Protocolo binario Protobuf sobre HTTP/2, endpoints push/pull de changesets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 pública v1</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Partners, integradores, clientes enterprise</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REST OpenAPI 3.1, recursos bajo /v1, JSON:API-like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 de eventos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Integraciones reactivas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Webhooks firmados (HMAC) con reintentos exponenciales + suscripciones Kafka para enterprise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API de interoperabilidad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Ecosistema ganadero (medidores de leche, robots, registros de razas)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Implementación del estándar ICAR ADE (JSON) e ISO 11784/85 para identificadores</w:t>
            </w:r>
          </w:p>
        </w:tc>
      </w:tr>
    </w:tbl>
    <w:p>
      <w:pPr>
        <w:spacing w:after="160"/>
      </w:pPr>
    </w:p>
    <w:p>
      <w:pPr>
        <w:pStyle w:val="Heading2"/>
      </w:pPr>
      <w:r>
        <w:t xml:space="preserve">8.2 Normas de diseño</w:t>
      </w:r>
    </w:p>
    <w:p>
      <w:pPr>
        <w:pStyle w:val="ListParagraph"/>
        <w:numPr>
          <w:ilvl w:val="0"/>
          <w:numId w:val="2"/>
        </w:numPr>
        <w:spacing w:after="80"/>
      </w:pPr>
      <w:r>
        <w:t xml:space="preserve"/>
      </w:r>
      <w:r>
        <w:rPr>
          <w:b/>
          <w:bCs/>
        </w:rPr>
        <w:t xml:space="preserve">Versionado por URL mayor (/v1, /v2)</w:t>
      </w:r>
      <w:r>
        <w:t xml:space="preserve"> con política de deprecación de 18 meses y cabeceras `Sunset`.</w:t>
      </w:r>
    </w:p>
    <w:p>
      <w:pPr>
        <w:pStyle w:val="ListParagraph"/>
        <w:numPr>
          <w:ilvl w:val="0"/>
          <w:numId w:val="2"/>
        </w:numPr>
        <w:spacing w:after="80"/>
      </w:pPr>
      <w:r>
        <w:t xml:space="preserve"/>
      </w:r>
      <w:r>
        <w:rPr>
          <w:b/>
          <w:bCs/>
        </w:rPr>
        <w:t xml:space="preserve">Paginación por cursor opaco</w:t>
      </w:r>
      <w:r>
        <w:t xml:space="preserve"> (nunca offset) en colecciones grandes; filtros y ordenamientos declarados en el contrato.</w:t>
      </w:r>
    </w:p>
    <w:p>
      <w:pPr>
        <w:pStyle w:val="ListParagraph"/>
        <w:numPr>
          <w:ilvl w:val="0"/>
          <w:numId w:val="2"/>
        </w:numPr>
        <w:spacing w:after="80"/>
      </w:pPr>
      <w:r>
        <w:t xml:space="preserve"/>
      </w:r>
      <w:r>
        <w:rPr>
          <w:b/>
          <w:bCs/>
        </w:rPr>
        <w:t xml:space="preserve">Errores RFC 9457 (Problem Details)</w:t>
      </w:r>
      <w:r>
        <w:t xml:space="preserve"> con códigos de dominio estables y traducibles.</w:t>
      </w:r>
    </w:p>
    <w:p>
      <w:pPr>
        <w:pStyle w:val="ListParagraph"/>
        <w:numPr>
          <w:ilvl w:val="0"/>
          <w:numId w:val="2"/>
        </w:numPr>
        <w:spacing w:after="80"/>
      </w:pPr>
      <w:r>
        <w:t xml:space="preserve"/>
      </w:r>
      <w:r>
        <w:rPr>
          <w:b/>
          <w:bCs/>
        </w:rPr>
        <w:t xml:space="preserve">Idempotencia en todos los POST</w:t>
      </w:r>
      <w:r>
        <w:t xml:space="preserve"> de comando vía `Idempotency-Key`.</w:t>
      </w:r>
    </w:p>
    <w:p>
      <w:pPr>
        <w:pStyle w:val="ListParagraph"/>
        <w:numPr>
          <w:ilvl w:val="0"/>
          <w:numId w:val="2"/>
        </w:numPr>
        <w:spacing w:after="80"/>
      </w:pPr>
      <w:r>
        <w:t xml:space="preserve"/>
      </w:r>
      <w:r>
        <w:rPr>
          <w:b/>
          <w:bCs/>
        </w:rPr>
        <w:t xml:space="preserve">Rate limiting por token y por tenant</w:t>
      </w:r>
      <w:r>
        <w:t xml:space="preserve"> (ventana deslizante en Redis), límites por plan comercial.</w:t>
      </w:r>
    </w:p>
    <w:p>
      <w:pPr>
        <w:pStyle w:val="ListParagraph"/>
        <w:numPr>
          <w:ilvl w:val="0"/>
          <w:numId w:val="2"/>
        </w:numPr>
        <w:spacing w:after="80"/>
      </w:pPr>
      <w:r>
        <w:t xml:space="preserve"/>
      </w:r>
      <w:r>
        <w:rPr>
          <w:b/>
          <w:bCs/>
        </w:rPr>
        <w:t xml:space="preserve">Campos de auditoría uniformes:</w:t>
      </w:r>
      <w:r>
        <w:t xml:space="preserve"> occurred_at (cuándo pasó en el campo) vs recorded_at (cuándo se capturó) vs received_at (cuándo llegó al servidor) — crítico en un sistema offline.</w:t>
      </w:r>
    </w:p>
    <w:p>
      <w:pPr>
        <w:pStyle w:val="ListParagraph"/>
        <w:numPr>
          <w:ilvl w:val="0"/>
          <w:numId w:val="2"/>
        </w:numPr>
        <w:spacing w:after="80"/>
      </w:pPr>
      <w:r>
        <w:t xml:space="preserve"/>
      </w:r>
      <w:r>
        <w:rPr>
          <w:b/>
          <w:bCs/>
        </w:rPr>
        <w:t xml:space="preserve">Expansiones controladas</w:t>
      </w:r>
      <w:r>
        <w:t xml:space="preserve"> (`?include=mother,lastWeight`) para evitar N+1 de integradores.</w:t>
      </w:r>
    </w:p>
    <w:p>
      <w:pPr>
        <w:pStyle w:val="ListParagraph"/>
        <w:numPr>
          <w:ilvl w:val="0"/>
          <w:numId w:val="2"/>
        </w:numPr>
        <w:spacing w:after="80"/>
      </w:pPr>
      <w:r>
        <w:t xml:space="preserve"/>
      </w:r>
      <w:r>
        <w:rPr>
          <w:b/>
          <w:bCs/>
        </w:rPr>
        <w:t xml:space="preserve">Sandbox público</w:t>
      </w:r>
      <w:r>
        <w:t xml:space="preserve"> con datos sintéticos de una finca demo para desarrolladores.</w:t>
      </w:r>
    </w:p>
    <w:p>
      <w:pPr>
        <w:pStyle w:val="Heading2"/>
      </w:pPr>
      <w:r>
        <w:t xml:space="preserve">8.3 Ejemplo de superficie REST (extracto)</w:t>
      </w:r>
    </w:p>
    <w:p>
      <w:pPr>
        <w:pStyle w:val="ListParagraph"/>
        <w:numPr>
          <w:ilvl w:val="0"/>
          <w:numId w:val="2"/>
        </w:numPr>
        <w:spacing w:after="80"/>
      </w:pPr>
      <w:r>
        <w:t xml:space="preserve">`GET /v1/farms/{farmId}/animals?status=active&amp;paddock=…&amp;cursor=…`</w:t>
      </w:r>
    </w:p>
    <w:p>
      <w:pPr>
        <w:pStyle w:val="ListParagraph"/>
        <w:numPr>
          <w:ilvl w:val="0"/>
          <w:numId w:val="2"/>
        </w:numPr>
        <w:spacing w:after="80"/>
      </w:pPr>
      <w:r>
        <w:t xml:space="preserve">`POST /v1/animals/{id}/events` — cuerpo polimórfico validado por tipo (weighing, treatment, breeding, movement, death…)</w:t>
      </w:r>
    </w:p>
    <w:p>
      <w:pPr>
        <w:pStyle w:val="ListParagraph"/>
        <w:numPr>
          <w:ilvl w:val="0"/>
          <w:numId w:val="2"/>
        </w:numPr>
        <w:spacing w:after="80"/>
      </w:pPr>
      <w:r>
        <w:t xml:space="preserve">`GET /v1/animals/{id}/timeline` — historia completa del animal (proyección del event store)</w:t>
      </w:r>
    </w:p>
    <w:p>
      <w:pPr>
        <w:pStyle w:val="ListParagraph"/>
        <w:numPr>
          <w:ilvl w:val="0"/>
          <w:numId w:val="2"/>
        </w:numPr>
        <w:spacing w:after="80"/>
      </w:pPr>
      <w:r>
        <w:t xml:space="preserve">`POST /v1/batches/weighings` — captura masiva de manga (hasta 5.000 registros por lote)</w:t>
      </w:r>
    </w:p>
    <w:p>
      <w:pPr>
        <w:pStyle w:val="ListParagraph"/>
        <w:numPr>
          <w:ilvl w:val="0"/>
          <w:numId w:val="2"/>
        </w:numPr>
        <w:spacing w:after="80"/>
      </w:pPr>
      <w:r>
        <w:t xml:space="preserve">`GET /v1/reports/herd-inventory?groupBy=category&amp;at=2026-06-30` — inventario a fecha (reconstrucción por eventos)</w:t>
      </w:r>
    </w:p>
    <w:p>
      <w:pPr>
        <w:pStyle w:val="ListParagraph"/>
        <w:numPr>
          <w:ilvl w:val="0"/>
          <w:numId w:val="2"/>
        </w:numPr>
        <w:spacing w:after="80"/>
      </w:pPr>
      <w:r>
        <w:t xml:space="preserve">`POST /v1/webhooks` — suscripción a `animal.created`, `treatment.applied`, `sync.completed`, etc.</w:t>
      </w:r>
    </w:p>
    <w:p>
      <w:pPr>
        <w:pStyle w:val="Heading1"/>
        <w:pageBreakBefore/>
      </w:pPr>
      <w:r>
        <w:t xml:space="preserve">9. Seguridad</w:t>
      </w:r>
    </w:p>
    <w:p>
      <w:pPr>
        <w:pStyle w:val="Heading2"/>
      </w:pPr>
      <w:r>
        <w:t xml:space="preserve">9.1 Identidad y acceso</w:t>
      </w:r>
    </w:p>
    <w:p>
      <w:pPr>
        <w:pStyle w:val="ListParagraph"/>
        <w:numPr>
          <w:ilvl w:val="0"/>
          <w:numId w:val="2"/>
        </w:numPr>
        <w:spacing w:after="80"/>
      </w:pPr>
      <w:r>
        <w:t xml:space="preserve"/>
      </w:r>
      <w:r>
        <w:rPr>
          <w:b/>
          <w:bCs/>
        </w:rPr>
        <w:t xml:space="preserve">OIDC/OAuth 2.1</w:t>
      </w:r>
      <w:r>
        <w:t xml:space="preserve"> con PKCE en clientes públicos; tokens de acceso cortos (10 min) + refresh rotativo con detección de reuso; sesiones de dispositivo de campo con vida extendida y revocación remota.</w:t>
      </w:r>
    </w:p>
    <w:p>
      <w:pPr>
        <w:pStyle w:val="ListParagraph"/>
        <w:numPr>
          <w:ilvl w:val="0"/>
          <w:numId w:val="2"/>
        </w:numPr>
        <w:spacing w:after="80"/>
      </w:pPr>
      <w:r>
        <w:t xml:space="preserve"/>
      </w:r>
      <w:r>
        <w:rPr>
          <w:b/>
          <w:bCs/>
        </w:rPr>
        <w:t xml:space="preserve">MFA</w:t>
      </w:r>
      <w:r>
        <w:t xml:space="preserve"> (TOTP/WebAuthn/passkeys) obligatoria para roles administrativos; SSO SAML/OIDC para clientes enterprise y cooperativas.</w:t>
      </w:r>
    </w:p>
    <w:p>
      <w:pPr>
        <w:pStyle w:val="ListParagraph"/>
        <w:numPr>
          <w:ilvl w:val="0"/>
          <w:numId w:val="2"/>
        </w:numPr>
        <w:spacing w:after="80"/>
      </w:pPr>
      <w:r>
        <w:t xml:space="preserve"/>
      </w:r>
      <w:r>
        <w:rPr>
          <w:b/>
          <w:bCs/>
        </w:rPr>
        <w:t xml:space="preserve">Autorización en dos capas:</w:t>
      </w:r>
      <w:r>
        <w:t xml:space="preserve"> RBAC (roles: propietario, administrador, veterinario, capataz, operario, contador, asesor externo, auditor solo-lectura) + ABAC con políticas evaluadas por motor central (Cedar/OPA): atributos de finca, especie, módulo, sensibilidad. Ej.: "el veterinario externo ve sanidad de las fincas asignadas, nunca finanzas".</w:t>
      </w:r>
    </w:p>
    <w:p>
      <w:pPr>
        <w:pStyle w:val="ListParagraph"/>
        <w:numPr>
          <w:ilvl w:val="0"/>
          <w:numId w:val="2"/>
        </w:numPr>
        <w:spacing w:after="80"/>
      </w:pPr>
      <w:r>
        <w:t xml:space="preserve"/>
      </w:r>
      <w:r>
        <w:rPr>
          <w:b/>
          <w:bCs/>
        </w:rPr>
        <w:t xml:space="preserve">Delegaciones temporales:</w:t>
      </w:r>
      <w:r>
        <w:t xml:space="preserve"> acceso de asesores/técnicos con vencimiento automático y alcance mínimo.</w:t>
      </w:r>
    </w:p>
    <w:p>
      <w:pPr>
        <w:pStyle w:val="ListParagraph"/>
        <w:numPr>
          <w:ilvl w:val="0"/>
          <w:numId w:val="2"/>
        </w:numPr>
        <w:spacing w:after="80"/>
      </w:pPr>
      <w:r>
        <w:t xml:space="preserve"/>
      </w:r>
      <w:r>
        <w:rPr>
          <w:b/>
          <w:bCs/>
        </w:rPr>
        <w:t xml:space="preserve">Autorización replicada al cliente offline:</w:t>
      </w:r>
      <w:r>
        <w:t xml:space="preserve"> las políticas se compilan y firman para evaluación local; el servidor revalida todo en sync (defensa en profundidad).</w:t>
      </w:r>
    </w:p>
    <w:p>
      <w:pPr>
        <w:pStyle w:val="Heading2"/>
      </w:pPr>
      <w:r>
        <w:t xml:space="preserve">9.2 Protección de datos</w:t>
      </w:r>
    </w:p>
    <w:p>
      <w:pPr>
        <w:pStyle w:val="ListParagraph"/>
        <w:numPr>
          <w:ilvl w:val="0"/>
          <w:numId w:val="2"/>
        </w:numPr>
        <w:spacing w:after="80"/>
      </w:pPr>
      <w:r>
        <w:t xml:space="preserve">TLS 1.3 en tránsito en todos los saltos (mTLS servicio-a-servicio vía service mesh).</w:t>
      </w:r>
    </w:p>
    <w:p>
      <w:pPr>
        <w:pStyle w:val="ListParagraph"/>
        <w:numPr>
          <w:ilvl w:val="0"/>
          <w:numId w:val="2"/>
        </w:numPr>
        <w:spacing w:after="80"/>
      </w:pPr>
      <w:r>
        <w:t xml:space="preserve">Cifrado en reposo AES-256 (KMS) con claves por región; opción de </w:t>
      </w:r>
      <w:r>
        <w:rPr>
          <w:b/>
          <w:bCs/>
        </w:rPr>
        <w:t xml:space="preserve">clave gestionada por el cliente (CMK)</w:t>
      </w:r>
      <w:r>
        <w:t xml:space="preserve"> para enterprise.</w:t>
      </w:r>
    </w:p>
    <w:p>
      <w:pPr>
        <w:pStyle w:val="ListParagraph"/>
        <w:numPr>
          <w:ilvl w:val="0"/>
          <w:numId w:val="2"/>
        </w:numPr>
        <w:spacing w:after="80"/>
      </w:pPr>
      <w:r>
        <w:t xml:space="preserve">Cifrado de base de datos local móvil (SQLCipher) con clave en Keychain/Keystore; borrado remoto de dispositivo perdido.</w:t>
      </w:r>
    </w:p>
    <w:p>
      <w:pPr>
        <w:pStyle w:val="ListParagraph"/>
        <w:numPr>
          <w:ilvl w:val="0"/>
          <w:numId w:val="2"/>
        </w:numPr>
        <w:spacing w:after="80"/>
      </w:pPr>
      <w:r>
        <w:t xml:space="preserve">Secretos en AWS Secrets Manager/Vault con rotación automática; nunca en variables de entorno de larga vida.</w:t>
      </w:r>
    </w:p>
    <w:p>
      <w:pPr>
        <w:pStyle w:val="ListParagraph"/>
        <w:numPr>
          <w:ilvl w:val="0"/>
          <w:numId w:val="2"/>
        </w:numPr>
        <w:spacing w:after="80"/>
      </w:pPr>
      <w:r>
        <w:t xml:space="preserve">Tokenización de PII y seudonimización en el lakehouse; los datos de animales no son PII pero los de personas sí (GDPR/LGPD/CCPA).</w:t>
      </w:r>
    </w:p>
    <w:p>
      <w:pPr>
        <w:pStyle w:val="ListParagraph"/>
        <w:numPr>
          <w:ilvl w:val="0"/>
          <w:numId w:val="2"/>
        </w:numPr>
        <w:spacing w:after="80"/>
      </w:pPr>
      <w:r>
        <w:t xml:space="preserve"/>
      </w:r>
      <w:r>
        <w:rPr>
          <w:b/>
          <w:bCs/>
        </w:rPr>
        <w:t xml:space="preserve">Propiedad del dato:</w:t>
      </w:r>
      <w:r>
        <w:t xml:space="preserve"> el productor es dueño de sus datos; exportación completa self-service (CSV/JSON/ADE) y derecho al olvido implementado por diseño.</w:t>
      </w:r>
    </w:p>
    <w:p>
      <w:pPr>
        <w:pStyle w:val="Heading2"/>
      </w:pPr>
      <w:r>
        <w:t xml:space="preserve">9.3 Seguridad de aplicación y operación</w:t>
      </w:r>
    </w:p>
    <w:p>
      <w:pPr>
        <w:pStyle w:val="ListParagraph"/>
        <w:numPr>
          <w:ilvl w:val="0"/>
          <w:numId w:val="2"/>
        </w:numPr>
        <w:spacing w:after="80"/>
      </w:pPr>
      <w:r>
        <w:t xml:space="preserve">SDLC seguro: SAST (Semgrep), SCA (Dependabot/Snyk), firmas de artefactos (Sigstore/cosign), escaneo de imágenes, IaC scanning (tfsec).</w:t>
      </w:r>
    </w:p>
    <w:p>
      <w:pPr>
        <w:pStyle w:val="ListParagraph"/>
        <w:numPr>
          <w:ilvl w:val="0"/>
          <w:numId w:val="2"/>
        </w:numPr>
        <w:spacing w:after="80"/>
      </w:pPr>
      <w:r>
        <w:t xml:space="preserve">OWASP ASVS nivel 2 como línea base; pentest externo semestral; programa de bug bounty al llegar a GA.</w:t>
      </w:r>
    </w:p>
    <w:p>
      <w:pPr>
        <w:pStyle w:val="ListParagraph"/>
        <w:numPr>
          <w:ilvl w:val="0"/>
          <w:numId w:val="2"/>
        </w:numPr>
        <w:spacing w:after="80"/>
      </w:pPr>
      <w:r>
        <w:t xml:space="preserve">WAF + protección DDoS (Shield/CloudFront); rate limiting y detección de anomalías por tenant.</w:t>
      </w:r>
    </w:p>
    <w:p>
      <w:pPr>
        <w:pStyle w:val="ListParagraph"/>
        <w:numPr>
          <w:ilvl w:val="0"/>
          <w:numId w:val="2"/>
        </w:numPr>
        <w:spacing w:after="80"/>
      </w:pPr>
      <w:r>
        <w:t xml:space="preserve">Audit log inmutable (WORM en S3 Object Lock) de toda acción administrativa y acceso a datos sensibles.</w:t>
      </w:r>
    </w:p>
    <w:p>
      <w:pPr>
        <w:pStyle w:val="ListParagraph"/>
        <w:numPr>
          <w:ilvl w:val="0"/>
          <w:numId w:val="2"/>
        </w:numPr>
        <w:spacing w:after="80"/>
      </w:pPr>
      <w:r>
        <w:t xml:space="preserve">Cumplimiento: SOC 2 Type II e ISO 27001 en el año 2; GDPR/LGPD desde el día 1 (residencia de datos por región, DPA, registros de tratamiento).</w:t>
      </w:r>
    </w:p>
    <w:p>
      <w:pPr>
        <w:pStyle w:val="Heading1"/>
        <w:pageBreakBefore/>
      </w:pPr>
      <w:r>
        <w:t xml:space="preserve">10. Escalabilidad y rendimiento</w:t>
      </w:r>
    </w:p>
    <w:p>
      <w:pPr>
        <w:pStyle w:val="Heading2"/>
      </w:pPr>
      <w:r>
        <w:t xml:space="preserve">10.1 Escalado por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Plano</w:t>
            </w:r>
          </w:p>
        </w:tc>
        <w:tc>
          <w:tcPr>
            <w:tcW w:type="dxa" w:w="67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Mecanismo de escala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Cómputo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Kubernetes con HPA (CPU/latencia/lag de Kafka) + Karpenter para nodos spot; servicios stateless; réplicas mínimas por región según huso horario ganadero (picos al amanecer)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Base de datos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Aurora con réplicas de lectura; particionado por tenant_id y tiempo; PgBouncer; las consultas analíticas jamás tocan OLTP (van a ClickHouse)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Eventos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Kafka particionado por tenant_id (afinidad de orden por tenant); consumidores autoescalados por lag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Sync</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sync-gateway en Go escala por conexiones; colas por dispositivo en Redis Streams; deltas comprimidos (zstd) y batching adaptativo al ancho de banda medido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IoT</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Brokers MQTT en clúster (EMQX) + buffer Kafka; degradación elegante: si el pipeline se satura, se prioriza ingesta y se difieren proyecciones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Contenido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CDN global para assets, tiles de mapas, fotos e informes; imágenes con redimensionado on-the-fly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Multi-región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Células regionales independientes (cell-based architecture): cada región opera autónoma; el plano de control global (identidad, facturación, catálogo) se replica activamente</w:t>
            </w:r>
          </w:p>
        </w:tc>
      </w:tr>
    </w:tbl>
    <w:p>
      <w:pPr>
        <w:spacing w:after="160"/>
      </w:pPr>
    </w:p>
    <w:p>
      <w:pPr>
        <w:pStyle w:val="Heading2"/>
      </w:pPr>
      <w:r>
        <w:t xml:space="preserve">10.2 Presupuestos de rendimiento y pruebas</w:t>
      </w:r>
    </w:p>
    <w:p>
      <w:pPr>
        <w:pStyle w:val="ListParagraph"/>
        <w:numPr>
          <w:ilvl w:val="0"/>
          <w:numId w:val="2"/>
        </w:numPr>
        <w:spacing w:after="80"/>
      </w:pPr>
      <w:r>
        <w:t xml:space="preserve">Pruebas de carga continuas (k6) en CI contra entorno de staging con datos sintéticos a escala (1M animales por tenant sintético grande).</w:t>
      </w:r>
    </w:p>
    <w:p>
      <w:pPr>
        <w:pStyle w:val="ListParagraph"/>
        <w:numPr>
          <w:ilvl w:val="0"/>
          <w:numId w:val="2"/>
        </w:numPr>
        <w:spacing w:after="80"/>
      </w:pPr>
      <w:r>
        <w:t xml:space="preserve">Perfil objetivo de tenant extremo: feedlot de 150.000 cabezas con 30 dispositivos concurrentes en manga → 10 registros/s sostenidos por dispositivo sin degradación.</w:t>
      </w:r>
    </w:p>
    <w:p>
      <w:pPr>
        <w:pStyle w:val="ListParagraph"/>
        <w:numPr>
          <w:ilvl w:val="0"/>
          <w:numId w:val="2"/>
        </w:numPr>
        <w:spacing w:after="80"/>
      </w:pPr>
      <w:r>
        <w:t xml:space="preserve">SLOs con error budgets gestionados por SRE; despliegues se congelan automáticamente si el budget se agota.</w:t>
      </w:r>
    </w:p>
    <w:p>
      <w:pPr>
        <w:pStyle w:val="ListParagraph"/>
        <w:numPr>
          <w:ilvl w:val="0"/>
          <w:numId w:val="2"/>
        </w:numPr>
        <w:spacing w:after="80"/>
      </w:pPr>
      <w:r>
        <w:t xml:space="preserve">Chaos engineering trimestral: caída de AZ, partición de red del sync-gateway, pérdida de broker Kafka.</w:t>
      </w:r>
    </w:p>
    <w:p>
      <w:pPr>
        <w:pStyle w:val="Heading1"/>
        <w:pageBreakBefore/>
      </w:pPr>
      <w:r>
        <w:t xml:space="preserve">11. Multiempresa (multi-tenancy de negocio)</w:t>
      </w:r>
    </w:p>
    <w:p>
      <w:pPr>
        <w:pStyle w:val="Heading2"/>
      </w:pPr>
      <w:r>
        <w:t xml:space="preserve">11.1 Jerarquía organizacional</w:t>
      </w:r>
    </w:p>
    <w:p>
      <w:pPr>
        <w:spacing w:after="160"/>
      </w:pPr>
      <w:r>
        <w:t xml:space="preserve">El modelo soporta desde el productor individual con una finca hasta el grupo agroindustrial con decenas de empresas: </w:t>
      </w:r>
      <w:r>
        <w:rPr>
          <w:b/>
          <w:bCs/>
        </w:rPr>
        <w:t xml:space="preserve">Organización</w:t>
      </w:r>
      <w:r>
        <w:t xml:space="preserve"> (grupo económico, tenant raíz) → </w:t>
      </w:r>
      <w:r>
        <w:rPr>
          <w:b/>
          <w:bCs/>
        </w:rPr>
        <w:t xml:space="preserve">Empresa</w:t>
      </w:r>
      <w:r>
        <w:t xml:space="preserve"> (entidad legal, moneda funcional, régimen fiscal, plan de cuentas) → </w:t>
      </w:r>
      <w:r>
        <w:rPr>
          <w:b/>
          <w:bCs/>
        </w:rPr>
        <w:t xml:space="preserve">Finca/Establecimiento</w:t>
      </w:r>
      <w:r>
        <w:t xml:space="preserve"> (unidad operativa georreferenciada, código oficial ante la autoridad sanitaria) → </w:t>
      </w:r>
      <w:r>
        <w:rPr>
          <w:b/>
          <w:bCs/>
        </w:rPr>
        <w:t xml:space="preserve">Unidad productiva</w:t>
      </w:r>
      <w:r>
        <w:t xml:space="preserve"> (lote, rodeo, galpón, parcela). Los usuarios pertenecen a la organización y reciben roles por empresa o finca; un asesor externo puede pertenecer a N organizaciones con una sola identidad.</w:t>
      </w:r>
    </w:p>
    <w:p>
      <w:pPr>
        <w:pStyle w:val="Heading2"/>
      </w:pPr>
      <w:r>
        <w:t xml:space="preserve">11.2 Capacidades multiempresa</w:t>
      </w:r>
    </w:p>
    <w:p>
      <w:pPr>
        <w:pStyle w:val="ListParagraph"/>
        <w:numPr>
          <w:ilvl w:val="0"/>
          <w:numId w:val="2"/>
        </w:numPr>
        <w:spacing w:after="80"/>
      </w:pPr>
      <w:r>
        <w:t xml:space="preserve"/>
      </w:r>
      <w:r>
        <w:rPr>
          <w:b/>
          <w:bCs/>
        </w:rPr>
        <w:t xml:space="preserve">Consolidación financiera y operativa</w:t>
      </w:r>
      <w:r>
        <w:t xml:space="preserve"> a nivel grupo: inventario ganadero consolidado, EBITDA por empresa, comparativas entre fincas (benchmarking interno).</w:t>
      </w:r>
    </w:p>
    <w:p>
      <w:pPr>
        <w:pStyle w:val="ListParagraph"/>
        <w:numPr>
          <w:ilvl w:val="0"/>
          <w:numId w:val="2"/>
        </w:numPr>
        <w:spacing w:after="80"/>
      </w:pPr>
      <w:r>
        <w:t xml:space="preserve"/>
      </w:r>
      <w:r>
        <w:rPr>
          <w:b/>
          <w:bCs/>
        </w:rPr>
        <w:t xml:space="preserve">Operaciones inter-compañía:</w:t>
      </w:r>
      <w:r>
        <w:t xml:space="preserve"> traslado de animales entre empresas del grupo genera automáticamente venta/compra espejo con precios de transferencia configurables y guías sanitarias.</w:t>
      </w:r>
    </w:p>
    <w:p>
      <w:pPr>
        <w:pStyle w:val="ListParagraph"/>
        <w:numPr>
          <w:ilvl w:val="0"/>
          <w:numId w:val="2"/>
        </w:numPr>
        <w:spacing w:after="80"/>
      </w:pPr>
      <w:r>
        <w:t xml:space="preserve"/>
      </w:r>
      <w:r>
        <w:rPr>
          <w:b/>
          <w:bCs/>
        </w:rPr>
        <w:t xml:space="preserve">Configuración en cascada con overrides:</w:t>
      </w:r>
      <w:r>
        <w:t xml:space="preserve"> catálogos (razas, diagnósticos, productos), protocolos sanitarios y políticas se definen a nivel organización y se especializan por empresa/finca.</w:t>
      </w:r>
    </w:p>
    <w:p>
      <w:pPr>
        <w:pStyle w:val="ListParagraph"/>
        <w:numPr>
          <w:ilvl w:val="0"/>
          <w:numId w:val="2"/>
        </w:numPr>
        <w:spacing w:after="80"/>
      </w:pPr>
      <w:r>
        <w:t xml:space="preserve"/>
      </w:r>
      <w:r>
        <w:rPr>
          <w:b/>
          <w:bCs/>
        </w:rPr>
        <w:t xml:space="preserve">Facturación SaaS flexible:</w:t>
      </w:r>
      <w:r>
        <w:t xml:space="preserve"> plan por organización con medición por animales activos, usuarios, dispositivos IoT y módulos; precios regionales y pasarelas locales (Stripe global; MercadoPago, dLocal en LatAm).</w:t>
      </w:r>
    </w:p>
    <w:p>
      <w:pPr>
        <w:pStyle w:val="ListParagraph"/>
        <w:numPr>
          <w:ilvl w:val="0"/>
          <w:numId w:val="2"/>
        </w:numPr>
        <w:spacing w:after="80"/>
      </w:pPr>
      <w:r>
        <w:t xml:space="preserve"/>
      </w:r>
      <w:r>
        <w:rPr>
          <w:b/>
          <w:bCs/>
        </w:rPr>
        <w:t xml:space="preserve">White-label y multi-marca</w:t>
      </w:r>
      <w:r>
        <w:t xml:space="preserve"> para cooperativas, asociaciones de raza y bancos agro que revenden la plataforma a sus miembros.</w:t>
      </w:r>
    </w:p>
    <w:p>
      <w:pPr>
        <w:pStyle w:val="ListParagraph"/>
        <w:numPr>
          <w:ilvl w:val="0"/>
          <w:numId w:val="2"/>
        </w:numPr>
        <w:spacing w:after="80"/>
      </w:pPr>
      <w:r>
        <w:t xml:space="preserve"/>
      </w:r>
      <w:r>
        <w:rPr>
          <w:b/>
          <w:bCs/>
        </w:rPr>
        <w:t xml:space="preserve">Benchmarking anónimo opt-in:</w:t>
      </w:r>
      <w:r>
        <w:t xml:space="preserve"> índices comparativos regionales (preñez, GDP, mortalidad) calculados sobre datos agregados y anonimizados — ventaja de red que ningún competidor ofrece.</w:t>
      </w:r>
    </w:p>
    <w:p>
      <w:pPr>
        <w:pStyle w:val="Heading1"/>
        <w:pageBreakBefore/>
      </w:pPr>
      <w:r>
        <w:t xml:space="preserve">12. Offline y sincronización (el corazón técnico)</w:t>
      </w:r>
    </w:p>
    <w:p>
      <w:pPr>
        <w:pStyle w:val="Heading2"/>
      </w:pPr>
      <w:r>
        <w:t xml:space="preserve">12.1 Requisitos de diseño</w:t>
      </w:r>
    </w:p>
    <w:p>
      <w:pPr>
        <w:pStyle w:val="ListParagraph"/>
        <w:numPr>
          <w:ilvl w:val="0"/>
          <w:numId w:val="2"/>
        </w:numPr>
        <w:spacing w:after="80"/>
      </w:pPr>
      <w:r>
        <w:t xml:space="preserve">Operación sin red durante 90+ días con captura completa (animales nuevos, pesajes, tratamientos, movimientos, fotos).</w:t>
      </w:r>
    </w:p>
    <w:p>
      <w:pPr>
        <w:pStyle w:val="ListParagraph"/>
        <w:numPr>
          <w:ilvl w:val="0"/>
          <w:numId w:val="2"/>
        </w:numPr>
        <w:spacing w:after="80"/>
      </w:pPr>
      <w:r>
        <w:t xml:space="preserve">Varios dispositivos del mismo tenant editando los mismos datos sin conexión simultáneamente (dos operarios en dos mangas).</w:t>
      </w:r>
    </w:p>
    <w:p>
      <w:pPr>
        <w:pStyle w:val="ListParagraph"/>
        <w:numPr>
          <w:ilvl w:val="0"/>
          <w:numId w:val="2"/>
        </w:numPr>
        <w:spacing w:after="80"/>
      </w:pPr>
      <w:r>
        <w:t xml:space="preserve">Sync eficiente en 2G/3G: deltas mínimos, compresión, reanudable tras cortes.</w:t>
      </w:r>
    </w:p>
    <w:p>
      <w:pPr>
        <w:pStyle w:val="ListParagraph"/>
        <w:numPr>
          <w:ilvl w:val="0"/>
          <w:numId w:val="2"/>
        </w:numPr>
        <w:spacing w:after="80"/>
      </w:pPr>
      <w:r>
        <w:t xml:space="preserve">Convergencia determinista: todos los dispositivos y el servidor llegan al mismo estado sin intervención manual en el 99%+ de los casos.</w:t>
      </w:r>
    </w:p>
    <w:p>
      <w:pPr>
        <w:pStyle w:val="Heading2"/>
      </w:pPr>
      <w:r>
        <w:t xml:space="preserve">12.2 Modelo de sincronización</w:t>
      </w:r>
    </w:p>
    <w:p>
      <w:pPr>
        <w:spacing w:after="160"/>
      </w:pPr>
      <w:r>
        <w:t xml:space="preserve">Se adopta un modelo de </w:t>
      </w:r>
      <w:r>
        <w:rPr>
          <w:b/>
          <w:bCs/>
        </w:rPr>
        <w:t xml:space="preserve">replicación por changesets con relojes híbridos (HLC) y resolución por semántica de dominio</w:t>
      </w:r>
      <w:r>
        <w:t xml:space="preserve">, superior en la práctica a un CRDT genérico para un ERP:</w:t>
      </w:r>
    </w:p>
    <w:p>
      <w:pPr>
        <w:pStyle w:val="ListParagraph"/>
        <w:numPr>
          <w:ilvl w:val="0"/>
          <w:numId w:val="5"/>
        </w:numPr>
        <w:spacing w:after="80"/>
      </w:pPr>
      <w:r>
        <w:t xml:space="preserve"/>
      </w:r>
      <w:r>
        <w:rPr>
          <w:b/>
          <w:bCs/>
        </w:rPr>
        <w:t xml:space="preserve">Identidad global sin coordinación:</w:t>
      </w:r>
      <w:r>
        <w:t xml:space="preserve"> todo registro nace en el cliente con UUID v7/ULID; jamás hay renumeración al sincronizar.</w:t>
      </w:r>
    </w:p>
    <w:p>
      <w:pPr>
        <w:pStyle w:val="ListParagraph"/>
        <w:numPr>
          <w:ilvl w:val="0"/>
          <w:numId w:val="5"/>
        </w:numPr>
        <w:spacing w:after="80"/>
      </w:pPr>
      <w:r>
        <w:t xml:space="preserve"/>
      </w:r>
      <w:r>
        <w:rPr>
          <w:b/>
          <w:bCs/>
        </w:rPr>
        <w:t xml:space="preserve">Changesets:</w:t>
      </w:r>
      <w:r>
        <w:t xml:space="preserve"> cada transacción local produce un changeset inmutable {operaciones, HLC, device_id, dependencias}. Se encolan localmente y se envían en lotes comprimidos (push); el pull entrega los changesets remotos posteriores al vector de versiones del dispositivo.</w:t>
      </w:r>
    </w:p>
    <w:p>
      <w:pPr>
        <w:pStyle w:val="ListParagraph"/>
        <w:numPr>
          <w:ilvl w:val="0"/>
          <w:numId w:val="5"/>
        </w:numPr>
        <w:spacing w:after="80"/>
      </w:pPr>
      <w:r>
        <w:t xml:space="preserve"/>
      </w:r>
      <w:r>
        <w:rPr>
          <w:b/>
          <w:bCs/>
        </w:rPr>
        <w:t xml:space="preserve">Suscripciones parciales:</w:t>
      </w:r>
      <w:r>
        <w:t xml:space="preserve"> cada dispositivo sincroniza solo su alcance (fincas asignadas, catálogos, últimos N meses de eventos + agregados históricos), manteniendo la base local en decenas de MB, no GB.</w:t>
      </w:r>
    </w:p>
    <w:p>
      <w:pPr>
        <w:pStyle w:val="ListParagraph"/>
        <w:numPr>
          <w:ilvl w:val="0"/>
          <w:numId w:val="5"/>
        </w:numPr>
        <w:spacing w:after="80"/>
      </w:pPr>
      <w:r>
        <w:t xml:space="preserve"/>
      </w:r>
      <w:r>
        <w:rPr>
          <w:b/>
          <w:bCs/>
        </w:rPr>
        <w:t xml:space="preserve">Resolución de conflictos por tipo de dato:</w:t>
      </w:r>
      <w:r>
        <w:t xml:space="preserve"> (a) eventos de dominio (pesajes, tratamientos) son hechos inmutables → nunca hay conflicto, solo merge del historial; (b) atributos de entidad → last-writer-wins por campo usando HLC; (c) conflictos semánticos (dos muertes del mismo animal, doble venta) → reglas de dominio deterministas y, si es irresoluble, cola de revisión con notificación — el sistema nunca descarta datos silenciosamente.</w:t>
      </w:r>
    </w:p>
    <w:p>
      <w:pPr>
        <w:pStyle w:val="ListParagraph"/>
        <w:numPr>
          <w:ilvl w:val="0"/>
          <w:numId w:val="5"/>
        </w:numPr>
        <w:spacing w:after="80"/>
      </w:pPr>
      <w:r>
        <w:t xml:space="preserve"/>
      </w:r>
      <w:r>
        <w:rPr>
          <w:b/>
          <w:bCs/>
        </w:rPr>
        <w:t xml:space="preserve">Detección de duplicados de campo:</w:t>
      </w:r>
      <w:r>
        <w:t xml:space="preserve"> heurística (misma caravana creada en dos dispositivos offline) genera propuestas de fusión de animales con historial combinado.</w:t>
      </w:r>
    </w:p>
    <w:p>
      <w:pPr>
        <w:pStyle w:val="ListParagraph"/>
        <w:numPr>
          <w:ilvl w:val="0"/>
          <w:numId w:val="5"/>
        </w:numPr>
        <w:spacing w:after="80"/>
      </w:pPr>
      <w:r>
        <w:t xml:space="preserve"/>
      </w:r>
      <w:r>
        <w:rPr>
          <w:b/>
          <w:bCs/>
        </w:rPr>
        <w:t xml:space="preserve">Adjuntos:</w:t>
      </w:r>
      <w:r>
        <w:t xml:space="preserve"> fotos/documentos se sincronizan por canal separado de baja prioridad con reanudación por chunks.</w:t>
      </w:r>
    </w:p>
    <w:p>
      <w:pPr>
        <w:pStyle w:val="ListParagraph"/>
        <w:numPr>
          <w:ilvl w:val="0"/>
          <w:numId w:val="5"/>
        </w:numPr>
        <w:spacing w:after="80"/>
      </w:pPr>
      <w:r>
        <w:t xml:space="preserve"/>
      </w:r>
      <w:r>
        <w:rPr>
          <w:b/>
          <w:bCs/>
        </w:rPr>
        <w:t xml:space="preserve">Migraciones de esquema offline:</w:t>
      </w:r>
      <w:r>
        <w:t xml:space="preserve"> el cliente aplica migraciones locales versionadas; el protocolo negocia versión mínima soportada y el servidor transforma changesets antiguos (upcasting).</w:t>
      </w:r>
    </w:p>
    <w:p>
      <w:pPr>
        <w:pStyle w:val="Heading2"/>
      </w:pPr>
      <w:r>
        <w:t xml:space="preserve">12.3 Garantías y observabilidad de sync</w:t>
      </w:r>
    </w:p>
    <w:p>
      <w:pPr>
        <w:pStyle w:val="ListParagraph"/>
        <w:numPr>
          <w:ilvl w:val="0"/>
          <w:numId w:val="2"/>
        </w:numPr>
        <w:spacing w:after="80"/>
      </w:pPr>
      <w:r>
        <w:t xml:space="preserve">Exactly-once lógico extremo a extremo por idempotencia de changesets (dedupe por device_id + seq).</w:t>
      </w:r>
    </w:p>
    <w:p>
      <w:pPr>
        <w:pStyle w:val="ListParagraph"/>
        <w:numPr>
          <w:ilvl w:val="0"/>
          <w:numId w:val="2"/>
        </w:numPr>
        <w:spacing w:after="80"/>
      </w:pPr>
      <w:r>
        <w:t xml:space="preserve">Integridad: hash encadenado por dispositivo detecta corrupción o manipulación local.</w:t>
      </w:r>
    </w:p>
    <w:p>
      <w:pPr>
        <w:pStyle w:val="ListParagraph"/>
        <w:numPr>
          <w:ilvl w:val="0"/>
          <w:numId w:val="2"/>
        </w:numPr>
        <w:spacing w:after="80"/>
      </w:pPr>
      <w:r>
        <w:t xml:space="preserve">Panel de flota por tenant: último sync por dispositivo, cola pendiente, conflictos en revisión, versión de app.</w:t>
      </w:r>
    </w:p>
    <w:p>
      <w:pPr>
        <w:pStyle w:val="ListParagraph"/>
        <w:numPr>
          <w:ilvl w:val="0"/>
          <w:numId w:val="2"/>
        </w:numPr>
        <w:spacing w:after="80"/>
      </w:pPr>
      <w:r>
        <w:t xml:space="preserve">Modo degradado explícito en la UI: el usuario siempre sabe qué está pendiente de subir y qué antigüedad tienen los datos que ve.</w:t>
      </w:r>
    </w:p>
    <w:p>
      <w:pPr>
        <w:pStyle w:val="Heading1"/>
        <w:pageBreakBefore/>
      </w:pPr>
      <w:r>
        <w:t xml:space="preserve">13. Infraestructura cloud y operación</w:t>
      </w:r>
    </w:p>
    <w:p>
      <w:pPr>
        <w:pStyle w:val="Heading2"/>
      </w:pPr>
      <w:r>
        <w:t xml:space="preserve">13.1 Topología multi-región (arquitectura celular)</w:t>
      </w:r>
    </w:p>
    <w:p>
      <w:pPr>
        <w:spacing w:after="160"/>
      </w:pPr>
      <w:r>
        <w:t xml:space="preserve">Cada </w:t>
      </w:r>
      <w:r>
        <w:rPr>
          <w:b/>
          <w:bCs/>
        </w:rPr>
        <w:t xml:space="preserve">célula regional</w:t>
      </w:r>
      <w:r>
        <w:t xml:space="preserve"> (Norteamérica, Latinoamérica, Europa, Oceanía) contiene el stack completo del plano de dominio y datos: EKS multi-AZ, Aurora, Kafka MSK, Redis, OpenSearch, brokers MQTT. Los tenants se asignan a una célula por residencia de datos y latencia; una célula caída jamás afecta a las demás. El </w:t>
      </w:r>
      <w:r>
        <w:rPr>
          <w:b/>
          <w:bCs/>
        </w:rPr>
        <w:t xml:space="preserve">plano de control global</w:t>
      </w:r>
      <w:r>
        <w:t xml:space="preserve"> (identidad, facturación, catálogo de tenants, DNS/enrutamiento) se replica activo-activo con DynamoDB Global Tables. Recuperación ante desastre: réplica warm-standby cross-region por célula con RPO ≤ 5 min (replicación WAL + mirroring de Kafka) y failover orquestado probado trimestralmente.</w:t>
      </w:r>
    </w:p>
    <w:p>
      <w:pPr>
        <w:pStyle w:val="Heading2"/>
      </w:pPr>
      <w:r>
        <w:t xml:space="preserve">13.2 Entornos, CI/CD y observabilidad</w:t>
      </w:r>
    </w:p>
    <w:p>
      <w:pPr>
        <w:pStyle w:val="ListParagraph"/>
        <w:numPr>
          <w:ilvl w:val="0"/>
          <w:numId w:val="2"/>
        </w:numPr>
        <w:spacing w:after="80"/>
      </w:pPr>
      <w:r>
        <w:t xml:space="preserve">Entornos: dev efímeros por PR (preview), staging con datos sintéticos a escala, producción por células. Nada de datos reales fuera de producción.</w:t>
      </w:r>
    </w:p>
    <w:p>
      <w:pPr>
        <w:pStyle w:val="ListParagraph"/>
        <w:numPr>
          <w:ilvl w:val="0"/>
          <w:numId w:val="2"/>
        </w:numPr>
        <w:spacing w:after="80"/>
      </w:pPr>
      <w:r>
        <w:t xml:space="preserve">GitOps: Terraform (infra) + Helm/ArgoCD (apps); todo cambio de producción es un PR auditado; despliegues canary con análisis automático de métricas y rollback.</w:t>
      </w:r>
    </w:p>
    <w:p>
      <w:pPr>
        <w:pStyle w:val="ListParagraph"/>
        <w:numPr>
          <w:ilvl w:val="0"/>
          <w:numId w:val="2"/>
        </w:numPr>
        <w:spacing w:after="80"/>
      </w:pPr>
      <w:r>
        <w:t xml:space="preserve">Mobile release train quincenal con feature flags; OTA updates (Expo) para JS; staged rollout por país.</w:t>
      </w:r>
    </w:p>
    <w:p>
      <w:pPr>
        <w:pStyle w:val="ListParagraph"/>
        <w:numPr>
          <w:ilvl w:val="0"/>
          <w:numId w:val="2"/>
        </w:numPr>
        <w:spacing w:after="80"/>
      </w:pPr>
      <w:r>
        <w:t xml:space="preserve">Observabilidad: OpenTelemetry en todos los servicios (trazas distribuidas incluyendo el viaje de un changeset desde el dispositivo), métricas RED/USE, logs estructurados con tenant_id; SLOs y alertas como código.</w:t>
      </w:r>
    </w:p>
    <w:p>
      <w:pPr>
        <w:pStyle w:val="ListParagraph"/>
        <w:numPr>
          <w:ilvl w:val="0"/>
          <w:numId w:val="2"/>
        </w:numPr>
        <w:spacing w:after="80"/>
      </w:pPr>
      <w:r>
        <w:t xml:space="preserve">FinOps: etiquetado de costos por servicio y por célula; costo por tenant activo como métrica de primera clase; presupuestos con alarmas.</w:t>
      </w:r>
    </w:p>
    <w:p>
      <w:pPr>
        <w:pStyle w:val="ListParagraph"/>
        <w:numPr>
          <w:ilvl w:val="0"/>
          <w:numId w:val="2"/>
        </w:numPr>
        <w:spacing w:after="80"/>
      </w:pPr>
      <w:r>
        <w:t xml:space="preserve">On-call 24/7 follow-the-sun al alcanzar operación global; runbooks versionados y post-mortems sin culpa.</w:t>
      </w:r>
    </w:p>
    <w:p>
      <w:pPr>
        <w:pStyle w:val="Heading1"/>
        <w:pageBreakBefore/>
      </w:pPr>
      <w:r>
        <w:t xml:space="preserve">14. Integración con Inteligencia Artificial</w:t>
      </w:r>
    </w:p>
    <w:p>
      <w:pPr>
        <w:pStyle w:val="Heading2"/>
      </w:pPr>
      <w:r>
        <w:t xml:space="preserve">14.1 Fundamento: la plataforma de datos es el modelo</w:t>
      </w:r>
    </w:p>
    <w:p>
      <w:pPr>
        <w:spacing w:after="160"/>
      </w:pPr>
      <w:r>
        <w:t xml:space="preserve">La ventaja de IA de Cowinance no está en los algoritmos sino en la arquitectura de datos definida en las secciones 4 y 7: el event store inmutable con doble marca temporal (occurred_at/recorded_at), unidades canónicas, genealogía como grafo y costos a nivel animal produce datasets de entrenamiento que ningún competidor puede construir retroactivamente. La infraestructura de ML se apoya en: </w:t>
      </w:r>
      <w:r>
        <w:rPr>
          <w:b/>
          <w:bCs/>
        </w:rPr>
        <w:t xml:space="preserve">feature store</w:t>
      </w:r>
      <w:r>
        <w:t xml:space="preserve"> (Feast sobre el lakehouse) con features online (Redis) y offline (Iceberg); </w:t>
      </w:r>
      <w:r>
        <w:rPr>
          <w:b/>
          <w:bCs/>
        </w:rPr>
        <w:t xml:space="preserve">MLOps</w:t>
      </w:r>
      <w:r>
        <w:t xml:space="preserve"> con MLflow (registro y versionado de modelos), pipelines de entrenamiento reproducibles (Airflow/Dagster), evaluación continua contra ground truth que llega con retraso natural (ej. peso real al destete), y despliegue de inferencia vía ml-serving (ONNX/Triton) con modelos comprimidos también embebidos en el móvil (TensorFlow Lite) para funcionar offline.</w:t>
      </w:r>
    </w:p>
    <w:p>
      <w:pPr>
        <w:pStyle w:val="Heading2"/>
      </w:pPr>
      <w:r>
        <w:t xml:space="preserve">14.2 Casos de uso por horizonte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Horizonte</w:t>
            </w:r>
          </w:p>
        </w:tc>
        <w:tc>
          <w:tcPr>
            <w:tcW w:type="dxa" w:w="44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Caso de uso</w:t>
            </w:r>
          </w:p>
        </w:tc>
        <w:tc>
          <w:tcPr>
            <w:tcW w:type="dxa" w:w="34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Técnica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H1 (año 1-2)</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Predicción de peso y curva de crecimiento por animal; alerta de desvío de GDP</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Gradient boosting sobre historial de pesajes, raza, clima, pastura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H1</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Detección de anomalías sanitarias (caída de producción/actividad) y brotes a nivel lote</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Series de tiempo + detección de outliers multivariada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H1</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Copiloto conversacional: consultas en lenguaje natural sobre los datos de la finca y captura por voz en la manga</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LLM con acceso a herramientas (function calling) sobre la API interna, con guardas de autorización por tenant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H2 (año 2-3)</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Predicción de celo y probabilidad de preñez; recomendación de descarte y de apareamientos (evitando consanguinidad)</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Modelos sobre eventos reproductivos + genealogía; optimización combinatoria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H2</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Score corporal y estimación de peso por imagen (foto/vídeo en el corral)</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Visión por computador (modelos de pose y regresión), inferencia en el dispositivo</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H2</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Optimización de rotación de potreros y presupuesto forrajero</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Modelos de crecimiento de pastura (clima + NDVI satelital) + optimización</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H3 (año 3+)</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Identificación biométrica del animal por morro/rostro (reemplazo parcial de caravanas)</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Embeddings de visión, matching vectorial</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H3</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Gemelo digital de la finca: simulación de escenarios (carga animal, precios, clima) para decisiones de inversión</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Simulación + ML híbrido</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H3</w:t>
            </w:r>
          </w:p>
        </w:tc>
        <w:tc>
          <w:tcPr>
            <w:tcW w:type="dxa" w:w="4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Benchmarking predictivo de mercado y recomendación de momento óptimo de venta</w:t>
            </w:r>
          </w:p>
        </w:tc>
        <w:tc>
          <w:tcPr>
            <w:tcW w:type="dxa" w:w="3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Modelos de precios con datos agregados opt-in</w:t>
            </w:r>
          </w:p>
        </w:tc>
      </w:tr>
    </w:tbl>
    <w:p>
      <w:pPr>
        <w:spacing w:after="160"/>
      </w:pPr>
    </w:p>
    <w:p>
      <w:pPr>
        <w:pStyle w:val="Heading2"/>
      </w:pPr>
      <w:r>
        <w:t xml:space="preserve">14.3 Gobernanza de IA</w:t>
      </w:r>
    </w:p>
    <w:p>
      <w:pPr>
        <w:pStyle w:val="ListParagraph"/>
        <w:numPr>
          <w:ilvl w:val="0"/>
          <w:numId w:val="2"/>
        </w:numPr>
        <w:spacing w:after="80"/>
      </w:pPr>
      <w:r>
        <w:t xml:space="preserve">Consentimiento explícito por tenant para uso de datos agregados/anonimizados en modelos globales; opción de exclusión total.</w:t>
      </w:r>
    </w:p>
    <w:p>
      <w:pPr>
        <w:pStyle w:val="ListParagraph"/>
        <w:numPr>
          <w:ilvl w:val="0"/>
          <w:numId w:val="2"/>
        </w:numPr>
        <w:spacing w:after="80"/>
      </w:pPr>
      <w:r>
        <w:t xml:space="preserve">Modelos por región cuando el contexto lo exige (razas, sistemas pastoriles vs. feedlot).</w:t>
      </w:r>
    </w:p>
    <w:p>
      <w:pPr>
        <w:pStyle w:val="ListParagraph"/>
        <w:numPr>
          <w:ilvl w:val="0"/>
          <w:numId w:val="2"/>
        </w:numPr>
        <w:spacing w:after="80"/>
      </w:pPr>
      <w:r>
        <w:t xml:space="preserve">Explicabilidad: toda predicción muestra sus factores principales; las recomendaciones sanitarias nunca sustituyen al veterinario (posición regulatoria clara).</w:t>
      </w:r>
    </w:p>
    <w:p>
      <w:pPr>
        <w:pStyle w:val="ListParagraph"/>
        <w:numPr>
          <w:ilvl w:val="0"/>
          <w:numId w:val="2"/>
        </w:numPr>
        <w:spacing w:after="80"/>
      </w:pPr>
      <w:r>
        <w:t xml:space="preserve">Monitoreo de drift y sesgo; kill-switch por modelo y por tenant.</w:t>
      </w:r>
    </w:p>
    <w:p>
      <w:pPr>
        <w:pStyle w:val="Heading1"/>
        <w:pageBreakBefore/>
      </w:pPr>
      <w:r>
        <w:t xml:space="preserve">15. Integración con IoT</w:t>
      </w:r>
    </w:p>
    <w:p>
      <w:pPr>
        <w:pStyle w:val="Heading2"/>
      </w:pPr>
      <w:r>
        <w:t xml:space="preserve">15.1 Alcance de dispositivos</w:t>
      </w:r>
    </w:p>
    <w:p>
      <w:pPr>
        <w:pStyle w:val="ListParagraph"/>
        <w:numPr>
          <w:ilvl w:val="0"/>
          <w:numId w:val="2"/>
        </w:numPr>
        <w:spacing w:after="80"/>
      </w:pPr>
      <w:r>
        <w:t xml:space="preserve"/>
      </w:r>
      <w:r>
        <w:rPr>
          <w:b/>
          <w:bCs/>
        </w:rPr>
        <w:t xml:space="preserve">Identificación y manejo:</w:t>
      </w:r>
      <w:r>
        <w:t xml:space="preserve"> bastones y paneles lectores RFID (ISO 11784/85), básculas electrónicas, puertas clasificadoras automáticas (drafting).</w:t>
      </w:r>
    </w:p>
    <w:p>
      <w:pPr>
        <w:pStyle w:val="ListParagraph"/>
        <w:numPr>
          <w:ilvl w:val="0"/>
          <w:numId w:val="2"/>
        </w:numPr>
        <w:spacing w:after="80"/>
      </w:pPr>
      <w:r>
        <w:t xml:space="preserve"/>
      </w:r>
      <w:r>
        <w:rPr>
          <w:b/>
          <w:bCs/>
        </w:rPr>
        <w:t xml:space="preserve">Monitoreo animal:</w:t>
      </w:r>
      <w:r>
        <w:t xml:space="preserve"> collares y caravanas inteligentes (actividad, rumia, celo, geolocalización GPS/LoRa), bolus ruminales (temperatura, pH).</w:t>
      </w:r>
    </w:p>
    <w:p>
      <w:pPr>
        <w:pStyle w:val="ListParagraph"/>
        <w:numPr>
          <w:ilvl w:val="0"/>
          <w:numId w:val="2"/>
        </w:numPr>
        <w:spacing w:after="80"/>
      </w:pPr>
      <w:r>
        <w:t xml:space="preserve"/>
      </w:r>
      <w:r>
        <w:rPr>
          <w:b/>
          <w:bCs/>
        </w:rPr>
        <w:t xml:space="preserve">Infraestructura:</w:t>
      </w:r>
      <w:r>
        <w:t xml:space="preserve"> sensores de nivel y calidad de agua, cercas eléctricas monitorizadas, cerca virtual (virtual fencing), estaciones meteorológicas, sensores de humedad de suelo, tanques de leche (temperatura/volumen), silos.</w:t>
      </w:r>
    </w:p>
    <w:p>
      <w:pPr>
        <w:pStyle w:val="ListParagraph"/>
        <w:numPr>
          <w:ilvl w:val="0"/>
          <w:numId w:val="2"/>
        </w:numPr>
        <w:spacing w:after="80"/>
      </w:pPr>
      <w:r>
        <w:t xml:space="preserve"/>
      </w:r>
      <w:r>
        <w:rPr>
          <w:b/>
          <w:bCs/>
        </w:rPr>
        <w:t xml:space="preserve">Maquinaria:</w:t>
      </w:r>
      <w:r>
        <w:t xml:space="preserve"> telemetría de tractores y mezcladoras (ISOBUS/CAN), consumo de combustible.</w:t>
      </w:r>
    </w:p>
    <w:p>
      <w:pPr>
        <w:pStyle w:val="Heading2"/>
      </w:pPr>
      <w:r>
        <w:t xml:space="preserve">15.2 Arquitectura de ingesta</w:t>
      </w:r>
    </w:p>
    <w:p>
      <w:pPr>
        <w:pStyle w:val="ListParagraph"/>
        <w:numPr>
          <w:ilvl w:val="0"/>
          <w:numId w:val="6"/>
        </w:numPr>
        <w:spacing w:after="80"/>
      </w:pPr>
      <w:r>
        <w:t xml:space="preserve"/>
      </w:r>
      <w:r>
        <w:rPr>
          <w:b/>
          <w:bCs/>
        </w:rPr>
        <w:t xml:space="preserve">Edge gateway Cowinance Hub</w:t>
      </w:r>
      <w:r>
        <w:t xml:space="preserve"> (software para gateway LoRaWAN/hardware económico en la finca): buffer local de días, normalización de protocolos propietarios, filtrado y agregación en el borde para minimizar datos móviles/satelitales (Starlink).</w:t>
      </w:r>
    </w:p>
    <w:p>
      <w:pPr>
        <w:pStyle w:val="ListParagraph"/>
        <w:numPr>
          <w:ilvl w:val="0"/>
          <w:numId w:val="6"/>
        </w:numPr>
        <w:spacing w:after="80"/>
      </w:pPr>
      <w:r>
        <w:t xml:space="preserve"/>
      </w:r>
      <w:r>
        <w:rPr>
          <w:b/>
          <w:bCs/>
        </w:rPr>
        <w:t xml:space="preserve">Conectividad:</w:t>
      </w:r>
      <w:r>
        <w:t xml:space="preserve"> MQTT sobre TLS con certificados X.509 por dispositivo; LoRaWAN (red privada o pública) para sensores de bajo consumo; fallback por la app móvil como mula de datos (el teléfono del operario recolecta por Bluetooth y sube al sincronizar).</w:t>
      </w:r>
    </w:p>
    <w:p>
      <w:pPr>
        <w:pStyle w:val="ListParagraph"/>
        <w:numPr>
          <w:ilvl w:val="0"/>
          <w:numId w:val="6"/>
        </w:numPr>
        <w:spacing w:after="80"/>
      </w:pPr>
      <w:r>
        <w:t xml:space="preserve"/>
      </w:r>
      <w:r>
        <w:rPr>
          <w:b/>
          <w:bCs/>
        </w:rPr>
        <w:t xml:space="preserve">Ingesta cloud:</w:t>
      </w:r>
      <w:r>
        <w:t xml:space="preserve"> brokers EMQX → validación y normalización (unidades SI, esquemas por tipo de sensor) → Kafka → TimescaleDB (serie caliente 13 meses) + Iceberg (histórico completo).</w:t>
      </w:r>
    </w:p>
    <w:p>
      <w:pPr>
        <w:pStyle w:val="ListParagraph"/>
        <w:numPr>
          <w:ilvl w:val="0"/>
          <w:numId w:val="6"/>
        </w:numPr>
        <w:spacing w:after="80"/>
      </w:pPr>
      <w:r>
        <w:t xml:space="preserve"/>
      </w:r>
      <w:r>
        <w:rPr>
          <w:b/>
          <w:bCs/>
        </w:rPr>
        <w:t xml:space="preserve">Procesamiento en streaming (Flink):</w:t>
      </w:r>
      <w:r>
        <w:t xml:space="preserve"> reglas de alerta en tiempo real (vaca en celo detectada, temperatura de tanque fuera de rango, nivel de agua crítico) → notification-hub con escalamiento.</w:t>
      </w:r>
    </w:p>
    <w:p>
      <w:pPr>
        <w:pStyle w:val="ListParagraph"/>
        <w:numPr>
          <w:ilvl w:val="0"/>
          <w:numId w:val="6"/>
        </w:numPr>
        <w:spacing w:after="80"/>
      </w:pPr>
      <w:r>
        <w:t xml:space="preserve"/>
      </w:r>
      <w:r>
        <w:rPr>
          <w:b/>
          <w:bCs/>
        </w:rPr>
        <w:t xml:space="preserve">Gestión de flota:</w:t>
      </w:r>
      <w:r>
        <w:t xml:space="preserve"> registro y aprovisionamiento de dispositivos por tenant, firmware OTA, salud de batería/señal, marketplace de integraciones certificadas (programa de partners con kits de conformidad).</w:t>
      </w:r>
    </w:p>
    <w:p>
      <w:pPr>
        <w:spacing w:after="160"/>
      </w:pPr>
      <w:r>
        <w:t xml:space="preserve">Principio clave: los datos IoT se correlacionan automáticamente con el modelo de dominio (el pesaje de la báscula se adjunta al animal leído por RFID dos segundos antes; la alerta de celo del collar crea el evento reproductivo sugerido). El valor está en la fusión sensor + registro, no en el dashboard de sensores.</w:t>
      </w:r>
    </w:p>
    <w:p>
      <w:pPr>
        <w:pStyle w:val="Heading1"/>
        <w:pageBreakBefore/>
      </w:pPr>
      <w:r>
        <w:t xml:space="preserve">16. Integración con drones</w:t>
      </w:r>
    </w:p>
    <w:p>
      <w:pPr>
        <w:pStyle w:val="Heading2"/>
      </w:pPr>
      <w:r>
        <w:t xml:space="preserve">16.1 Casos de uso</w:t>
      </w:r>
    </w:p>
    <w:p>
      <w:pPr>
        <w:pStyle w:val="ListParagraph"/>
        <w:numPr>
          <w:ilvl w:val="0"/>
          <w:numId w:val="2"/>
        </w:numPr>
        <w:spacing w:after="80"/>
      </w:pPr>
      <w:r>
        <w:t xml:space="preserve"/>
      </w:r>
      <w:r>
        <w:rPr>
          <w:b/>
          <w:bCs/>
        </w:rPr>
        <w:t xml:space="preserve">Conteo y localización de ganado</w:t>
      </w:r>
      <w:r>
        <w:t xml:space="preserve"> en potreros extensos mediante visión por computador sobre vídeo/orto-imágenes (detección + tracking + deduplicación), con verificación contra el inventario esperado y alerta de faltantes.</w:t>
      </w:r>
    </w:p>
    <w:p>
      <w:pPr>
        <w:pStyle w:val="ListParagraph"/>
        <w:numPr>
          <w:ilvl w:val="0"/>
          <w:numId w:val="2"/>
        </w:numPr>
        <w:spacing w:after="80"/>
      </w:pPr>
      <w:r>
        <w:t xml:space="preserve"/>
      </w:r>
      <w:r>
        <w:rPr>
          <w:b/>
          <w:bCs/>
        </w:rPr>
        <w:t xml:space="preserve">Monitoreo de pasturas:</w:t>
      </w:r>
      <w:r>
        <w:t xml:space="preserve"> NDVI/NDRE multiespectral para biomasa disponible por potrero, alimentando el planificador de rotación y el presupuesto forrajero.</w:t>
      </w:r>
    </w:p>
    <w:p>
      <w:pPr>
        <w:pStyle w:val="ListParagraph"/>
        <w:numPr>
          <w:ilvl w:val="0"/>
          <w:numId w:val="2"/>
        </w:numPr>
        <w:spacing w:after="80"/>
      </w:pPr>
      <w:r>
        <w:t xml:space="preserve"/>
      </w:r>
      <w:r>
        <w:rPr>
          <w:b/>
          <w:bCs/>
        </w:rPr>
        <w:t xml:space="preserve">Inspección de infraestructura:</w:t>
      </w:r>
      <w:r>
        <w:t xml:space="preserve"> cercos, aguadas, caminos; detección de anomalías (cerco caído, bebedero vacío).</w:t>
      </w:r>
    </w:p>
    <w:p>
      <w:pPr>
        <w:pStyle w:val="ListParagraph"/>
        <w:numPr>
          <w:ilvl w:val="0"/>
          <w:numId w:val="2"/>
        </w:numPr>
        <w:spacing w:after="80"/>
      </w:pPr>
      <w:r>
        <w:t xml:space="preserve"/>
      </w:r>
      <w:r>
        <w:rPr>
          <w:b/>
          <w:bCs/>
        </w:rPr>
        <w:t xml:space="preserve">Detección de eventos:</w:t>
      </w:r>
      <w:r>
        <w:t xml:space="preserve"> animal caído/aislado (posible enfermedad o parto), presencia de depredadores, focos de incendio.</w:t>
      </w:r>
    </w:p>
    <w:p>
      <w:pPr>
        <w:pStyle w:val="ListParagraph"/>
        <w:numPr>
          <w:ilvl w:val="0"/>
          <w:numId w:val="2"/>
        </w:numPr>
        <w:spacing w:after="80"/>
      </w:pPr>
      <w:r>
        <w:t xml:space="preserve"/>
      </w:r>
      <w:r>
        <w:rPr>
          <w:b/>
          <w:bCs/>
        </w:rPr>
        <w:t xml:space="preserve">Apoyo a arreo</w:t>
      </w:r>
      <w:r>
        <w:t xml:space="preserve"> con drones con altavoz (práctica creciente en Oceanía/LatAm).</w:t>
      </w:r>
    </w:p>
    <w:p>
      <w:pPr>
        <w:pStyle w:val="Heading2"/>
      </w:pPr>
      <w:r>
        <w:t xml:space="preserve">16.2 Arquitectura de integración</w:t>
      </w:r>
    </w:p>
    <w:p>
      <w:pPr>
        <w:pStyle w:val="ListParagraph"/>
        <w:numPr>
          <w:ilvl w:val="0"/>
          <w:numId w:val="7"/>
        </w:numPr>
        <w:spacing w:after="80"/>
      </w:pPr>
      <w:r>
        <w:t xml:space="preserve"/>
      </w:r>
      <w:r>
        <w:rPr>
          <w:b/>
          <w:bCs/>
        </w:rPr>
        <w:t xml:space="preserve">Planificación de vuelo desde la plataforma:</w:t>
      </w:r>
      <w:r>
        <w:t xml:space="preserve"> los polígonos de potreros (PostGIS) exportan misiones a apps de vuelo (DJI SDK, planes KML/GeoJSON); registro de misión como Task del dominio Tierra.</w:t>
      </w:r>
    </w:p>
    <w:p>
      <w:pPr>
        <w:pStyle w:val="ListParagraph"/>
        <w:numPr>
          <w:ilvl w:val="0"/>
          <w:numId w:val="7"/>
        </w:numPr>
        <w:spacing w:after="80"/>
      </w:pPr>
      <w:r>
        <w:t xml:space="preserve"/>
      </w:r>
      <w:r>
        <w:rPr>
          <w:b/>
          <w:bCs/>
        </w:rPr>
        <w:t xml:space="preserve">Pipeline de procesamiento:</w:t>
      </w:r>
      <w:r>
        <w:t xml:space="preserve"> subida de imágenes (raw o desde DJI Cloud API) → cola de procesamiento en GPU spot → fotogrametría (ODM/OpenDroneMap gestionado) → ortomosaicos e índices → tiles servidos por CDN al mapa de la finca.</w:t>
      </w:r>
    </w:p>
    <w:p>
      <w:pPr>
        <w:pStyle w:val="ListParagraph"/>
        <w:numPr>
          <w:ilvl w:val="0"/>
          <w:numId w:val="7"/>
        </w:numPr>
        <w:spacing w:after="80"/>
      </w:pPr>
      <w:r>
        <w:t xml:space="preserve"/>
      </w:r>
      <w:r>
        <w:rPr>
          <w:b/>
          <w:bCs/>
        </w:rPr>
        <w:t xml:space="preserve">Inferencia de visión:</w:t>
      </w:r>
      <w:r>
        <w:t xml:space="preserve"> modelos de detección de ganado y estado de pastura corren como jobs batch en el mismo ml-serving; resultados entran al dominio como eventos (`tierra.aforo.estimado`, `hato.conteo.verificado`) con nivel de confianza.</w:t>
      </w:r>
    </w:p>
    <w:p>
      <w:pPr>
        <w:pStyle w:val="ListParagraph"/>
        <w:numPr>
          <w:ilvl w:val="0"/>
          <w:numId w:val="7"/>
        </w:numPr>
        <w:spacing w:after="80"/>
      </w:pPr>
      <w:r>
        <w:t xml:space="preserve"/>
      </w:r>
      <w:r>
        <w:rPr>
          <w:b/>
          <w:bCs/>
        </w:rPr>
        <w:t xml:space="preserve">Diseño desacoplado:</w:t>
      </w:r>
      <w:r>
        <w:t xml:space="preserve"> Cowinance no fabrica drones ni exige marca; define un contrato de ingesta de imágenes georreferenciadas + metadatos EXIF/XMP, y certifica proveedores de servicio de vuelo (drone-as-a-service) en el marketplace.</w:t>
      </w:r>
    </w:p>
    <w:p>
      <w:pPr>
        <w:pStyle w:val="Heading1"/>
        <w:pageBreakBefore/>
      </w:pPr>
      <w:r>
        <w:t xml:space="preserve">17. Integración con blockchain</w:t>
      </w:r>
    </w:p>
    <w:p>
      <w:pPr>
        <w:pStyle w:val="Heading2"/>
      </w:pPr>
      <w:r>
        <w:t xml:space="preserve">17.1 Posición de diseño</w:t>
      </w:r>
    </w:p>
    <w:p>
      <w:pPr>
        <w:spacing w:after="160"/>
      </w:pPr>
      <w:r>
        <w:t xml:space="preserve">Blockchain se usa donde aporta valor real —</w:t>
      </w:r>
      <w:r>
        <w:rPr>
          <w:b/>
          <w:bCs/>
        </w:rPr>
        <w:t xml:space="preserve">prueba de integridad e intercambio de confianza entre partes que no se creen mutuamente</w:t>
      </w:r>
      <w:r>
        <w:t xml:space="preserve"> (productor, frigorífico, exportador, certificadora, consumidor)— y no como base de datos. Los datos operativos viven en la plataforma; la cadena guarda huellas criptográficas y credenciales.</w:t>
      </w:r>
    </w:p>
    <w:p>
      <w:pPr>
        <w:pStyle w:val="Heading2"/>
      </w:pPr>
      <w:r>
        <w:t xml:space="preserve">17.2 Arquitectura</w:t>
      </w:r>
    </w:p>
    <w:p>
      <w:pPr>
        <w:pStyle w:val="ListParagraph"/>
        <w:numPr>
          <w:ilvl w:val="0"/>
          <w:numId w:val="8"/>
        </w:numPr>
        <w:spacing w:after="80"/>
      </w:pPr>
      <w:r>
        <w:t xml:space="preserve"/>
      </w:r>
      <w:r>
        <w:rPr>
          <w:b/>
          <w:bCs/>
        </w:rPr>
        <w:t xml:space="preserve">Capa de anclaje (año 1, coste marginal):</w:t>
      </w:r>
      <w:r>
        <w:t xml:space="preserve"> los trace_events forman cadenas de hashes por animal/lote (sección 7.3); un batch Merkle-root se ancla periódicamente en una red pública de bajo costo (p. ej. Polygon PoS o equivalente) — cualquier auditor verifica que la historia no fue alterada retroactivamente sin exponer ningún dato.</w:t>
      </w:r>
    </w:p>
    <w:p>
      <w:pPr>
        <w:pStyle w:val="ListParagraph"/>
        <w:numPr>
          <w:ilvl w:val="0"/>
          <w:numId w:val="8"/>
        </w:numPr>
        <w:spacing w:after="80"/>
      </w:pPr>
      <w:r>
        <w:t xml:space="preserve"/>
      </w:r>
      <w:r>
        <w:rPr>
          <w:b/>
          <w:bCs/>
        </w:rPr>
        <w:t xml:space="preserve">Red de consorcio (año 2-3):</w:t>
      </w:r>
      <w:r>
        <w:t xml:space="preserve"> Hyperledger Fabric/Besu con nodos de frigoríficos, exportadores y certificadoras para flujos B2B: transferencia de custodia digital del animal en la venta, certificados sanitarios y de bienestar animal como credenciales verificables (W3C VC/DID), liquidaciones con estado compartido.</w:t>
      </w:r>
    </w:p>
    <w:p>
      <w:pPr>
        <w:pStyle w:val="ListParagraph"/>
        <w:numPr>
          <w:ilvl w:val="0"/>
          <w:numId w:val="8"/>
        </w:numPr>
        <w:spacing w:after="80"/>
      </w:pPr>
      <w:r>
        <w:t xml:space="preserve"/>
      </w:r>
      <w:r>
        <w:rPr>
          <w:b/>
          <w:bCs/>
        </w:rPr>
        <w:t xml:space="preserve">Trazabilidad al consumidor:</w:t>
      </w:r>
      <w:r>
        <w:t xml:space="preserve"> QR en el corte de carne → portal público (sección 6.3) que muestra la historia del lote verificada contra el anclaje; soporte de GS1 EPCIS 2.0 como vocabulario de eventos de cadena de suministro.</w:t>
      </w:r>
    </w:p>
    <w:p>
      <w:pPr>
        <w:pStyle w:val="ListParagraph"/>
        <w:numPr>
          <w:ilvl w:val="0"/>
          <w:numId w:val="8"/>
        </w:numPr>
        <w:spacing w:after="80"/>
      </w:pPr>
      <w:r>
        <w:t xml:space="preserve"/>
      </w:r>
      <w:r>
        <w:rPr>
          <w:b/>
          <w:bCs/>
        </w:rPr>
        <w:t xml:space="preserve">Tokenización (opcional, exploratorio):</w:t>
      </w:r>
      <w:r>
        <w:t xml:space="preserve"> activos ganaderos como colateral digital para financiamiento agro (bancos/fintech socios), estrictamente bajo el marco regulatorio de cada país.</w:t>
      </w:r>
    </w:p>
    <w:p>
      <w:pPr>
        <w:pStyle w:val="ListParagraph"/>
        <w:numPr>
          <w:ilvl w:val="0"/>
          <w:numId w:val="2"/>
        </w:numPr>
        <w:spacing w:after="80"/>
      </w:pPr>
      <w:r>
        <w:t xml:space="preserve">Regla de oro: la plataforma funciona al 100% sin blockchain; la cadena añade verificabilidad, nunca dependencia operativa.</w:t>
      </w:r>
    </w:p>
    <w:p>
      <w:pPr>
        <w:pStyle w:val="ListParagraph"/>
        <w:numPr>
          <w:ilvl w:val="0"/>
          <w:numId w:val="2"/>
        </w:numPr>
        <w:spacing w:after="80"/>
      </w:pPr>
      <w:r>
        <w:t xml:space="preserve">Claves y firmas gestionadas en KMS/HSM; los productores no manejan wallets salvo en flujos avanzados.</w:t>
      </w:r>
    </w:p>
    <w:p>
      <w:pPr>
        <w:pStyle w:val="Heading1"/>
        <w:pageBreakBefore/>
      </w:pPr>
      <w:r>
        <w:t xml:space="preserve">18. Roadmap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Fase</w:t>
            </w:r>
          </w:p>
        </w:tc>
        <w:tc>
          <w:tcPr>
            <w:tcW w:type="dxa" w:w="15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Duración</w:t>
            </w:r>
          </w:p>
        </w:tc>
        <w:tc>
          <w:tcPr>
            <w:tcW w:type="dxa" w:w="61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Entregables clave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 Fundaciones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Meses 1-3</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Monorepo, contratos base (OpenAPI/Avro), IaC de la primera célula, identidad multi-tenant, esqueleto del monolito modular, motor de sync v0 (protocolo + changesets), design system</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 MVP de campo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Meses 4-9</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Hato + Producción + Sanidad + Reproducción en móvil offline-first y web; RFID/básculas Bluetooth; reportes esenciales; facturación SaaS; lanzamiento beta en 2 países (1 LatAm, 1 anglófono)</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 ERP completo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Meses 10-18</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Finanzas con partida doble y centros de costo, Inventario, Nutrición, Tierra/pasturas con mapas offline, Personas, Comercial; consolidación multiempresa; API pública v1 + webhooks; ICAR ADE; segunda célula regional</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 Inteligencia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Meses 19-27</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Lakehouse + feature store; predicción de peso y alertas sanitarias; copiloto conversacional; ingesta IoT GA (básculas, collares, sensores de agua); anclaje blockchain; SOC 2</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4. Ecosistema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Meses 28-36</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Marketplace de integraciones y partners IoT/drones; pipeline de drones GA; visión por computador (score/peso por imagen); red de consorcio de trazabilidad; benchmarking anónimo; células 3 y 4</w:t>
            </w:r>
          </w:p>
        </w:tc>
      </w:tr>
    </w:tbl>
    <w:p>
      <w:pPr>
        <w:spacing w:after="160"/>
      </w:pPr>
    </w:p>
    <w:p>
      <w:pPr>
        <w:spacing w:after="160"/>
      </w:pPr>
      <w:r>
        <w:t xml:space="preserve">Equipo inicial sugerido (fase 0-1): 1 arquitecto/CTO, 4 ingenieros backend (2 TS, 1 Go, 1 datos), 3 ingenieros móvil/frontend, 1 DevOps/SRE, 1 diseñador de producto, 1 QA automation, más 2-3 expertos de dominio ganadero a tiempo parcial por región. Escala a ~35-45 personas en fase 3.</w:t>
      </w:r>
    </w:p>
    <w:p>
      <w:pPr>
        <w:pStyle w:val="Heading1"/>
        <w:pageBreakBefore/>
      </w:pPr>
      <w:r>
        <w:t xml:space="preserve">19. Riesgos principales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860"/>
      </w:tblGrid>
      <w:tr>
        <w:trPr>
          <w:tblHeader/>
        </w:trPr>
        <w:tc>
          <w:tcPr>
            <w:tcW w:type="dxa" w:w="31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Riesgo</w:t>
            </w:r>
          </w:p>
        </w:tc>
        <w:tc>
          <w:tcPr>
            <w:tcW w:type="dxa" w:w="14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Impacto</w:t>
            </w:r>
          </w:p>
        </w:tc>
        <w:tc>
          <w:tcPr>
            <w:tcW w:type="dxa" w:w="48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Mitigación</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Complejidad del sync offline multi-dispositivo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Crítico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Es el primer sistema que se construye y se prueba (fase 0); suite de simulación de convergencia con miles de escenarios; equipo dedicado</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Sobre-ingeniería temprana (16 microservicios, 4 regiones el día 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Alto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Monolito modular + 1 célula; los contratos preservan la arquitectura objetivo; extraer solo con evidencia de escala</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Fragmentación normativa por país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Alto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Motor de cumplimiento configurable (reglas + reportes por jurisdicción) en lugar de código por país; partners regulatorios locales</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Adopción por usuarios de baja digitalización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Alto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UX de manga, voz, WhatsApp; importadores desde Excel y desde competidores; modo simple por defecto con complejidad progresiva</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Integraciones de hardware heterogéneo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Medio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Capa de abstracción de dispositivos + programa de certificación; empezar por las 5 marcas dominantes de básculas/RFID</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Costos cloud con tenants pequeños de bajo ARPU</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Medio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Arquitectura pool eficiente, FinOps desde el día 1, tiering de features por plan, células dimensionadas por densidad regional</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Datos sensibles y confianza del productor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Alto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Propiedad del dato explícita en contrato, exportación libre, opt-in de agregación, certificaciones tempranas</w:t>
            </w:r>
          </w:p>
        </w:tc>
      </w:tr>
    </w:tbl>
    <w:p>
      <w:pPr>
        <w:spacing w:after="160"/>
      </w:pPr>
    </w:p>
    <w:p>
      <w:pPr>
        <w:pStyle w:val="Heading1"/>
        <w:pageBreakBefore/>
      </w:pPr>
      <w:r>
        <w:t xml:space="preserve">20.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Término</w:t>
            </w:r>
          </w:p>
        </w:tc>
        <w:tc>
          <w:tcPr>
            <w:tcW w:type="dxa" w:w="696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r>
              <w:rPr>
                <w:b/>
                <w:bCs/>
                <w:color w:val="FFFFFF"/>
              </w:rPr>
              <w:t xml:space="preserve">Definición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Bounded context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Límite de un subdominio del negocio dentro del cual un modelo de datos y un lenguaje son consistentes (DDD)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Changeset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Paquete inmutable de operaciones locales de un dispositivo, unidad de sincronización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CQRS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Separación de los modelos de escritura (comandos) y lectura (consultas/proyecciones)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CDC</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Change Data Capture: captura de cambios de la base de datos para publicarlos como eventos (Debezium)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CRDT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Tipo de dato replicado sin conflictos; aquí se usa su espíritu (convergencia) con resolución semántica de dominio</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GDP</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Ganancia diaria de peso del animal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HLC</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Hybrid Logical Clock: reloj lógico-físico que ordena eventos entre dispositivos sin depender de la hora del sistema</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ICAR ADE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Estándar abierto internacional (JSON) de intercambio de datos animales (Animal Data Exchange)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ISO 11784/11785</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Estándares de identificación animal por radiofrecuencia (estructura del código y protocolo FDX-B/HDX)</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Lakehouse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Arquitectura analítica que combina data lake (S3/Iceberg) con capacidades de warehouse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Outbox</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Patrón que garantiza la publicación de eventos junto con la transacción de base de datos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RLS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Row-Level Security: filtrado de filas por políticas en el motor de base de datos (aislamiento por tenant)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Saga</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Proceso de negocio distribuido implementado como secuencia de transacciones locales con compensaciones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Tenant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Cliente lógico aislado de la plataforma (en Cowinance, la Organización)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EPCIS 2.0</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Estándar GS1 para eventos de trazabilidad en cadenas de suministro</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Credencial verificable (VC)</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Documento digital firmado criptográficamente y verificable sin contactar al emisor (W3C)</w:t>
            </w:r>
          </w:p>
        </w:tc>
      </w:tr>
    </w:tbl>
    <w:p>
      <w:pPr>
        <w:spacing w:after="160"/>
      </w:pPr>
    </w:p>
    <w:p>
      <w:pPr>
        <w:spacing w:after="160"/>
      </w:pPr>
      <w:r>
        <w:t xml:space="preserve">Fin del documento. Próximos pasos recomendados: (1) validar este diseño con 10-15 entrevistas de productores en los mercados objetivo, (2) prototipar el motor de sincronización (el mayor riesgo técnico) en un spike de 4 semanas, (3) elaborar el modelo de datos detallado (DDL completo) del contexto Hato, y (4) definir el presupuesto de la fase 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8"/>
        <w:szCs w:val="18"/>
      </w:rPr>
      <w:t xml:space="preserve">Cowinance — Documento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4E3D"/>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6B5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2026-07-03T04:26:55.619Z</dcterms:created>
  <dcterms:modified xsi:type="dcterms:W3CDTF">2026-07-03T04:26:55.619Z</dcterms:modified>
</cp:coreProperties>
</file>

<file path=docProps/custom.xml><?xml version="1.0" encoding="utf-8"?>
<Properties xmlns="http://schemas.openxmlformats.org/officeDocument/2006/custom-properties" xmlns:vt="http://schemas.openxmlformats.org/officeDocument/2006/docPropsVTypes"/>
</file>