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b/>
          <w:bCs/>
          <w:color w:val="1F4E3D"/>
          <w:sz w:val="80"/>
          <w:szCs w:val="80"/>
        </w:rPr>
        <w:t xml:space="preserve">COWINANCE</w:t>
      </w:r>
    </w:p>
    <w:p>
      <w:pPr>
        <w:spacing w:before="160"/>
        <w:jc w:val="center"/>
      </w:pPr>
      <w:r>
        <w:rPr>
          <w:color w:val="444444"/>
          <w:sz w:val="34"/>
          <w:szCs w:val="34"/>
        </w:rPr>
        <w:t xml:space="preserve">Design System y Experiencia de Usuario</w:t>
      </w:r>
    </w:p>
    <w:p>
      <w:pPr>
        <w:spacing w:before="120"/>
        <w:jc w:val="center"/>
      </w:pPr>
      <w:r>
        <w:rPr>
          <w:color w:val="888888"/>
          <w:sz w:val="22"/>
          <w:szCs w:val="22"/>
        </w:rPr>
        <w:t xml:space="preserve">Elegante · Minimalista · Claro y Oscuro · Responsive · Campo-primero</w:t>
      </w:r>
    </w:p>
    <w:p>
      <w:pPr>
        <w:pBdr>
          <w:bottom w:val="single" w:color="1F4E3D" w:sz="8" w:space="1"/>
        </w:pBdr>
        <w:spacing w:before="500"/>
        <w:jc w:val="center"/>
      </w:pPr>
    </w:p>
    <w:p>
      <w:pPr>
        <w:spacing w:before="360"/>
        <w:jc w:val="center"/>
      </w:pPr>
      <w:r>
        <w:rPr>
          <w:b/>
          <w:bCs/>
          <w:sz w:val="22"/>
          <w:szCs w:val="22"/>
        </w:rPr>
        <w:t xml:space="preserve">Documento de diseño — previo a implementación</w:t>
      </w:r>
    </w:p>
    <w:p>
      <w:pPr>
        <w:spacing w:before="120"/>
        <w:jc w:val="center"/>
      </w:pPr>
      <w:r>
        <w:rPr>
          <w:color w:val="888888"/>
          <w:sz w:val="20"/>
          <w:szCs w:val="20"/>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Visión de diseño</w:t>
      </w:r>
    </w:p>
    <w:p>
      <w:pPr>
        <w:spacing w:after="140"/>
      </w:pPr>
      <w:r>
        <w:t xml:space="preserve">Cowinance debe sentirse como </w:t>
      </w:r>
      <w:r>
        <w:rPr>
          <w:b/>
          <w:bCs/>
        </w:rPr>
        <w:t xml:space="preserve">un instrumento de precisión, no como un formulario del gobierno</w:t>
      </w:r>
      <w:r>
        <w:t xml:space="preserve">. La referencia emocional es el cruce entre la sobriedad técnica de Linear y Stripe, la calma editorial de Notion, y la confianza material de Apple y Tesla: interfaces silenciosas, densas en datos pero nunca ruidosas, donde cada pixel tiene un propósito y la jerarquía visual hace el trabajo que en otras apps hacen los bordes y los colores chillones.</w:t>
      </w:r>
    </w:p>
    <w:p>
      <w:pPr>
        <w:spacing w:after="140"/>
      </w:pPr>
      <w:r>
        <w:t xml:space="preserve">La tensión central del producto es única: el mismo sistema lo usa un CEO ganadero en un monitor 4K y un capataz con guantes, sol directo y una vaca de 500 kg empujando la manga. La respuesta de diseño es </w:t>
      </w:r>
      <w:r>
        <w:rPr>
          <w:b/>
          <w:bCs/>
        </w:rPr>
        <w:t xml:space="preserve">una sola alma visual con dos temperamentos</w:t>
      </w:r>
      <w:r>
        <w:t xml:space="preserve">: modo escritorio (denso, analítico, hover-rich) y modo campo (táctil, gigante, de alto contraste), compartiendo tokens, iconografía y lenguaje.</w:t>
      </w:r>
    </w:p>
    <w:p>
      <w:pPr>
        <w:pStyle w:val="Heading2"/>
      </w:pPr>
      <w:r>
        <w:t xml:space="preserve">1.1 Principios</w:t>
      </w:r>
    </w:p>
    <w:p>
      <w:pPr>
        <w:pStyle w:val="ListParagraph"/>
        <w:numPr>
          <w:ilvl w:val="0"/>
          <w:numId w:val="2"/>
        </w:numPr>
        <w:spacing w:after="70"/>
      </w:pPr>
      <w:r>
        <w:t xml:space="preserve"/>
      </w:r>
      <w:r>
        <w:rPr>
          <w:b/>
          <w:bCs/>
        </w:rPr>
        <w:t xml:space="preserve">Calma por defecto.</w:t>
      </w:r>
      <w:r>
        <w:t xml:space="preserve"> Fondo neutro, un solo acento de marca, color solo cuando significa algo (estado, alerta, dato). Nada de degradados decorativos ni sombras dramáticas.</w:t>
      </w:r>
    </w:p>
    <w:p>
      <w:pPr>
        <w:pStyle w:val="ListParagraph"/>
        <w:numPr>
          <w:ilvl w:val="0"/>
          <w:numId w:val="2"/>
        </w:numPr>
        <w:spacing w:after="70"/>
      </w:pPr>
      <w:r>
        <w:t xml:space="preserve"/>
      </w:r>
      <w:r>
        <w:rPr>
          <w:b/>
          <w:bCs/>
        </w:rPr>
        <w:t xml:space="preserve">La jerarquía es tipográfica.</w:t>
      </w:r>
      <w:r>
        <w:t xml:space="preserve"> Antes de añadir una línea, un borde o un fondo, se resuelve con tamaño, peso y espaciado. Los bordes son de 1 px y casi invisibles; las sombras, sutiles y funcionales.</w:t>
      </w:r>
    </w:p>
    <w:p>
      <w:pPr>
        <w:pStyle w:val="ListParagraph"/>
        <w:numPr>
          <w:ilvl w:val="0"/>
          <w:numId w:val="2"/>
        </w:numPr>
        <w:spacing w:after="70"/>
      </w:pPr>
      <w:r>
        <w:t xml:space="preserve"/>
      </w:r>
      <w:r>
        <w:rPr>
          <w:b/>
          <w:bCs/>
        </w:rPr>
        <w:t xml:space="preserve">Densidad con respiración.</w:t>
      </w:r>
      <w:r>
        <w:t xml:space="preserve"> Los usuarios expertos quieren muchas filas visibles (Linear), no tarjetas infladas. Densidad alta en tablas, generosidad en márgenes de página.</w:t>
      </w:r>
    </w:p>
    <w:p>
      <w:pPr>
        <w:pStyle w:val="ListParagraph"/>
        <w:numPr>
          <w:ilvl w:val="0"/>
          <w:numId w:val="2"/>
        </w:numPr>
        <w:spacing w:after="70"/>
      </w:pPr>
      <w:r>
        <w:t xml:space="preserve"/>
      </w:r>
      <w:r>
        <w:rPr>
          <w:b/>
          <w:bCs/>
        </w:rPr>
        <w:t xml:space="preserve">Cero estados vacíos muertos.</w:t>
      </w:r>
      <w:r>
        <w:t xml:space="preserve"> Todo estado vacío enseña, propone la primera acción y muestra un ejemplo real del valor.</w:t>
      </w:r>
    </w:p>
    <w:p>
      <w:pPr>
        <w:pStyle w:val="ListParagraph"/>
        <w:numPr>
          <w:ilvl w:val="0"/>
          <w:numId w:val="2"/>
        </w:numPr>
        <w:spacing w:after="70"/>
      </w:pPr>
      <w:r>
        <w:t xml:space="preserve"/>
      </w:r>
      <w:r>
        <w:rPr>
          <w:b/>
          <w:bCs/>
        </w:rPr>
        <w:t xml:space="preserve">El campo manda.</w:t>
      </w:r>
      <w:r>
        <w:t xml:space="preserve"> Cualquier flujo de captura debe poder completarse con una mano, con guantes, en menos de 3 toques y sin conexión. Si una decisión de diseño perjudica la manga, pierde.</w:t>
      </w:r>
    </w:p>
    <w:p>
      <w:pPr>
        <w:pStyle w:val="ListParagraph"/>
        <w:numPr>
          <w:ilvl w:val="0"/>
          <w:numId w:val="2"/>
        </w:numPr>
        <w:spacing w:after="70"/>
      </w:pPr>
      <w:r>
        <w:t xml:space="preserve"/>
      </w:r>
      <w:r>
        <w:rPr>
          <w:b/>
          <w:bCs/>
        </w:rPr>
        <w:t xml:space="preserve">Motion con significado.</w:t>
      </w:r>
      <w:r>
        <w:t xml:space="preserve"> Las animaciones explican causalidad (de dónde vino un panel, qué cambió), duran 150–300 ms y jamás bloquean. Nunca animar por decorar.</w:t>
      </w:r>
    </w:p>
    <w:p>
      <w:pPr>
        <w:pStyle w:val="ListParagraph"/>
        <w:numPr>
          <w:ilvl w:val="0"/>
          <w:numId w:val="2"/>
        </w:numPr>
        <w:spacing w:after="70"/>
      </w:pPr>
      <w:r>
        <w:t xml:space="preserve"/>
      </w:r>
      <w:r>
        <w:rPr>
          <w:b/>
          <w:bCs/>
        </w:rPr>
        <w:t xml:space="preserve">Accesible por contrato.</w:t>
      </w:r>
      <w:r>
        <w:t xml:space="preserve"> WCAG 2.2 AA mínimo en ambos temas; AAA en el modo campo (sol directo).</w:t>
      </w:r>
    </w:p>
    <w:p>
      <w:pPr>
        <w:pStyle w:val="Heading1"/>
        <w:pageBreakBefore/>
      </w:pPr>
      <w:r>
        <w:t xml:space="preserve">2. Usuarios y contextos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Persona</w:t>
            </w:r>
          </w:p>
        </w:tc>
        <w:tc>
          <w:tcPr>
            <w:tcW w:type="dxa" w:w="32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Contexto</w:t>
            </w:r>
          </w:p>
        </w:tc>
        <w:tc>
          <w:tcPr>
            <w:tcW w:type="dxa" w:w="40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Implicación de diseño</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Propietario / gerente</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Oficina, escritorio grande, sesiones largas de análisis</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Dashboard denso, comparativas entre fincas, atajos de teclado, command palette (⌘K)</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Capataz / mayordomo</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Campo, móvil, guantes, sol, prisa</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Modo campo: tipografía XL, targets de 56 px, alto contraste, voz, offline visible</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Veterinario / asesor</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Multi-cliente, tablet y móvil</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Cambio de organización en 2 toques, vistas clínicas, acceso restringido claro</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Contador</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Escritorio, Excel-céntrico</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Tablas exportables, números tabulares, filtros persistentes, conciliaciones</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Operario</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Móvil de gama baja, alfabetización digital variable</w:t>
            </w:r>
          </w:p>
        </w:tc>
        <w:tc>
          <w:tcPr>
            <w:tcW w:type="dxa" w:w="40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Flujos lineales de un paso por pantalla, iconos + texto siempre, cero jerga</w:t>
            </w:r>
          </w:p>
        </w:tc>
      </w:tr>
    </w:tbl>
    <w:p>
      <w:pPr>
        <w:spacing w:after="140"/>
      </w:pPr>
    </w:p>
    <w:p>
      <w:pPr>
        <w:pStyle w:val="Heading1"/>
        <w:pageBreakBefore/>
      </w:pPr>
      <w:r>
        <w:t xml:space="preserve">3. Arquitectura de información y navegación</w:t>
      </w:r>
    </w:p>
    <w:p>
      <w:pPr>
        <w:pStyle w:val="Heading2"/>
      </w:pPr>
      <w:r>
        <w:t xml:space="preserve">3.1 Navegación lateral (desktop/tablet)</w:t>
      </w:r>
    </w:p>
    <w:p>
      <w:pPr>
        <w:spacing w:after="140"/>
      </w:pPr>
      <w:r>
        <w:t xml:space="preserve">Sidebar fija de </w:t>
      </w:r>
      <w:r>
        <w:rPr>
          <w:b/>
          <w:bCs/>
        </w:rPr>
        <w:t xml:space="preserve">240 px</w:t>
      </w:r>
      <w:r>
        <w:t xml:space="preserve"> (colapsable a 64 px solo-iconos con tooltips), estilo Linear/Notion: fondo apenas distinto del lienzo (sin borde duro), ítems de 32 px de alto, icono 18 px + etiqueta 13 px, estado activo con píldora sutil de fondo y acento verde en el icono. Orden de secciones pensado por frecuencia de uso, no por organigrama del ERP:</w:t>
      </w:r>
    </w:p>
    <w:p>
      <w:pPr>
        <w:pStyle w:val="ListParagraph"/>
        <w:numPr>
          <w:ilvl w:val="0"/>
          <w:numId w:val="2"/>
        </w:numPr>
        <w:spacing w:after="70"/>
      </w:pPr>
      <w:r>
        <w:t xml:space="preserve"/>
      </w:r>
      <w:r>
        <w:rPr>
          <w:b/>
          <w:bCs/>
        </w:rPr>
        <w:t xml:space="preserve">Cabecera de contexto:</w:t>
      </w:r>
      <w:r>
        <w:t xml:space="preserve"> selector Organización → Empresa → Finca (avatar + nombre, menú en cascada). Debajo, buscador global que abre el command palette (⌘K / Ctrl-K).</w:t>
      </w:r>
    </w:p>
    <w:p>
      <w:pPr>
        <w:pStyle w:val="ListParagraph"/>
        <w:numPr>
          <w:ilvl w:val="0"/>
          <w:numId w:val="2"/>
        </w:numPr>
        <w:spacing w:after="70"/>
      </w:pPr>
      <w:r>
        <w:t xml:space="preserve"/>
      </w:r>
      <w:r>
        <w:rPr>
          <w:b/>
          <w:bCs/>
        </w:rPr>
        <w:t xml:space="preserve">Operación diaria:</w:t>
      </w:r>
      <w:r>
        <w:t xml:space="preserve"> Inicio (dashboard), Animales, Lotes, Potreros y Mapa, Tareas y Calendario.</w:t>
      </w:r>
    </w:p>
    <w:p>
      <w:pPr>
        <w:pStyle w:val="ListParagraph"/>
        <w:numPr>
          <w:ilvl w:val="0"/>
          <w:numId w:val="2"/>
        </w:numPr>
        <w:spacing w:after="70"/>
      </w:pPr>
      <w:r>
        <w:t xml:space="preserve"/>
      </w:r>
      <w:r>
        <w:rPr>
          <w:b/>
          <w:bCs/>
        </w:rPr>
        <w:t xml:space="preserve">Gestión:</w:t>
      </w:r>
      <w:r>
        <w:t xml:space="preserve"> Reproducción, Sanidad, Producción, Nutrición, Inventario, Maquinaria.</w:t>
      </w:r>
    </w:p>
    <w:p>
      <w:pPr>
        <w:pStyle w:val="ListParagraph"/>
        <w:numPr>
          <w:ilvl w:val="0"/>
          <w:numId w:val="2"/>
        </w:numPr>
        <w:spacing w:after="70"/>
      </w:pPr>
      <w:r>
        <w:t xml:space="preserve"/>
      </w:r>
      <w:r>
        <w:rPr>
          <w:b/>
          <w:bCs/>
        </w:rPr>
        <w:t xml:space="preserve">Negocio:</w:t>
      </w:r>
      <w:r>
        <w:t xml:space="preserve"> Finanzas, Compras y Ventas, Marketplace, Reportes.</w:t>
      </w:r>
    </w:p>
    <w:p>
      <w:pPr>
        <w:pStyle w:val="ListParagraph"/>
        <w:numPr>
          <w:ilvl w:val="0"/>
          <w:numId w:val="2"/>
        </w:numPr>
        <w:spacing w:after="70"/>
      </w:pPr>
      <w:r>
        <w:t xml:space="preserve"/>
      </w:r>
      <w:r>
        <w:rPr>
          <w:b/>
          <w:bCs/>
        </w:rPr>
        <w:t xml:space="preserve">Pie de sidebar:</w:t>
      </w:r>
      <w:r>
        <w:t xml:space="preserve"> Alertas (badge numérico), Academia, Configuración, avatar de usuario, y el </w:t>
      </w:r>
      <w:r>
        <w:rPr>
          <w:b/>
          <w:bCs/>
        </w:rPr>
        <w:t xml:space="preserve">indicador de sincronización</w:t>
      </w:r>
      <w:r>
        <w:t xml:space="preserve"> — un punto verde/ámbar/rojo con texto "Sincronizado hace 2 min", siempre visible: en un producto offline-first el estado de sync es información de primera clase.</w:t>
      </w:r>
    </w:p>
    <w:p>
      <w:pPr>
        <w:pStyle w:val="Heading2"/>
      </w:pPr>
      <w:r>
        <w:t xml:space="preserve">3.2 Navegación móvil</w:t>
      </w:r>
    </w:p>
    <w:p>
      <w:pPr>
        <w:spacing w:after="140"/>
      </w:pPr>
      <w:r>
        <w:t xml:space="preserve">Tab bar inferior de 5 posiciones: Inicio, Animales, </w:t>
      </w:r>
      <w:r>
        <w:rPr>
          <w:b/>
          <w:bCs/>
        </w:rPr>
        <w:t xml:space="preserve">botón central de captura (+)</w:t>
      </w:r>
      <w:r>
        <w:t xml:space="preserve"> elevado (FAB integrado, estilo cámara de Arc), Mapa, Menú. El botón central abre el "capturador rápido": una hoja con las 6 acciones de campo más frecuentes (pesar, tratar, mover, celo, parto, foto). Gesto de deslizar desde el borde para volver, pull-to-sync en cualquier lista.</w:t>
      </w:r>
    </w:p>
    <w:p>
      <w:pPr>
        <w:pStyle w:val="Heading2"/>
      </w:pPr>
      <w:r>
        <w:t xml:space="preserve">3.3 Command palette y atajos</w:t>
      </w:r>
    </w:p>
    <w:p>
      <w:pPr>
        <w:spacing w:after="140"/>
      </w:pPr>
      <w:r>
        <w:t xml:space="preserve">⌘K abre búsqueda universal con acciones: "caravana 472" salta al animal, "nueva venta" abre el flujo, "peso promedio lote 3" responde con el copiloto. Atajos estilo Linear: G+A (animales), G+D (dashboard), N (nuevo registro contextual), [ ] navegar entre registros. Los atajos se muestran en tooltips y en una hoja de referencia con "?".</w:t>
      </w:r>
    </w:p>
    <w:p>
      <w:pPr>
        <w:pStyle w:val="Heading2"/>
      </w:pPr>
      <w:r>
        <w:t xml:space="preserve">3.4 Patrones de página</w:t>
      </w:r>
    </w:p>
    <w:p>
      <w:pPr>
        <w:pStyle w:val="ListParagraph"/>
        <w:numPr>
          <w:ilvl w:val="0"/>
          <w:numId w:val="2"/>
        </w:numPr>
        <w:spacing w:after="70"/>
      </w:pPr>
      <w:r>
        <w:t xml:space="preserve"/>
      </w:r>
      <w:r>
        <w:rPr>
          <w:b/>
          <w:bCs/>
        </w:rPr>
        <w:t xml:space="preserve">Lista maestra + panel de detalle</w:t>
      </w:r>
      <w:r>
        <w:t xml:space="preserve"> (split view estilo Linear): la lista conserva scroll y filtros; el detalle abre a la derecha sin perder contexto; Esc cierra.</w:t>
      </w:r>
    </w:p>
    <w:p>
      <w:pPr>
        <w:pStyle w:val="ListParagraph"/>
        <w:numPr>
          <w:ilvl w:val="0"/>
          <w:numId w:val="2"/>
        </w:numPr>
        <w:spacing w:after="70"/>
      </w:pPr>
      <w:r>
        <w:t xml:space="preserve"/>
      </w:r>
      <w:r>
        <w:rPr>
          <w:b/>
          <w:bCs/>
        </w:rPr>
        <w:t xml:space="preserve">Ficha 360°</w:t>
      </w:r>
      <w:r>
        <w:t xml:space="preserve"> (animal, potrero, cliente): cabecera con identidad + KPIs vitales, pestañas de historial (línea de tiempo vertical), y barra de acciones fija.</w:t>
      </w:r>
    </w:p>
    <w:p>
      <w:pPr>
        <w:pStyle w:val="ListParagraph"/>
        <w:numPr>
          <w:ilvl w:val="0"/>
          <w:numId w:val="2"/>
        </w:numPr>
        <w:spacing w:after="70"/>
      </w:pPr>
      <w:r>
        <w:t xml:space="preserve"/>
      </w:r>
      <w:r>
        <w:rPr>
          <w:b/>
          <w:bCs/>
        </w:rPr>
        <w:t xml:space="preserve">Asistentes de captura masiva</w:t>
      </w:r>
      <w:r>
        <w:t xml:space="preserve"> (pesaje de manga, vacunación de lote): pantalla completa, progreso visible ("47 de 120"), deshacer inmediato.</w:t>
      </w:r>
    </w:p>
    <w:p>
      <w:pPr>
        <w:pStyle w:val="ListParagraph"/>
        <w:numPr>
          <w:ilvl w:val="0"/>
          <w:numId w:val="2"/>
        </w:numPr>
        <w:spacing w:after="70"/>
      </w:pPr>
      <w:r>
        <w:t xml:space="preserve"/>
      </w:r>
      <w:r>
        <w:rPr>
          <w:b/>
          <w:bCs/>
        </w:rPr>
        <w:t xml:space="preserve">Peek &amp; commit:</w:t>
      </w:r>
      <w:r>
        <w:t xml:space="preserve"> hover/long-press muestra vista previa de cualquier entidad enlazada (como Notion) sin navegar.</w:t>
      </w:r>
    </w:p>
    <w:p>
      <w:pPr>
        <w:pStyle w:val="Heading1"/>
        <w:pageBreakBefore/>
      </w:pPr>
      <w:r>
        <w:t xml:space="preserve">4. Sistema de color</w:t>
      </w:r>
    </w:p>
    <w:p>
      <w:pPr>
        <w:pStyle w:val="Heading2"/>
      </w:pPr>
      <w:r>
        <w:t xml:space="preserve">4.1 Filosofía</w:t>
      </w:r>
    </w:p>
    <w:p>
      <w:pPr>
        <w:spacing w:after="140"/>
      </w:pPr>
      <w:r>
        <w:t xml:space="preserve">Base neutra cálida (grises con una gota de verde, nunca gris azulado frío), </w:t>
      </w:r>
      <w:r>
        <w:rPr>
          <w:b/>
          <w:bCs/>
        </w:rPr>
        <w:t xml:space="preserve">un solo acento de marca</w:t>
      </w:r>
      <w:r>
        <w:t xml:space="preserve"> (verde bosque) y una familia semántica corta. El color de marca se usa con avaricia: acciones primarias, estado activo, foco. El resto del lienzo es neutro para que los datos —gráficos, mapas, estados— sean lo único que "habla" en color.</w:t>
      </w:r>
    </w:p>
    <w:p>
      <w:pPr>
        <w:pStyle w:val="Heading2"/>
      </w:pPr>
      <w:r>
        <w:t xml:space="preserve">4.2 Paleta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160"/>
        <w:gridCol w:w="4200"/>
      </w:tblGrid>
      <w:tr>
        <w:trPr>
          <w:tblHeader/>
        </w:trPr>
        <w:tc>
          <w:tcPr>
            <w:tcW w:type="dxa" w:w="11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
            </w:r>
          </w:p>
        </w:tc>
        <w:tc>
          <w:tcPr>
            <w:tcW w:type="dxa" w:w="19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Token</w:t>
            </w:r>
          </w:p>
        </w:tc>
        <w:tc>
          <w:tcPr>
            <w:tcW w:type="dxa" w:w="21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Valor</w:t>
            </w:r>
          </w:p>
        </w:tc>
        <w:tc>
          <w:tcPr>
            <w:tcW w:type="dxa" w:w="42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Uso</w:t>
            </w:r>
          </w:p>
        </w:tc>
      </w:tr>
      <w:tr>
        <w:tc>
          <w:tcPr>
            <w:tcW w:type="dxa" w:w="1100"/>
            <w:tcBorders>
              <w:top w:val="single" w:color="CCCCCC" w:sz="1"/>
              <w:left w:val="single" w:color="CCCCCC" w:sz="1"/>
              <w:bottom w:val="single" w:color="CCCCCC" w:sz="1"/>
              <w:right w:val="single" w:color="CCCCCC" w:sz="1"/>
            </w:tcBorders>
            <w:shd w:fill="0E2A20"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brand-900</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#0E2A20</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Textos sobre acento claro, hover de primario en claro</w:t>
            </w:r>
          </w:p>
        </w:tc>
      </w:tr>
      <w:tr>
        <w:tc>
          <w:tcPr>
            <w:tcW w:type="dxa" w:w="11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brand-700</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#1F4E3D</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Color de marca principal: botones primarios, estado activo, links</w:t>
            </w:r>
          </w:p>
        </w:tc>
      </w:tr>
      <w:tr>
        <w:tc>
          <w:tcPr>
            <w:tcW w:type="dxa" w:w="1100"/>
            <w:tcBorders>
              <w:top w:val="single" w:color="CCCCCC" w:sz="1"/>
              <w:left w:val="single" w:color="CCCCCC" w:sz="1"/>
              <w:bottom w:val="single" w:color="CCCCCC" w:sz="1"/>
              <w:right w:val="single" w:color="CCCCCC" w:sz="1"/>
            </w:tcBorders>
            <w:shd w:fill="2E7D5B"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brand-500</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#2E7D5B</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Acento en modo oscuro (más luminoso para contraste), iconos activos</w:t>
            </w:r>
          </w:p>
        </w:tc>
      </w:tr>
      <w:tr>
        <w:tc>
          <w:tcPr>
            <w:tcW w:type="dxa" w:w="1100"/>
            <w:tcBorders>
              <w:top w:val="single" w:color="CCCCCC" w:sz="1"/>
              <w:left w:val="single" w:color="CCCCCC" w:sz="1"/>
              <w:bottom w:val="single" w:color="CCCCCC" w:sz="1"/>
              <w:right w:val="single" w:color="CCCCCC" w:sz="1"/>
            </w:tcBorders>
            <w:shd w:fill="7FBFA3"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brand-300</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#7FBFA3</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Elementos secundarios de marca, rellenos de gráficos</w:t>
            </w:r>
          </w:p>
        </w:tc>
      </w:tr>
      <w:tr>
        <w:tc>
          <w:tcPr>
            <w:tcW w:type="dxa" w:w="1100"/>
            <w:tcBorders>
              <w:top w:val="single" w:color="CCCCCC" w:sz="1"/>
              <w:left w:val="single" w:color="CCCCCC" w:sz="1"/>
              <w:bottom w:val="single" w:color="CCCCCC" w:sz="1"/>
              <w:right w:val="single" w:color="CCCCCC" w:sz="1"/>
            </w:tcBorders>
            <w:shd w:fill="E7F2EC"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brand-100</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#E7F2EC</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Fondos de píldoras activas y hovers suaves en modo claro</w:t>
            </w:r>
          </w:p>
        </w:tc>
      </w:tr>
      <w:tr>
        <w:tc>
          <w:tcPr>
            <w:tcW w:type="dxa" w:w="1100"/>
            <w:tcBorders>
              <w:top w:val="single" w:color="CCCCCC" w:sz="1"/>
              <w:left w:val="single" w:color="CCCCCC" w:sz="1"/>
              <w:bottom w:val="single" w:color="CCCCCC" w:sz="1"/>
              <w:right w:val="single" w:color="CCCCCC" w:sz="1"/>
            </w:tcBorders>
            <w:shd w:fill="D97B2B"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amber-500</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#D97B2B</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Acento secundario tierra/ámbar: destacados, badges premium, CTAs de marketing</w:t>
            </w:r>
          </w:p>
        </w:tc>
      </w:tr>
    </w:tbl>
    <w:p>
      <w:pPr>
        <w:spacing w:after="140"/>
      </w:pPr>
    </w:p>
    <w:p>
      <w:pPr>
        <w:pStyle w:val="Heading2"/>
      </w:pPr>
      <w:r>
        <w:t xml:space="preserve">4.3 Neutros — modo claro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160"/>
        <w:gridCol w:w="4200"/>
      </w:tblGrid>
      <w:tr>
        <w:trPr>
          <w:tblHeader/>
        </w:trPr>
        <w:tc>
          <w:tcPr>
            <w:tcW w:type="dxa" w:w="11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
            </w:r>
          </w:p>
        </w:tc>
        <w:tc>
          <w:tcPr>
            <w:tcW w:type="dxa" w:w="19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Token</w:t>
            </w:r>
          </w:p>
        </w:tc>
        <w:tc>
          <w:tcPr>
            <w:tcW w:type="dxa" w:w="21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Valor</w:t>
            </w:r>
          </w:p>
        </w:tc>
        <w:tc>
          <w:tcPr>
            <w:tcW w:type="dxa" w:w="42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Uso</w:t>
            </w:r>
          </w:p>
        </w:tc>
      </w:tr>
      <w:tr>
        <w:tc>
          <w:tcPr>
            <w:tcW w:type="dxa" w:w="1100"/>
            <w:tcBorders>
              <w:top w:val="single" w:color="CCCCCC" w:sz="1"/>
              <w:left w:val="single" w:color="CCCCCC" w:sz="1"/>
              <w:bottom w:val="single" w:color="CCCCCC" w:sz="1"/>
              <w:right w:val="single" w:color="CCCCCC" w:sz="1"/>
            </w:tcBorders>
            <w:shd w:fill="FAFAF7"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bg-canvas</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#FAFAF7</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Fondo de la aplicación (blanco cálido, no #FFF puro)</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bg-surface</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#FFFFFF</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Cards, paneles, modales</w:t>
            </w:r>
          </w:p>
        </w:tc>
      </w:tr>
      <w:tr>
        <w:tc>
          <w:tcPr>
            <w:tcW w:type="dxa" w:w="1100"/>
            <w:tcBorders>
              <w:top w:val="single" w:color="CCCCCC" w:sz="1"/>
              <w:left w:val="single" w:color="CCCCCC" w:sz="1"/>
              <w:bottom w:val="single" w:color="CCCCCC" w:sz="1"/>
              <w:right w:val="single" w:color="CCCCCC" w:sz="1"/>
            </w:tcBorders>
            <w:shd w:fill="F2F2ED"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bg-sunken</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#F2F2ED</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Sidebar, wells, zonas hundidas, filas alternas</w:t>
            </w:r>
          </w:p>
        </w:tc>
      </w:tr>
      <w:tr>
        <w:tc>
          <w:tcPr>
            <w:tcW w:type="dxa" w:w="1100"/>
            <w:tcBorders>
              <w:top w:val="single" w:color="CCCCCC" w:sz="1"/>
              <w:left w:val="single" w:color="CCCCCC" w:sz="1"/>
              <w:bottom w:val="single" w:color="CCCCCC" w:sz="1"/>
              <w:right w:val="single" w:color="CCCCCC" w:sz="1"/>
            </w:tcBorders>
            <w:shd w:fill="E8E8E2"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border-subtle</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#E8E8E2</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Bordes de 1 px por defecto</w:t>
            </w:r>
          </w:p>
        </w:tc>
      </w:tr>
      <w:tr>
        <w:tc>
          <w:tcPr>
            <w:tcW w:type="dxa" w:w="1100"/>
            <w:tcBorders>
              <w:top w:val="single" w:color="CCCCCC" w:sz="1"/>
              <w:left w:val="single" w:color="CCCCCC" w:sz="1"/>
              <w:bottom w:val="single" w:color="CCCCCC" w:sz="1"/>
              <w:right w:val="single" w:color="CCCCCC" w:sz="1"/>
            </w:tcBorders>
            <w:shd w:fill="D1D1C9"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border-strong</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#D1D1C9</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Bordes de inputs y separadores marcados</w:t>
            </w:r>
          </w:p>
        </w:tc>
      </w:tr>
      <w:tr>
        <w:tc>
          <w:tcPr>
            <w:tcW w:type="dxa" w:w="1100"/>
            <w:tcBorders>
              <w:top w:val="single" w:color="CCCCCC" w:sz="1"/>
              <w:left w:val="single" w:color="CCCCCC" w:sz="1"/>
              <w:bottom w:val="single" w:color="CCCCCC" w:sz="1"/>
              <w:right w:val="single" w:color="CCCCCC" w:sz="1"/>
            </w:tcBorders>
            <w:shd w:fill="191C1A"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text-primary</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#191C1A</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Texto principal (casi negro, cálido)</w:t>
            </w:r>
          </w:p>
        </w:tc>
      </w:tr>
      <w:tr>
        <w:tc>
          <w:tcPr>
            <w:tcW w:type="dxa" w:w="1100"/>
            <w:tcBorders>
              <w:top w:val="single" w:color="CCCCCC" w:sz="1"/>
              <w:left w:val="single" w:color="CCCCCC" w:sz="1"/>
              <w:bottom w:val="single" w:color="CCCCCC" w:sz="1"/>
              <w:right w:val="single" w:color="CCCCCC" w:sz="1"/>
            </w:tcBorders>
            <w:shd w:fill="5A605C"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text-secondary</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#5A605C</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Texto secundario, metadatos</w:t>
            </w:r>
          </w:p>
        </w:tc>
      </w:tr>
      <w:tr>
        <w:tc>
          <w:tcPr>
            <w:tcW w:type="dxa" w:w="1100"/>
            <w:tcBorders>
              <w:top w:val="single" w:color="CCCCCC" w:sz="1"/>
              <w:left w:val="single" w:color="CCCCCC" w:sz="1"/>
              <w:bottom w:val="single" w:color="CCCCCC" w:sz="1"/>
              <w:right w:val="single" w:color="CCCCCC" w:sz="1"/>
            </w:tcBorders>
            <w:shd w:fill="8B918D"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text-tertiary</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#8B918D</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Placeholders, texto deshabilitado</w:t>
            </w:r>
          </w:p>
        </w:tc>
      </w:tr>
    </w:tbl>
    <w:p>
      <w:pPr>
        <w:spacing w:after="140"/>
      </w:pPr>
    </w:p>
    <w:p>
      <w:pPr>
        <w:pStyle w:val="Heading2"/>
      </w:pPr>
      <w:r>
        <w:t xml:space="preserve">4.4 Neutros — modo oscuro</w:t>
      </w:r>
    </w:p>
    <w:p>
      <w:pPr>
        <w:spacing w:after="140"/>
      </w:pPr>
      <w:r>
        <w:t xml:space="preserve">El modo oscuro no es una inversión: es un tema propio, estilo Linear/Arc. Fondo casi negro con temperatura verde, superficies que se elevan aclarándose (no con sombras), bordes que aparecen solo donde el contraste de fondo no basta.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160"/>
        <w:gridCol w:w="4200"/>
      </w:tblGrid>
      <w:tr>
        <w:trPr>
          <w:tblHeader/>
        </w:trPr>
        <w:tc>
          <w:tcPr>
            <w:tcW w:type="dxa" w:w="11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
            </w:r>
          </w:p>
        </w:tc>
        <w:tc>
          <w:tcPr>
            <w:tcW w:type="dxa" w:w="19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Token</w:t>
            </w:r>
          </w:p>
        </w:tc>
        <w:tc>
          <w:tcPr>
            <w:tcW w:type="dxa" w:w="21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Valor</w:t>
            </w:r>
          </w:p>
        </w:tc>
        <w:tc>
          <w:tcPr>
            <w:tcW w:type="dxa" w:w="42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Uso</w:t>
            </w:r>
          </w:p>
        </w:tc>
      </w:tr>
      <w:tr>
        <w:tc>
          <w:tcPr>
            <w:tcW w:type="dxa" w:w="1100"/>
            <w:tcBorders>
              <w:top w:val="single" w:color="CCCCCC" w:sz="1"/>
              <w:left w:val="single" w:color="CCCCCC" w:sz="1"/>
              <w:bottom w:val="single" w:color="CCCCCC" w:sz="1"/>
              <w:right w:val="single" w:color="CCCCCC" w:sz="1"/>
            </w:tcBorders>
            <w:shd w:fill="0C0F0E"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bg-canvas</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#0C0F0E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Fondo de la aplicación</w:t>
            </w:r>
          </w:p>
        </w:tc>
      </w:tr>
      <w:tr>
        <w:tc>
          <w:tcPr>
            <w:tcW w:type="dxa" w:w="1100"/>
            <w:tcBorders>
              <w:top w:val="single" w:color="CCCCCC" w:sz="1"/>
              <w:left w:val="single" w:color="CCCCCC" w:sz="1"/>
              <w:bottom w:val="single" w:color="CCCCCC" w:sz="1"/>
              <w:right w:val="single" w:color="CCCCCC" w:sz="1"/>
            </w:tcBorders>
            <w:shd w:fill="151917"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bg-surface</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#151917</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Cards y paneles (elevación 1)</w:t>
            </w:r>
          </w:p>
        </w:tc>
      </w:tr>
      <w:tr>
        <w:tc>
          <w:tcPr>
            <w:tcW w:type="dxa" w:w="1100"/>
            <w:tcBorders>
              <w:top w:val="single" w:color="CCCCCC" w:sz="1"/>
              <w:left w:val="single" w:color="CCCCCC" w:sz="1"/>
              <w:bottom w:val="single" w:color="CCCCCC" w:sz="1"/>
              <w:right w:val="single" w:color="CCCCCC" w:sz="1"/>
            </w:tcBorders>
            <w:shd w:fill="1D2220"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bg-raised</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#1D2220</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Modales, menús, popovers (elevación 2)</w:t>
            </w:r>
          </w:p>
        </w:tc>
      </w:tr>
      <w:tr>
        <w:tc>
          <w:tcPr>
            <w:tcW w:type="dxa" w:w="1100"/>
            <w:tcBorders>
              <w:top w:val="single" w:color="CCCCCC" w:sz="1"/>
              <w:left w:val="single" w:color="CCCCCC" w:sz="1"/>
              <w:bottom w:val="single" w:color="CCCCCC" w:sz="1"/>
              <w:right w:val="single" w:color="CCCCCC" w:sz="1"/>
            </w:tcBorders>
            <w:shd w:fill="262B29"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border-subtle</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#262B29</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Bordes de 1 px</w:t>
            </w:r>
          </w:p>
        </w:tc>
      </w:tr>
      <w:tr>
        <w:tc>
          <w:tcPr>
            <w:tcW w:type="dxa" w:w="1100"/>
            <w:tcBorders>
              <w:top w:val="single" w:color="CCCCCC" w:sz="1"/>
              <w:left w:val="single" w:color="CCCCCC" w:sz="1"/>
              <w:bottom w:val="single" w:color="CCCCCC" w:sz="1"/>
              <w:right w:val="single" w:color="CCCCCC" w:sz="1"/>
            </w:tcBorders>
            <w:shd w:fill="343A37"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border-strong</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#343A37</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Bordes de inputs</w:t>
            </w:r>
          </w:p>
        </w:tc>
      </w:tr>
      <w:tr>
        <w:tc>
          <w:tcPr>
            <w:tcW w:type="dxa" w:w="1100"/>
            <w:tcBorders>
              <w:top w:val="single" w:color="CCCCCC" w:sz="1"/>
              <w:left w:val="single" w:color="CCCCCC" w:sz="1"/>
              <w:bottom w:val="single" w:color="CCCCCC" w:sz="1"/>
              <w:right w:val="single" w:color="CCCCCC" w:sz="1"/>
            </w:tcBorders>
            <w:shd w:fill="ECEFED"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text-primary</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#ECEFED</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Texto principal (nunca #FFF puro: fatiga)</w:t>
            </w:r>
          </w:p>
        </w:tc>
      </w:tr>
      <w:tr>
        <w:tc>
          <w:tcPr>
            <w:tcW w:type="dxa" w:w="1100"/>
            <w:tcBorders>
              <w:top w:val="single" w:color="CCCCCC" w:sz="1"/>
              <w:left w:val="single" w:color="CCCCCC" w:sz="1"/>
              <w:bottom w:val="single" w:color="CCCCCC" w:sz="1"/>
              <w:right w:val="single" w:color="CCCCCC" w:sz="1"/>
            </w:tcBorders>
            <w:shd w:fill="9BA39E" w:val="clear"/>
            <w:tcMar>
              <w:top w:type="dxa" w:w="70"/>
              <w:left w:type="dxa" w:w="110"/>
              <w:bottom w:type="dxa" w:w="70"/>
              <w:right w:type="dxa" w:w="110"/>
            </w:tcMar>
          </w:tcPr>
          <w:p>
            <w:r>
              <w:rPr>
                <w:color w:val="333333"/>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text-secondary</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#9BA39E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Texto secundario</w:t>
            </w:r>
          </w:p>
        </w:tc>
      </w:tr>
      <w:tr>
        <w:tc>
          <w:tcPr>
            <w:tcW w:type="dxa" w:w="1100"/>
            <w:tcBorders>
              <w:top w:val="single" w:color="CCCCCC" w:sz="1"/>
              <w:left w:val="single" w:color="CCCCCC" w:sz="1"/>
              <w:bottom w:val="single" w:color="CCCCCC" w:sz="1"/>
              <w:right w:val="single" w:color="CCCCCC" w:sz="1"/>
            </w:tcBorders>
            <w:shd w:fill="6A716D"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text-tertiary</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#6A716D</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Placeholders, deshabilitado</w:t>
            </w:r>
          </w:p>
        </w:tc>
      </w:tr>
    </w:tbl>
    <w:p>
      <w:pPr>
        <w:spacing w:after="140"/>
      </w:pPr>
    </w:p>
    <w:p>
      <w:pPr>
        <w:pStyle w:val="Heading2"/>
      </w:pPr>
      <w:r>
        <w:t xml:space="preserve">4.5 Colores semánticos (ambos temas)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160"/>
        <w:gridCol w:w="4200"/>
      </w:tblGrid>
      <w:tr>
        <w:trPr>
          <w:tblHeader/>
        </w:trPr>
        <w:tc>
          <w:tcPr>
            <w:tcW w:type="dxa" w:w="11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
            </w:r>
          </w:p>
        </w:tc>
        <w:tc>
          <w:tcPr>
            <w:tcW w:type="dxa" w:w="19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Token</w:t>
            </w:r>
          </w:p>
        </w:tc>
        <w:tc>
          <w:tcPr>
            <w:tcW w:type="dxa" w:w="21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Valor</w:t>
            </w:r>
          </w:p>
        </w:tc>
        <w:tc>
          <w:tcPr>
            <w:tcW w:type="dxa" w:w="42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Uso</w:t>
            </w:r>
          </w:p>
        </w:tc>
      </w:tr>
      <w:tr>
        <w:tc>
          <w:tcPr>
            <w:tcW w:type="dxa" w:w="1100"/>
            <w:tcBorders>
              <w:top w:val="single" w:color="CCCCCC" w:sz="1"/>
              <w:left w:val="single" w:color="CCCCCC" w:sz="1"/>
              <w:bottom w:val="single" w:color="CCCCCC" w:sz="1"/>
              <w:right w:val="single" w:color="CCCCCC" w:sz="1"/>
            </w:tcBorders>
            <w:shd w:fill="1E7F4F"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success</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#1E7F4F / #34B375</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Confirmaciones, sync OK, preñez positiva</w:t>
            </w:r>
          </w:p>
        </w:tc>
      </w:tr>
      <w:tr>
        <w:tc>
          <w:tcPr>
            <w:tcW w:type="dxa" w:w="1100"/>
            <w:tcBorders>
              <w:top w:val="single" w:color="CCCCCC" w:sz="1"/>
              <w:left w:val="single" w:color="CCCCCC" w:sz="1"/>
              <w:bottom w:val="single" w:color="CCCCCC" w:sz="1"/>
              <w:right w:val="single" w:color="CCCCCC" w:sz="1"/>
            </w:tcBorders>
            <w:shd w:fill="B45309"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warning</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#B45309 / #E8A33D</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Retiros activos, stock bajo, sync pendiente</w:t>
            </w:r>
          </w:p>
        </w:tc>
      </w:tr>
      <w:tr>
        <w:tc>
          <w:tcPr>
            <w:tcW w:type="dxa" w:w="1100"/>
            <w:tcBorders>
              <w:top w:val="single" w:color="CCCCCC" w:sz="1"/>
              <w:left w:val="single" w:color="CCCCCC" w:sz="1"/>
              <w:bottom w:val="single" w:color="CCCCCC" w:sz="1"/>
              <w:right w:val="single" w:color="CCCCCC" w:sz="1"/>
            </w:tcBorders>
            <w:shd w:fill="B3261E"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danger</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#B3261E / #E5534B</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Errores, mortalidad, alertas críticas</w:t>
            </w:r>
          </w:p>
        </w:tc>
      </w:tr>
      <w:tr>
        <w:tc>
          <w:tcPr>
            <w:tcW w:type="dxa" w:w="1100"/>
            <w:tcBorders>
              <w:top w:val="single" w:color="CCCCCC" w:sz="1"/>
              <w:left w:val="single" w:color="CCCCCC" w:sz="1"/>
              <w:bottom w:val="single" w:color="CCCCCC" w:sz="1"/>
              <w:right w:val="single" w:color="CCCCCC" w:sz="1"/>
            </w:tcBorders>
            <w:shd w:fill="20618A" w:val="clear"/>
            <w:tcMar>
              <w:top w:type="dxa" w:w="70"/>
              <w:left w:type="dxa" w:w="110"/>
              <w:bottom w:type="dxa" w:w="70"/>
              <w:right w:type="dxa" w:w="110"/>
            </w:tcMar>
          </w:tcPr>
          <w:p>
            <w:r>
              <w:rPr>
                <w:color w:val="FFFFFF"/>
                <w:sz w:val="18"/>
                <w:szCs w:val="18"/>
              </w:rPr>
              <w:t xml:space="preserve">  Aa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info</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Courier New" w:cs="Courier New" w:eastAsia="Courier New" w:hAnsi="Courier New"/>
                <w:sz w:val="18"/>
                <w:szCs w:val="18"/>
              </w:rPr>
              <w:t xml:space="preserve">#20618A / #5BA3D0</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Información, sugerencias del copiloto</w:t>
            </w:r>
          </w:p>
        </w:tc>
      </w:tr>
    </w:tbl>
    <w:p>
      <w:pPr>
        <w:spacing w:after="140"/>
      </w:pPr>
    </w:p>
    <w:p>
      <w:pPr>
        <w:pStyle w:val="Heading2"/>
      </w:pPr>
      <w:r>
        <w:t xml:space="preserve">4.6 Paleta de visualización de datos</w:t>
      </w:r>
    </w:p>
    <w:p>
      <w:pPr>
        <w:spacing w:after="140"/>
      </w:pPr>
      <w:r>
        <w:t xml:space="preserve">Ocho tonos categóricos diseñados para convivir con la marca y distinguibles con daltonismo (verificados con simulación deuteranopia/protanopia): verde marca, ámbar, azul petróleo, ciruela, arcilla, oliva, cian apagado y gris cálido. Para series continuas (mapas de calor de pasturas, NDVI) se usa una escala secuencial verde→ámbar→rojo con pasos perceptualmente uniformes (OKLCH).</w:t>
      </w:r>
    </w:p>
    <w:p>
      <w:pPr>
        <w:pStyle w:val="Heading2"/>
      </w:pPr>
      <w:r>
        <w:t xml:space="preserve">4.7 Reglas de uso</w:t>
      </w:r>
    </w:p>
    <w:p>
      <w:pPr>
        <w:pStyle w:val="ListParagraph"/>
        <w:numPr>
          <w:ilvl w:val="0"/>
          <w:numId w:val="2"/>
        </w:numPr>
        <w:spacing w:after="70"/>
      </w:pPr>
      <w:r>
        <w:t xml:space="preserve">El verde de marca nunca se usa para "éxito" en datos (se confundiría con la identidad): éxito usa su token semántico.</w:t>
      </w:r>
    </w:p>
    <w:p>
      <w:pPr>
        <w:pStyle w:val="ListParagraph"/>
        <w:numPr>
          <w:ilvl w:val="0"/>
          <w:numId w:val="2"/>
        </w:numPr>
        <w:spacing w:after="70"/>
      </w:pPr>
      <w:r>
        <w:t xml:space="preserve">Texto sobre acento: siempre blanco en claro y #0C0F0E en tonos luminosos del oscuro; contraste mínimo 4.5:1 verificado por token.</w:t>
      </w:r>
    </w:p>
    <w:p>
      <w:pPr>
        <w:pStyle w:val="ListParagraph"/>
        <w:numPr>
          <w:ilvl w:val="0"/>
          <w:numId w:val="2"/>
        </w:numPr>
        <w:spacing w:after="70"/>
      </w:pPr>
      <w:r>
        <w:t xml:space="preserve">Los estados de animal tienen color fijo transversal a toda la app: activo (neutro), en tratamiento (ámbar), retiro activo (ámbar con icono reloj), vendido (azul), muerto (gris tachado).</w:t>
      </w:r>
    </w:p>
    <w:p>
      <w:pPr>
        <w:pStyle w:val="ListParagraph"/>
        <w:numPr>
          <w:ilvl w:val="0"/>
          <w:numId w:val="2"/>
        </w:numPr>
        <w:spacing w:after="70"/>
      </w:pPr>
      <w:r>
        <w:t xml:space="preserve">Modo campo: fondo #FFFFFF o #000000 puros, texto negro/blanco puro y acentos saturados — el contraste AAA manda sobre la estética.</w:t>
      </w:r>
    </w:p>
    <w:p>
      <w:pPr>
        <w:pStyle w:val="Heading1"/>
        <w:pageBreakBefore/>
      </w:pPr>
      <w:r>
        <w:t xml:space="preserve">5. Sistema tipográfico</w:t>
      </w:r>
    </w:p>
    <w:p>
      <w:pPr>
        <w:pStyle w:val="Heading2"/>
      </w:pPr>
      <w:r>
        <w:t xml:space="preserve">5.1 Familias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260"/>
      </w:tblGrid>
      <w:tr>
        <w:trPr>
          <w:tblHeader/>
        </w:trPr>
        <w:tc>
          <w:tcPr>
            <w:tcW w:type="dxa" w:w="23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Rol</w:t>
            </w:r>
          </w:p>
        </w:tc>
        <w:tc>
          <w:tcPr>
            <w:tcW w:type="dxa" w:w="28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Fuente</w:t>
            </w:r>
          </w:p>
        </w:tc>
        <w:tc>
          <w:tcPr>
            <w:tcW w:type="dxa" w:w="42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Justificación</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Interfaz</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Inter (variable)</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Neutra, x-height alta, excelente en 12–14 px, soporte multi-idioma completo; la lengua franca de Stripe/Linear/Notion</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Números y datos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Inter con tnum/ss01 (tabular)</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Cifras tabulares para tablas, KPIs y finanzas: las columnas de números alinean perfectamente</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Display / marketing</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Söhne o General Sans</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Solo portada, onboarding y momentos de marca; jamás dentro del producto operativo</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Monoespaciada</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JetBrains Mono</w:t>
            </w:r>
          </w:p>
        </w:tc>
        <w:tc>
          <w:tcPr>
            <w:tcW w:type="dxa" w:w="42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IDs, caravanas RFID, códigos de lote, API keys</w:t>
            </w:r>
          </w:p>
        </w:tc>
      </w:tr>
    </w:tbl>
    <w:p>
      <w:pPr>
        <w:spacing w:after="140"/>
      </w:pPr>
    </w:p>
    <w:p>
      <w:pPr>
        <w:pStyle w:val="Heading2"/>
      </w:pPr>
      <w:r>
        <w:t xml:space="preserve">5.2 Escala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rPr>
          <w:tblHeader/>
        </w:trPr>
        <w:tc>
          <w:tcPr>
            <w:tcW w:type="dxa" w:w="18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Token</w:t>
            </w:r>
          </w:p>
        </w:tc>
        <w:tc>
          <w:tcPr>
            <w:tcW w:type="dxa" w:w="20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Tamaño/interlínea</w:t>
            </w:r>
          </w:p>
        </w:tc>
        <w:tc>
          <w:tcPr>
            <w:tcW w:type="dxa" w:w="14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Peso</w:t>
            </w:r>
          </w:p>
        </w:tc>
        <w:tc>
          <w:tcPr>
            <w:tcW w:type="dxa" w:w="41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Uso</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display</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28/34</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600</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Cifra protagonista del dashboard, cabeceras de página principales</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title-1</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20/28</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600</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Título de página</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title-2</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16/24</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600</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Título de card y de sección</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body</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14/20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400/500</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Texto por defecto de la interfaz</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body-sm</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13/18</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400</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Sidebar, tablas densas, metadatos</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caption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12/16</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400</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Etiquetas de ejes, timestamps, ayudas</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kpi</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32/36</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650 tnum</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Números grandes de widgets (con unidad en body-sm)</w:t>
            </w:r>
          </w:p>
        </w:tc>
      </w:tr>
    </w:tbl>
    <w:p>
      <w:pPr>
        <w:spacing w:after="140"/>
      </w:pPr>
    </w:p>
    <w:p>
      <w:pPr>
        <w:spacing w:after="140"/>
      </w:pPr>
      <w:r>
        <w:t xml:space="preserve">En móvil la escala sube un punto (body 15/22) y en </w:t>
      </w:r>
      <w:r>
        <w:rPr>
          <w:b/>
          <w:bCs/>
        </w:rPr>
        <w:t xml:space="preserve">modo campo</w:t>
      </w:r>
      <w:r>
        <w:t xml:space="preserve"> dos niveles: los valores capturables se muestran a 40–56 px con peso 700 — legibles a un metro de distancia con sol.</w:t>
      </w:r>
    </w:p>
    <w:p>
      <w:pPr>
        <w:pStyle w:val="Heading2"/>
      </w:pPr>
      <w:r>
        <w:t xml:space="preserve">5.3 Reglas</w:t>
      </w:r>
    </w:p>
    <w:p>
      <w:pPr>
        <w:pStyle w:val="ListParagraph"/>
        <w:numPr>
          <w:ilvl w:val="0"/>
          <w:numId w:val="2"/>
        </w:numPr>
        <w:spacing w:after="70"/>
      </w:pPr>
      <w:r>
        <w:t xml:space="preserve">Máximo dos pesos por vista (400/500 + 600). La negrita es jerarquía, no decoración.</w:t>
      </w:r>
    </w:p>
    <w:p>
      <w:pPr>
        <w:pStyle w:val="ListParagraph"/>
        <w:numPr>
          <w:ilvl w:val="0"/>
          <w:numId w:val="2"/>
        </w:numPr>
        <w:spacing w:after="70"/>
      </w:pPr>
      <w:r>
        <w:t xml:space="preserve">Números siempre tabulares en tablas, KPIs y montos; alineados a la derecha con su unidad en gris secundario.</w:t>
      </w:r>
    </w:p>
    <w:p>
      <w:pPr>
        <w:pStyle w:val="ListParagraph"/>
        <w:numPr>
          <w:ilvl w:val="0"/>
          <w:numId w:val="2"/>
        </w:numPr>
        <w:spacing w:after="70"/>
      </w:pPr>
      <w:r>
        <w:t xml:space="preserve">Sin mayúsculas sostenidas salvo microetiquetas de 11 px con tracking +0.06 em (como Stripe).</w:t>
      </w:r>
    </w:p>
    <w:p>
      <w:pPr>
        <w:pStyle w:val="ListParagraph"/>
        <w:numPr>
          <w:ilvl w:val="0"/>
          <w:numId w:val="2"/>
        </w:numPr>
        <w:spacing w:after="70"/>
      </w:pPr>
      <w:r>
        <w:t xml:space="preserve">Longitud de línea máxima 72 caracteres en textos largos (ayudas, academia).</w:t>
      </w:r>
    </w:p>
    <w:p>
      <w:pPr>
        <w:pStyle w:val="Heading1"/>
        <w:pageBreakBefore/>
      </w:pPr>
      <w:r>
        <w:t xml:space="preserve">6. Espaciado, grid y responsive</w:t>
      </w:r>
    </w:p>
    <w:p>
      <w:pPr>
        <w:pStyle w:val="Heading2"/>
      </w:pPr>
      <w:r>
        <w:t xml:space="preserve">6.1 Escala de espaciado</w:t>
      </w:r>
    </w:p>
    <w:p>
      <w:pPr>
        <w:spacing w:after="140"/>
      </w:pPr>
      <w:r>
        <w:t xml:space="preserve">Base de 4 px con escala: 4, 8, 12, 16, 20, 24, 32, 40, 48, 64. Regla práctica: 8 entre elementos relacionados, 16 entre grupos, 24 de padding interno de cards, 32 entre secciones de página. La densidad de tablas usa la subescala compacta (filas de 36 px; 44 px en móvil; 56 px en modo campo).</w:t>
      </w:r>
    </w:p>
    <w:p>
      <w:pPr>
        <w:pStyle w:val="Heading2"/>
      </w:pPr>
      <w:r>
        <w:t xml:space="preserve">6.2 Grid y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Breakpoint</w:t>
            </w:r>
          </w:p>
        </w:tc>
        <w:tc>
          <w:tcPr>
            <w:tcW w:type="dxa" w:w="24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Rango</w:t>
            </w:r>
          </w:p>
        </w:tc>
        <w:tc>
          <w:tcPr>
            <w:tcW w:type="dxa" w:w="51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Layout</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xs (móvil)</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&lt; 640 px</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 columna, tab bar inferior, cards apiladas, captura primero</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sm (móvil L / plegable)</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640–1023</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2 columnas de widgets, sidebar oculta (drawer)</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md (tablet)</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1024–1279</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Sidebar colapsada a iconos, grid de 8 col, split view maestro-detalle</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lg (desktop)</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1280–1679</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Sidebar completa 240 px, grid de 12 col, densidad estándar</w:t>
            </w:r>
          </w:p>
        </w:tc>
      </w:tr>
      <w:tr>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xl (monitor grande)</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 1680</w:t>
            </w:r>
          </w:p>
        </w:tc>
        <w:tc>
          <w:tcPr>
            <w:tcW w:type="dxa" w:w="5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Contenido máx 1440 px centrado; el dashboard permite 4 widgets por fila</w:t>
            </w:r>
          </w:p>
        </w:tc>
      </w:tr>
    </w:tbl>
    <w:p>
      <w:pPr>
        <w:spacing w:after="140"/>
      </w:pPr>
    </w:p>
    <w:p>
      <w:pPr>
        <w:spacing w:after="140"/>
      </w:pPr>
      <w:r>
        <w:t xml:space="preserve">Los widgets del dashboard viven en un grid de 12 columnas con celdas arrastrables de tamaños 3×2, 4×2, 6×3, 6×4 y 12×4 (col × filas de 96 px). El usuario reordena y redimensiona; el layout persiste por usuario y por finca.</w:t>
      </w:r>
    </w:p>
    <w:p>
      <w:pPr>
        <w:pStyle w:val="Heading1"/>
        <w:pageBreakBefore/>
      </w:pPr>
      <w:r>
        <w:t xml:space="preserve">7. Iconografía</w:t>
      </w:r>
    </w:p>
    <w:p>
      <w:pPr>
        <w:pStyle w:val="ListParagraph"/>
        <w:numPr>
          <w:ilvl w:val="0"/>
          <w:numId w:val="2"/>
        </w:numPr>
        <w:spacing w:after="70"/>
      </w:pPr>
      <w:r>
        <w:t xml:space="preserve"/>
      </w:r>
      <w:r>
        <w:rPr>
          <w:b/>
          <w:bCs/>
        </w:rPr>
        <w:t xml:space="preserve">Set base: Lucide</w:t>
      </w:r>
      <w:r>
        <w:t xml:space="preserve"> (trazo 1.75 px, esquinas redondeadas) por consistencia, cobertura y licencia. Tamaños: 16 (inline), 18 (sidebar/botones), 20 (cabeceras), 24 (móvil).</w:t>
      </w:r>
    </w:p>
    <w:p>
      <w:pPr>
        <w:pStyle w:val="ListParagraph"/>
        <w:numPr>
          <w:ilvl w:val="0"/>
          <w:numId w:val="2"/>
        </w:numPr>
        <w:spacing w:after="70"/>
      </w:pPr>
      <w:r>
        <w:t xml:space="preserve"/>
      </w:r>
      <w:r>
        <w:rPr>
          <w:b/>
          <w:bCs/>
        </w:rPr>
        <w:t xml:space="preserve">Set propio agro (Cowinance Icons):</w:t>
      </w:r>
      <w:r>
        <w:t xml:space="preserve"> ~60 glifos que Lucide no tiene, dibujados con la misma retícula de 24 px y trazo 1.75: vaca/toro/ternero, oveja, cabra, caballo, cerdo, búfalo, caravana, bastón RFID, báscula, manga, potrero, pastura, silo, ordeñe, pajuela, embrión, termo de nitrógeno, casco de veterinario, jeringa de aplicación, retiro (reloj+gota), dron, collar, molino, aguada, tractor, mixer.</w:t>
      </w:r>
    </w:p>
    <w:p>
      <w:pPr>
        <w:pStyle w:val="ListParagraph"/>
        <w:numPr>
          <w:ilvl w:val="0"/>
          <w:numId w:val="2"/>
        </w:numPr>
        <w:spacing w:after="70"/>
      </w:pPr>
      <w:r>
        <w:t xml:space="preserve">Los iconos nunca van solos en acciones destructivas o ambiguas: siempre icono + etiqueta (excepto sidebar colapsada, con tooltip).</w:t>
      </w:r>
    </w:p>
    <w:p>
      <w:pPr>
        <w:pStyle w:val="ListParagraph"/>
        <w:numPr>
          <w:ilvl w:val="0"/>
          <w:numId w:val="2"/>
        </w:numPr>
        <w:spacing w:after="70"/>
      </w:pPr>
      <w:r>
        <w:t xml:space="preserve">Estados: el icono hereda text-secondary; activo toma brand; nunca iconos multicolor dentro del producto.</w:t>
      </w:r>
    </w:p>
    <w:p>
      <w:pPr>
        <w:pStyle w:val="ListParagraph"/>
        <w:numPr>
          <w:ilvl w:val="0"/>
          <w:numId w:val="2"/>
        </w:numPr>
        <w:spacing w:after="70"/>
      </w:pPr>
      <w:r>
        <w:t xml:space="preserve">Ilustraciones puntuales (estados vacíos, onboarding, academia): línea fina monocroma con un solo acento verde, tono cálido y honesto — nada de mascotas caricaturescas.</w:t>
      </w:r>
    </w:p>
    <w:p>
      <w:pPr>
        <w:pStyle w:val="Heading1"/>
        <w:pageBreakBefore/>
      </w:pPr>
      <w:r>
        <w:t xml:space="preserve">8. Superficies, elevación y 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Token</w:t>
            </w:r>
          </w:p>
        </w:tc>
        <w:tc>
          <w:tcPr>
            <w:tcW w:type="dxa" w:w="32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Valor</w:t>
            </w:r>
          </w:p>
        </w:tc>
        <w:tc>
          <w:tcPr>
            <w:tcW w:type="dxa" w:w="39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Uso</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radius-sm</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6 px</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Inputs, botones, badges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radius-md</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10 px</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Cards, widgets, popovers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radius-lg</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16 px</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Modales, hojas móviles, imágenes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radius-full</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999 px</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Píldoras, avatares, puntos de estado</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shadow-1</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0 1 2 rgba(0,0,0,.06)</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Cards en claro (en oscuro: sin sombra, se eleva con bg)</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shadow-2</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0 4 12 rgba(0,0,0,.10)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Popovers, dropdowns</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shadow-3</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0 12 32 rgba(0,0,0,.16)</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Modales, command palette</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blur-glass</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saturate(1.4) blur(12px)</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Barras flotantes sobre mapa (estilo Arc), cabecera móvil al hacer scroll</w:t>
            </w:r>
          </w:p>
        </w:tc>
      </w:tr>
    </w:tbl>
    <w:p>
      <w:pPr>
        <w:spacing w:after="140"/>
      </w:pPr>
    </w:p>
    <w:p>
      <w:pPr>
        <w:spacing w:after="140"/>
      </w:pPr>
      <w:r>
        <w:t xml:space="preserve">En modo oscuro la elevación se comunica </w:t>
      </w:r>
      <w:r>
        <w:rPr>
          <w:b/>
          <w:bCs/>
        </w:rPr>
        <w:t xml:space="preserve">aclarando la superficie</w:t>
      </w:r>
      <w:r>
        <w:t xml:space="preserve">, no con sombra: canvas → surface → raised. Los bordes de 1 px solo aparecen donde dos superficies del mismo nivel se tocan.</w:t>
      </w:r>
    </w:p>
    <w:p>
      <w:pPr>
        <w:pStyle w:val="Heading1"/>
        <w:pageBreakBefore/>
      </w:pPr>
      <w:r>
        <w:t xml:space="preserve">9. Motion y animaciones</w:t>
      </w:r>
    </w:p>
    <w:p>
      <w:pPr>
        <w:pStyle w:val="Heading2"/>
      </w:pPr>
      <w:r>
        <w:t xml:space="preserve">9.1 Tokens de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Token</w:t>
            </w:r>
          </w:p>
        </w:tc>
        <w:tc>
          <w:tcPr>
            <w:tcW w:type="dxa" w:w="30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Duración / easing</w:t>
            </w:r>
          </w:p>
        </w:tc>
        <w:tc>
          <w:tcPr>
            <w:tcW w:type="dxa" w:w="39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Uso</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instant</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80 ms · linear</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Hover, cambios de color, toggles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fast</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150 ms · ease-out (0.2,0,0,1)</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Dropdowns, tooltips, chips, filas que aparecen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base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220 ms · ease-out-quint</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Paneles laterales, modales, navegación entre pestañas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gentle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320 ms · spring (masa 1, tensión 210)</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Hojas móviles, reordenar widgets, gráfico que se dibuja</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celebrate</w:t>
            </w:r>
          </w:p>
        </w:tc>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600 ms · spring suave</w:t>
            </w:r>
          </w:p>
        </w:tc>
        <w:tc>
          <w:tcPr>
            <w:tcW w:type="dxa" w:w="39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Solo 3 momentos: primer animal registrado, sync completada tras días offline, meta de preñez lograda</w:t>
            </w:r>
          </w:p>
        </w:tc>
      </w:tr>
    </w:tbl>
    <w:p>
      <w:pPr>
        <w:spacing w:after="140"/>
      </w:pPr>
    </w:p>
    <w:p>
      <w:pPr>
        <w:pStyle w:val="Heading2"/>
      </w:pPr>
      <w:r>
        <w:t xml:space="preserve">9.2 Coreografías clave</w:t>
      </w:r>
    </w:p>
    <w:p>
      <w:pPr>
        <w:pStyle w:val="ListParagraph"/>
        <w:numPr>
          <w:ilvl w:val="0"/>
          <w:numId w:val="2"/>
        </w:numPr>
        <w:spacing w:after="70"/>
      </w:pPr>
      <w:r>
        <w:t xml:space="preserve"/>
      </w:r>
      <w:r>
        <w:rPr>
          <w:b/>
          <w:bCs/>
        </w:rPr>
        <w:t xml:space="preserve">Panel de detalle:</w:t>
      </w:r>
      <w:r>
        <w:t xml:space="preserve"> entra deslizando 24 px desde la derecha con fade (base); la lista subyacente se atenúa 4%. Esc lo devuelve exactamente igual — causalidad espacial.</w:t>
      </w:r>
    </w:p>
    <w:p>
      <w:pPr>
        <w:pStyle w:val="ListParagraph"/>
        <w:numPr>
          <w:ilvl w:val="0"/>
          <w:numId w:val="2"/>
        </w:numPr>
        <w:spacing w:after="70"/>
      </w:pPr>
      <w:r>
        <w:t xml:space="preserve"/>
      </w:r>
      <w:r>
        <w:rPr>
          <w:b/>
          <w:bCs/>
        </w:rPr>
        <w:t xml:space="preserve">Cifras de KPIs:</w:t>
      </w:r>
      <w:r>
        <w:t xml:space="preserve"> count-up de 400 ms al cargar y cross-fade con desplazamiento vertical de 8 px al cambiar de período (estilo Stripe).</w:t>
      </w:r>
    </w:p>
    <w:p>
      <w:pPr>
        <w:pStyle w:val="ListParagraph"/>
        <w:numPr>
          <w:ilvl w:val="0"/>
          <w:numId w:val="2"/>
        </w:numPr>
        <w:spacing w:after="70"/>
      </w:pPr>
      <w:r>
        <w:t xml:space="preserve"/>
      </w:r>
      <w:r>
        <w:rPr>
          <w:b/>
          <w:bCs/>
        </w:rPr>
        <w:t xml:space="preserve">Gráficos:</w:t>
      </w:r>
      <w:r>
        <w:t xml:space="preserve"> las líneas se trazan de izquierda a derecha (gentle) solo en la primera carga; los cambios de filtro hacen morph interpolado, nunca redibujo desde cero.</w:t>
      </w:r>
    </w:p>
    <w:p>
      <w:pPr>
        <w:pStyle w:val="ListParagraph"/>
        <w:numPr>
          <w:ilvl w:val="0"/>
          <w:numId w:val="2"/>
        </w:numPr>
        <w:spacing w:after="70"/>
      </w:pPr>
      <w:r>
        <w:t xml:space="preserve"/>
      </w:r>
      <w:r>
        <w:rPr>
          <w:b/>
          <w:bCs/>
        </w:rPr>
        <w:t xml:space="preserve">Sync:</w:t>
      </w:r>
      <w:r>
        <w:t xml:space="preserve"> el punto de estado pulsa suavemente mientras sincroniza; al terminar, un check dibujado con trazo de 300 ms. Si falla, sacudida horizontal de 3 px — sin diálogos si no requiere acción.</w:t>
      </w:r>
    </w:p>
    <w:p>
      <w:pPr>
        <w:pStyle w:val="ListParagraph"/>
        <w:numPr>
          <w:ilvl w:val="0"/>
          <w:numId w:val="2"/>
        </w:numPr>
        <w:spacing w:after="70"/>
      </w:pPr>
      <w:r>
        <w:t xml:space="preserve"/>
      </w:r>
      <w:r>
        <w:rPr>
          <w:b/>
          <w:bCs/>
        </w:rPr>
        <w:t xml:space="preserve">Captura en manga:</w:t>
      </w:r>
      <w:r>
        <w:t xml:space="preserve"> al guardar cada animal, la fila vuela hacia el contador de progreso (150 ms) — feedback visceral de avance sin mirar la pantalla fijamente.</w:t>
      </w:r>
    </w:p>
    <w:p>
      <w:pPr>
        <w:pStyle w:val="ListParagraph"/>
        <w:numPr>
          <w:ilvl w:val="0"/>
          <w:numId w:val="2"/>
        </w:numPr>
        <w:spacing w:after="70"/>
      </w:pPr>
      <w:r>
        <w:t xml:space="preserve"/>
      </w:r>
      <w:r>
        <w:rPr>
          <w:b/>
          <w:bCs/>
        </w:rPr>
        <w:t xml:space="preserve">Regla dura:</w:t>
      </w:r>
      <w:r>
        <w:t xml:space="preserve"> `prefers-reduced-motion` desactiva todo lo no esencial; nada parpadea; ninguna animación supera 600 ms.</w:t>
      </w:r>
    </w:p>
    <w:p>
      <w:pPr>
        <w:pStyle w:val="Heading1"/>
        <w:pageBreakBefore/>
      </w:pPr>
      <w:r>
        <w:t xml:space="preserve">10. Componentes del Design System</w:t>
      </w:r>
    </w:p>
    <w:p>
      <w:pPr>
        <w:pStyle w:val="Heading2"/>
      </w:pPr>
      <w:r>
        <w:t xml:space="preserve">10.1 Botones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Variante</w:t>
            </w:r>
          </w:p>
        </w:tc>
        <w:tc>
          <w:tcPr>
            <w:tcW w:type="dxa" w:w="380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Anatomía</w:t>
            </w:r>
          </w:p>
        </w:tc>
        <w:tc>
          <w:tcPr>
            <w:tcW w:type="dxa" w:w="3660"/>
            <w:tcBorders>
              <w:top w:val="single" w:color="CCCCCC" w:sz="1"/>
              <w:left w:val="single" w:color="CCCCCC" w:sz="1"/>
              <w:bottom w:val="single" w:color="CCCCCC" w:sz="1"/>
              <w:right w:val="single" w:color="CCCCCC" w:sz="1"/>
            </w:tcBorders>
            <w:shd w:fill="1F4E3D" w:val="clear"/>
            <w:tcMar>
              <w:top w:type="dxa" w:w="70"/>
              <w:left w:type="dxa" w:w="110"/>
              <w:bottom w:type="dxa" w:w="70"/>
              <w:right w:type="dxa" w:w="110"/>
            </w:tcMar>
            <w:vAlign w:val="center"/>
          </w:tcPr>
          <w:p>
            <w:r>
              <w:rPr>
                <w:b/>
                <w:bCs/>
                <w:color w:val="FFFFFF"/>
                <w:sz w:val="18"/>
                <w:szCs w:val="18"/>
              </w:rPr>
              <w:t xml:space="preserve">Uso</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Primary</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Fondo brand-700 (claro) / brand-500 (oscuro), texto blanco, radius-sm, alto 36 px (44 móvil, 56 campo)</w:t>
            </w:r>
          </w:p>
        </w:tc>
        <w:tc>
          <w:tcPr>
            <w:tcW w:type="dxa" w:w="3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Una sola por vista: la acción principal</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Secondary</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Borde border-strong, fondo transparente, texto primary</w:t>
            </w:r>
          </w:p>
        </w:tc>
        <w:tc>
          <w:tcPr>
            <w:tcW w:type="dxa" w:w="3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Acciones frecuentes no principales</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Ghost</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Sin borde, texto secondary, hover con bg-sunken</w:t>
            </w:r>
          </w:p>
        </w:tc>
        <w:tc>
          <w:tcPr>
            <w:tcW w:type="dxa" w:w="3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Barras de herramientas, acciones de tabla</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Destructive</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Ghost rojo; confirmación inline (el botón se transforma en "¿Confirmar?" 3 s) en vez de modal para acciones reversibles</w:t>
            </w:r>
          </w:p>
        </w:tc>
        <w:tc>
          <w:tcPr>
            <w:tcW w:type="dxa" w:w="3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Eliminar, dar de baja</w:t>
            </w:r>
          </w:p>
        </w:tc>
      </w:tr>
      <w:t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Split / dropdown</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Primary + caret separado por línea 1 px</w:t>
            </w:r>
          </w:p>
        </w:tc>
        <w:tc>
          <w:tcPr>
            <w:tcW w:type="dxa" w:w="36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sz w:val="18"/>
                <w:szCs w:val="18"/>
              </w:rPr>
              <w:t xml:space="preserve">"Guardar" + "Guardar y nuevo" (crítico en captura repetitiva)</w:t>
            </w:r>
          </w:p>
        </w:tc>
      </w:tr>
    </w:tbl>
    <w:p>
      <w:pPr>
        <w:spacing w:after="140"/>
      </w:pPr>
    </w:p>
    <w:p>
      <w:pPr>
        <w:pStyle w:val="Heading2"/>
      </w:pPr>
      <w:r>
        <w:t xml:space="preserve">10.2 Formularios y captura</w:t>
      </w:r>
    </w:p>
    <w:p>
      <w:pPr>
        <w:pStyle w:val="ListParagraph"/>
        <w:numPr>
          <w:ilvl w:val="0"/>
          <w:numId w:val="2"/>
        </w:numPr>
        <w:spacing w:after="70"/>
      </w:pPr>
      <w:r>
        <w:t xml:space="preserve">Inputs de 36 px con etiqueta superior de 12 px (jamás placeholder-como-etiqueta); foco con anillo brand de 2 px exterior; validación inline al perder foco, mensajes bajo el campo en danger con icono.</w:t>
      </w:r>
    </w:p>
    <w:p>
      <w:pPr>
        <w:pStyle w:val="ListParagraph"/>
        <w:numPr>
          <w:ilvl w:val="0"/>
          <w:numId w:val="2"/>
        </w:numPr>
        <w:spacing w:after="70"/>
      </w:pPr>
      <w:r>
        <w:t xml:space="preserve"/>
      </w:r>
      <w:r>
        <w:rPr>
          <w:b/>
          <w:bCs/>
        </w:rPr>
        <w:t xml:space="preserve">Stepper numérico grande</w:t>
      </w:r>
      <w:r>
        <w:t xml:space="preserve"> para el campo: peso/dosis con botones ±, entrada por voz y por báscula Bluetooth (el valor llega solo y parpadea una vez en verde).</w:t>
      </w:r>
    </w:p>
    <w:p>
      <w:pPr>
        <w:pStyle w:val="ListParagraph"/>
        <w:numPr>
          <w:ilvl w:val="0"/>
          <w:numId w:val="2"/>
        </w:numPr>
        <w:spacing w:after="70"/>
      </w:pPr>
      <w:r>
        <w:t xml:space="preserve"/>
      </w:r>
      <w:r>
        <w:rPr>
          <w:b/>
          <w:bCs/>
        </w:rPr>
        <w:t xml:space="preserve">Selector de animal:</w:t>
      </w:r>
      <w:r>
        <w:t xml:space="preserve"> input que acepta caravana parcial, escaneo RFID y foto; muestra tarjeta de confirmación con foto, categoría y última actividad — el error de animal equivocado es el más caro del sistema.</w:t>
      </w:r>
    </w:p>
    <w:p>
      <w:pPr>
        <w:pStyle w:val="ListParagraph"/>
        <w:numPr>
          <w:ilvl w:val="0"/>
          <w:numId w:val="2"/>
        </w:numPr>
        <w:spacing w:after="70"/>
      </w:pPr>
      <w:r>
        <w:t xml:space="preserve">Autoguardado con indicador discreto "Guardado ✓" (estilo Notion); los formularios largos no tienen botón Guardar.</w:t>
      </w:r>
    </w:p>
    <w:p>
      <w:pPr>
        <w:pStyle w:val="ListParagraph"/>
        <w:numPr>
          <w:ilvl w:val="0"/>
          <w:numId w:val="2"/>
        </w:numPr>
        <w:spacing w:after="70"/>
      </w:pPr>
      <w:r>
        <w:t xml:space="preserve">Fechas: selector con atajos semánticos ("hoy", "ayer", "hace 3 días") porque en campo se registra a posteriori.</w:t>
      </w:r>
    </w:p>
    <w:p>
      <w:pPr>
        <w:pStyle w:val="Heading2"/>
      </w:pPr>
      <w:r>
        <w:t xml:space="preserve">10.3 Cards y widgets</w:t>
      </w:r>
    </w:p>
    <w:p>
      <w:pPr>
        <w:pStyle w:val="ListParagraph"/>
        <w:numPr>
          <w:ilvl w:val="0"/>
          <w:numId w:val="2"/>
        </w:numPr>
        <w:spacing w:after="70"/>
      </w:pPr>
      <w:r>
        <w:t xml:space="preserve"/>
      </w:r>
      <w:r>
        <w:rPr>
          <w:b/>
          <w:bCs/>
        </w:rPr>
        <w:t xml:space="preserve">Card base:</w:t>
      </w:r>
      <w:r>
        <w:t xml:space="preserve"> bg-surface, radius-md, borde subtle (claro) o sin borde (oscuro), padding 20–24. Cabecera con título title-2, acción contextual "···" y opcional badge de período.</w:t>
      </w:r>
    </w:p>
    <w:p>
      <w:pPr>
        <w:pStyle w:val="ListParagraph"/>
        <w:numPr>
          <w:ilvl w:val="0"/>
          <w:numId w:val="2"/>
        </w:numPr>
        <w:spacing w:after="70"/>
      </w:pPr>
      <w:r>
        <w:t xml:space="preserve"/>
      </w:r>
      <w:r>
        <w:rPr>
          <w:b/>
          <w:bCs/>
        </w:rPr>
        <w:t xml:space="preserve">Widget KPI:</w:t>
      </w:r>
      <w:r>
        <w:t xml:space="preserve"> cifra kpi 32 px tabular + variación con flecha y color semántico + sparkline de 60 px opcional. Clic = abre el reporte que lo explica (todo KPI es navegable, nada es decorativo).</w:t>
      </w:r>
    </w:p>
    <w:p>
      <w:pPr>
        <w:pStyle w:val="ListParagraph"/>
        <w:numPr>
          <w:ilvl w:val="0"/>
          <w:numId w:val="2"/>
        </w:numPr>
        <w:spacing w:after="70"/>
      </w:pPr>
      <w:r>
        <w:t xml:space="preserve"/>
      </w:r>
      <w:r>
        <w:rPr>
          <w:b/>
          <w:bCs/>
        </w:rPr>
        <w:t xml:space="preserve">Widget lista:</w:t>
      </w:r>
      <w:r>
        <w:t xml:space="preserve"> top-5 con filas de 32 px (ej. "Tratamientos que vencen hoy") y enlace "Ver todos".</w:t>
      </w:r>
    </w:p>
    <w:p>
      <w:pPr>
        <w:pStyle w:val="ListParagraph"/>
        <w:numPr>
          <w:ilvl w:val="0"/>
          <w:numId w:val="2"/>
        </w:numPr>
        <w:spacing w:after="70"/>
      </w:pPr>
      <w:r>
        <w:t xml:space="preserve"/>
      </w:r>
      <w:r>
        <w:rPr>
          <w:b/>
          <w:bCs/>
        </w:rPr>
        <w:t xml:space="preserve">Widget mapa:</w:t>
      </w:r>
      <w:r>
        <w:t xml:space="preserve"> miniatura del mapa de la finca con potreros coloreados por ocupación; clic expande.</w:t>
      </w:r>
    </w:p>
    <w:p>
      <w:pPr>
        <w:pStyle w:val="ListParagraph"/>
        <w:numPr>
          <w:ilvl w:val="0"/>
          <w:numId w:val="2"/>
        </w:numPr>
        <w:spacing w:after="70"/>
      </w:pPr>
      <w:r>
        <w:t xml:space="preserve"/>
      </w:r>
      <w:r>
        <w:rPr>
          <w:b/>
          <w:bCs/>
        </w:rPr>
        <w:t xml:space="preserve">Widget alerta:</w:t>
      </w:r>
      <w:r>
        <w:t xml:space="preserve"> borde izquierdo de 3 px semántico; agrupa por severidad; swipe para posponer en móvil.</w:t>
      </w:r>
    </w:p>
    <w:p>
      <w:pPr>
        <w:pStyle w:val="ListParagraph"/>
        <w:numPr>
          <w:ilvl w:val="0"/>
          <w:numId w:val="2"/>
        </w:numPr>
        <w:spacing w:after="70"/>
      </w:pPr>
      <w:r>
        <w:t xml:space="preserve"/>
      </w:r>
      <w:r>
        <w:rPr>
          <w:b/>
          <w:bCs/>
        </w:rPr>
        <w:t xml:space="preserve">Widget copiloto:</w:t>
      </w:r>
      <w:r>
        <w:t xml:space="preserve"> sugerencia proactiva del día ("12 vacas superan 60 días abiertos — ¿programar revisión?") con acciones de un toque.</w:t>
      </w:r>
    </w:p>
    <w:p>
      <w:pPr>
        <w:pStyle w:val="Heading2"/>
      </w:pPr>
      <w:r>
        <w:t xml:space="preserve">10.4 Tablas de datos</w:t>
      </w:r>
    </w:p>
    <w:p>
      <w:pPr>
        <w:pStyle w:val="ListParagraph"/>
        <w:numPr>
          <w:ilvl w:val="0"/>
          <w:numId w:val="2"/>
        </w:numPr>
        <w:spacing w:after="70"/>
      </w:pPr>
      <w:r>
        <w:t xml:space="preserve">Filas de 36 px, cabecera pegajosa de 32 px con etiquetas caption en mayúsculas suaves, orden por columna, filtros como chips sobre la tabla (persistentes por vista y usuario).</w:t>
      </w:r>
    </w:p>
    <w:p>
      <w:pPr>
        <w:pStyle w:val="ListParagraph"/>
        <w:numPr>
          <w:ilvl w:val="0"/>
          <w:numId w:val="2"/>
        </w:numPr>
        <w:spacing w:after="70"/>
      </w:pPr>
      <w:r>
        <w:t xml:space="preserve">Columnas numéricas alineadas a la derecha con tnum; primera columna fija con identidad (caravana + nombre).</w:t>
      </w:r>
    </w:p>
    <w:p>
      <w:pPr>
        <w:pStyle w:val="ListParagraph"/>
        <w:numPr>
          <w:ilvl w:val="0"/>
          <w:numId w:val="2"/>
        </w:numPr>
        <w:spacing w:after="70"/>
      </w:pPr>
      <w:r>
        <w:t xml:space="preserve">Selección múltiple con barra de acciones flotante inferior ("34 seleccionados: Mover · Tratar · Vender · Exportar").</w:t>
      </w:r>
    </w:p>
    <w:p>
      <w:pPr>
        <w:pStyle w:val="ListParagraph"/>
        <w:numPr>
          <w:ilvl w:val="0"/>
          <w:numId w:val="2"/>
        </w:numPr>
        <w:spacing w:after="70"/>
      </w:pPr>
      <w:r>
        <w:t xml:space="preserve">Densidad conmutables: cómoda (44) / estándar (36) / compacta (30). Virtualización a partir de 200 filas.</w:t>
      </w:r>
    </w:p>
    <w:p>
      <w:pPr>
        <w:pStyle w:val="ListParagraph"/>
        <w:numPr>
          <w:ilvl w:val="0"/>
          <w:numId w:val="2"/>
        </w:numPr>
        <w:spacing w:after="70"/>
      </w:pPr>
      <w:r>
        <w:t xml:space="preserve">Edición inline de celdas simples (doble clic), estilo hoja de cálculo, con deshacer ⌘Z.</w:t>
      </w:r>
    </w:p>
    <w:p>
      <w:pPr>
        <w:pStyle w:val="Heading2"/>
      </w:pPr>
      <w:r>
        <w:t xml:space="preserve">10.5 Gráficos</w:t>
      </w:r>
    </w:p>
    <w:p>
      <w:pPr>
        <w:pStyle w:val="ListParagraph"/>
        <w:numPr>
          <w:ilvl w:val="0"/>
          <w:numId w:val="2"/>
        </w:numPr>
        <w:spacing w:after="70"/>
      </w:pPr>
      <w:r>
        <w:t xml:space="preserve">Librería visual propia sobre la paleta 4.6: líneas de 2 px sin puntos (aparecen al hover), áreas con 8% de opacidad, grid horizontal solo (1 px subtle), ejes sin línea con etiquetas caption.</w:t>
      </w:r>
    </w:p>
    <w:p>
      <w:pPr>
        <w:pStyle w:val="ListParagraph"/>
        <w:numPr>
          <w:ilvl w:val="0"/>
          <w:numId w:val="2"/>
        </w:numPr>
        <w:spacing w:after="70"/>
      </w:pPr>
      <w:r>
        <w:t xml:space="preserve">Tooltip único compartido por todas las series, con línea vertical de referencia; en móvil, scrubbing táctil.</w:t>
      </w:r>
    </w:p>
    <w:p>
      <w:pPr>
        <w:pStyle w:val="ListParagraph"/>
        <w:numPr>
          <w:ilvl w:val="0"/>
          <w:numId w:val="2"/>
        </w:numPr>
        <w:spacing w:after="70"/>
      </w:pPr>
      <w:r>
        <w:t xml:space="preserve">Tipos: línea (evolución de peso, leche), barras (ventas por mes), barras apiladas (inventario por categoría), distribución/beeswarm (pesos del lote — cada punto es un animal, clic para abrir su ficha), heatmap calendario (actividad reproductiva), gauge sobrio (ocupación de potrero).</w:t>
      </w:r>
    </w:p>
    <w:p>
      <w:pPr>
        <w:pStyle w:val="ListParagraph"/>
        <w:numPr>
          <w:ilvl w:val="0"/>
          <w:numId w:val="2"/>
        </w:numPr>
        <w:spacing w:after="70"/>
      </w:pPr>
      <w:r>
        <w:t xml:space="preserve">Todos los gráficos exportan PNG/CSV desde el menú "···" y respetan el tema activo.</w:t>
      </w:r>
    </w:p>
    <w:p>
      <w:pPr>
        <w:pStyle w:val="Heading2"/>
      </w:pPr>
      <w:r>
        <w:t xml:space="preserve">10.6 Mapas</w:t>
      </w:r>
    </w:p>
    <w:p>
      <w:pPr>
        <w:pStyle w:val="ListParagraph"/>
        <w:numPr>
          <w:ilvl w:val="0"/>
          <w:numId w:val="2"/>
        </w:numPr>
        <w:spacing w:after="70"/>
      </w:pPr>
      <w:r>
        <w:t xml:space="preserve">Estilo cartográfico propio en dos variantes (claro: tonos papel; oscuro: carbón con agua verdosa) sobre tiles vectoriales; el satélite es una capa conmutable, no el default — el mapa es una herramienta de trabajo, no Google Maps.</w:t>
      </w:r>
    </w:p>
    <w:p>
      <w:pPr>
        <w:pStyle w:val="ListParagraph"/>
        <w:numPr>
          <w:ilvl w:val="0"/>
          <w:numId w:val="2"/>
        </w:numPr>
        <w:spacing w:after="70"/>
      </w:pPr>
      <w:r>
        <w:t xml:space="preserve">Potreros como polígonos con relleno por métrica seleccionable (ocupación, días de descanso, biomasa/NDVI, aforo) y etiqueta interior (nombre + cabezas).</w:t>
      </w:r>
    </w:p>
    <w:p>
      <w:pPr>
        <w:pStyle w:val="ListParagraph"/>
        <w:numPr>
          <w:ilvl w:val="0"/>
          <w:numId w:val="2"/>
        </w:numPr>
        <w:spacing w:after="70"/>
      </w:pPr>
      <w:r>
        <w:t xml:space="preserve">Animales con GPS como puntos agrupados en clusters; máquinas con icono direccional; capas conmutables en una barra flotante glass (estilo Arc): potreros, agua, cercas, sensores, animales, drones.</w:t>
      </w:r>
    </w:p>
    <w:p>
      <w:pPr>
        <w:pStyle w:val="ListParagraph"/>
        <w:numPr>
          <w:ilvl w:val="0"/>
          <w:numId w:val="2"/>
        </w:numPr>
        <w:spacing w:after="70"/>
      </w:pPr>
      <w:r>
        <w:t xml:space="preserve">Dibujo de potreros con snapping y medición en vivo de superficie; funciona offline con tiles descargados.</w:t>
      </w:r>
    </w:p>
    <w:p>
      <w:pPr>
        <w:pStyle w:val="ListParagraph"/>
        <w:numPr>
          <w:ilvl w:val="0"/>
          <w:numId w:val="2"/>
        </w:numPr>
        <w:spacing w:after="70"/>
      </w:pPr>
      <w:r>
        <w:t xml:space="preserve">Timeline scrubber inferior para "viajar en el tiempo" (movimientos de hacienda, evolución NDVI).</w:t>
      </w:r>
    </w:p>
    <w:p>
      <w:pPr>
        <w:pStyle w:val="Heading2"/>
      </w:pPr>
      <w:r>
        <w:t xml:space="preserve">10.7 Feedback y sistema</w:t>
      </w:r>
    </w:p>
    <w:p>
      <w:pPr>
        <w:pStyle w:val="ListParagraph"/>
        <w:numPr>
          <w:ilvl w:val="0"/>
          <w:numId w:val="2"/>
        </w:numPr>
        <w:spacing w:after="70"/>
      </w:pPr>
      <w:r>
        <w:t xml:space="preserve">Toasts inferiores-izquierda, 4 s, con acción de deshacer cuando aplique; nunca más de 2 visibles (se agrupan).</w:t>
      </w:r>
    </w:p>
    <w:p>
      <w:pPr>
        <w:pStyle w:val="ListParagraph"/>
        <w:numPr>
          <w:ilvl w:val="0"/>
          <w:numId w:val="2"/>
        </w:numPr>
        <w:spacing w:after="70"/>
      </w:pPr>
      <w:r>
        <w:t xml:space="preserve">Estados vacíos: ilustración línea + 1 frase de valor + botón primario + enlace a la lección de la Academia correspondiente.</w:t>
      </w:r>
    </w:p>
    <w:p>
      <w:pPr>
        <w:pStyle w:val="ListParagraph"/>
        <w:numPr>
          <w:ilvl w:val="0"/>
          <w:numId w:val="2"/>
        </w:numPr>
        <w:spacing w:after="70"/>
      </w:pPr>
      <w:r>
        <w:t xml:space="preserve">Skeletons con shimmer sutil (nunca spinners de página completa); los datos cacheados se muestran al instante con badge "hace 2 h" mientras se refrescan.</w:t>
      </w:r>
    </w:p>
    <w:p>
      <w:pPr>
        <w:pStyle w:val="ListParagraph"/>
        <w:numPr>
          <w:ilvl w:val="0"/>
          <w:numId w:val="2"/>
        </w:numPr>
        <w:spacing w:after="70"/>
      </w:pPr>
      <w:r>
        <w:t xml:space="preserve">Banner de modo offline: barra superior ámbar de 32 px "Sin conexión — 47 registros pendientes de subir", persistente pero silenciosa.</w:t>
      </w:r>
    </w:p>
    <w:p>
      <w:pPr>
        <w:pStyle w:val="ListParagraph"/>
        <w:numPr>
          <w:ilvl w:val="0"/>
          <w:numId w:val="2"/>
        </w:numPr>
        <w:spacing w:after="70"/>
      </w:pPr>
      <w:r>
        <w:t xml:space="preserve">Confirmaciones destructivas irreversibles: modal con fricción proporcional (escribir el nombre del animal para eliminarlo).</w:t>
      </w:r>
    </w:p>
    <w:p>
      <w:pPr>
        <w:pStyle w:val="Heading1"/>
        <w:pageBreakBefore/>
      </w:pPr>
      <w:r>
        <w:t xml:space="preserve">11. El dashboard</w:t>
      </w:r>
    </w:p>
    <w:p>
      <w:pPr>
        <w:spacing w:after="140"/>
      </w:pPr>
      <w:r>
        <w:t xml:space="preserve">El dashboard responde tres preguntas en menos de 5 segundos: </w:t>
      </w:r>
      <w:r>
        <w:rPr>
          <w:b/>
          <w:bCs/>
        </w:rPr>
        <w:t xml:space="preserve">¿está todo bien?, ¿qué requiere mi atención hoy?, ¿cómo va el negocio?</w:t>
      </w:r>
      <w:r>
        <w:t xml:space="preserve"> Es personalizable por widgets pero llega con un layout curado por rol (propietario, capataz, veterinario, contador) — la personalización es un premio, no un prerequisito.</w:t>
      </w:r>
    </w:p>
    <w:p>
      <w:pPr>
        <w:pStyle w:val="Heading2"/>
      </w:pPr>
      <w:r>
        <w:t xml:space="preserve">11.1 Composición por defecto (propietario, desktop)</w:t>
      </w:r>
    </w:p>
    <w:p>
      <w:pPr>
        <w:pStyle w:val="ListParagraph"/>
        <w:numPr>
          <w:ilvl w:val="0"/>
          <w:numId w:val="2"/>
        </w:numPr>
        <w:spacing w:after="70"/>
      </w:pPr>
      <w:r>
        <w:t xml:space="preserve"/>
      </w:r>
      <w:r>
        <w:rPr>
          <w:b/>
          <w:bCs/>
        </w:rPr>
        <w:t xml:space="preserve">Fila de vitales (4 KPI):</w:t>
      </w:r>
      <w:r>
        <w:t xml:space="preserve"> Animales activos (con variación mensual), Kilos producidos del mes, Preñez efectiva %, Margen del mes. Cada uno con sparkline y navegación al detalle.</w:t>
      </w:r>
    </w:p>
    <w:p>
      <w:pPr>
        <w:pStyle w:val="ListParagraph"/>
        <w:numPr>
          <w:ilvl w:val="0"/>
          <w:numId w:val="2"/>
        </w:numPr>
        <w:spacing w:after="70"/>
      </w:pPr>
      <w:r>
        <w:t xml:space="preserve"/>
      </w:r>
      <w:r>
        <w:rPr>
          <w:b/>
          <w:bCs/>
        </w:rPr>
        <w:t xml:space="preserve">Atención hoy (widget lista, 6×3):</w:t>
      </w:r>
      <w:r>
        <w:t xml:space="preserve"> alertas priorizadas con acción de un clic — retiros que vencen, tratamientos pendientes, stock crítico, sensores sin señal, sync de dispositivos atrasada.</w:t>
      </w:r>
    </w:p>
    <w:p>
      <w:pPr>
        <w:pStyle w:val="ListParagraph"/>
        <w:numPr>
          <w:ilvl w:val="0"/>
          <w:numId w:val="2"/>
        </w:numPr>
        <w:spacing w:after="70"/>
      </w:pPr>
      <w:r>
        <w:t xml:space="preserve"/>
      </w:r>
      <w:r>
        <w:rPr>
          <w:b/>
          <w:bCs/>
        </w:rPr>
        <w:t xml:space="preserve">Evolución de peso por lote (gráfico línea, 6×3):</w:t>
      </w:r>
      <w:r>
        <w:t xml:space="preserve"> selector de lotes, banda de objetivo sombreada.</w:t>
      </w:r>
    </w:p>
    <w:p>
      <w:pPr>
        <w:pStyle w:val="ListParagraph"/>
        <w:numPr>
          <w:ilvl w:val="0"/>
          <w:numId w:val="2"/>
        </w:numPr>
        <w:spacing w:after="70"/>
      </w:pPr>
      <w:r>
        <w:t xml:space="preserve"/>
      </w:r>
      <w:r>
        <w:rPr>
          <w:b/>
          <w:bCs/>
        </w:rPr>
        <w:t xml:space="preserve">Mapa vivo (6×4):</w:t>
      </w:r>
      <w:r>
        <w:t xml:space="preserve"> potreros por ocupación con animales GPS en tiempo real.</w:t>
      </w:r>
    </w:p>
    <w:p>
      <w:pPr>
        <w:pStyle w:val="ListParagraph"/>
        <w:numPr>
          <w:ilvl w:val="0"/>
          <w:numId w:val="2"/>
        </w:numPr>
        <w:spacing w:after="70"/>
      </w:pPr>
      <w:r>
        <w:t xml:space="preserve"/>
      </w:r>
      <w:r>
        <w:rPr>
          <w:b/>
          <w:bCs/>
        </w:rPr>
        <w:t xml:space="preserve">Flujo de caja (barras, 6×3):</w:t>
      </w:r>
      <w:r>
        <w:t xml:space="preserve"> ingresos vs egresos 12 meses con proyección punteada.</w:t>
      </w:r>
    </w:p>
    <w:p>
      <w:pPr>
        <w:pStyle w:val="ListParagraph"/>
        <w:numPr>
          <w:ilvl w:val="0"/>
          <w:numId w:val="2"/>
        </w:numPr>
        <w:spacing w:after="70"/>
      </w:pPr>
      <w:r>
        <w:t xml:space="preserve"/>
      </w:r>
      <w:r>
        <w:rPr>
          <w:b/>
          <w:bCs/>
        </w:rPr>
        <w:t xml:space="preserve">Copiloto (4×2):</w:t>
      </w:r>
      <w:r>
        <w:t xml:space="preserve"> la sugerencia del día con explicación expandible.</w:t>
      </w:r>
    </w:p>
    <w:p>
      <w:pPr>
        <w:pStyle w:val="ListParagraph"/>
        <w:numPr>
          <w:ilvl w:val="0"/>
          <w:numId w:val="2"/>
        </w:numPr>
        <w:spacing w:after="70"/>
      </w:pPr>
      <w:r>
        <w:t xml:space="preserve"/>
      </w:r>
      <w:r>
        <w:rPr>
          <w:b/>
          <w:bCs/>
        </w:rPr>
        <w:t xml:space="preserve">Actividad reciente (4×3):</w:t>
      </w:r>
      <w:r>
        <w:t xml:space="preserve"> feed cronológico de eventos de la finca con avatares de quién capturó.</w:t>
      </w:r>
    </w:p>
    <w:p>
      <w:pPr>
        <w:pStyle w:val="Heading2"/>
      </w:pPr>
      <w:r>
        <w:t xml:space="preserve">11.2 Cabecera de página</w:t>
      </w:r>
    </w:p>
    <w:p>
      <w:pPr>
        <w:spacing w:after="140"/>
      </w:pPr>
      <w:r>
        <w:t xml:space="preserve">Saludo contextual con clima de la finca ("Buen día, Jose — 14°, viento norte 12 km/h"), selector de período global (hoy/semana/mes/año/custom) que sincroniza todos los widgets, y botón "+ Capturar". El clima no es decoración: condiciona decisiones de manejo (vacunar, mover hacienda).</w:t>
      </w:r>
    </w:p>
    <w:p>
      <w:pPr>
        <w:pStyle w:val="Heading1"/>
        <w:pageBreakBefore/>
      </w:pPr>
      <w:r>
        <w:t xml:space="preserve">12. Pantallas clave</w:t>
      </w:r>
    </w:p>
    <w:p>
      <w:pPr>
        <w:pStyle w:val="Heading2"/>
      </w:pPr>
      <w:r>
        <w:t xml:space="preserve">12.1 Lista de animales</w:t>
      </w:r>
    </w:p>
    <w:p>
      <w:pPr>
        <w:spacing w:after="140"/>
      </w:pPr>
      <w:r>
        <w:t xml:space="preserve">Tabla maestra con búsqueda por caravana (autofoco al escanear con bastón), chips de filtro (categoría, lote, potrero, estado, alertas) y vistas guardadas compartibles ("Vacas para palpar", "Destete 2026"). Columnas configurables. Panel de detalle a la derecha al seleccionar. Acciones masivas en barra flotante. Modo tarjetas con foto para razas/genética (catálogo visual).</w:t>
      </w:r>
    </w:p>
    <w:p>
      <w:pPr>
        <w:pStyle w:val="Heading2"/>
      </w:pPr>
      <w:r>
        <w:t xml:space="preserve">12.2 Ficha del animal (360°)</w:t>
      </w:r>
    </w:p>
    <w:p>
      <w:pPr>
        <w:spacing w:after="140"/>
      </w:pPr>
      <w:r>
        <w:t xml:space="preserve">Cabecera: foto, caravana grande en mono, nombre, categoría, edad, estado con color transversal, y 4 vitales (último peso + GDP, estado reproductivo, retiro activo con cuenta regresiva, valor económico). Línea de tiempo vertical unificada de TODOS los eventos (pesajes, tratamientos, partos, movimientos, fotos, ventas) con filtros por tipo — el historial completo del animal es la promesa central del producto. Pestañas: Resumen, Producción (curvas), Reproducción (ciclos visuales), Sanidad, Genealogía (árbol interactivo 3 generaciones), Economía (costo acumulado vs valor), Archivos.</w:t>
      </w:r>
    </w:p>
    <w:p>
      <w:pPr>
        <w:pStyle w:val="Heading2"/>
      </w:pPr>
      <w:r>
        <w:t xml:space="preserve">12.3 Modo manga (captura masiva en campo)</w:t>
      </w:r>
    </w:p>
    <w:p>
      <w:pPr>
        <w:spacing w:after="140"/>
      </w:pPr>
      <w:r>
        <w:t xml:space="preserve">Pantalla completa negra AAA de alto contraste. Arriba: progreso "47/120" con barra. Centro: caravana leída (RFID o voz) en 64 px, peso llegando de la báscula en 56 px verde, condición corporal en botones gigantes 1–5. Abajo: "Guardar y siguiente" de 72 px de alto. Todo operable con pulgar y guantes; sonidos distintos para OK/duplicado/error (feedback auditivo porque nadie mira la pantalla); vibración al guardar. Deshacer último siempre visible.</w:t>
      </w:r>
    </w:p>
    <w:p>
      <w:pPr>
        <w:pStyle w:val="Heading2"/>
      </w:pPr>
      <w:r>
        <w:t xml:space="preserve">12.4 Mapa de la finca</w:t>
      </w:r>
    </w:p>
    <w:p>
      <w:pPr>
        <w:spacing w:after="140"/>
      </w:pPr>
      <w:r>
        <w:t xml:space="preserve">Pantalla completa con barra glass flotante (capas, métricas, búsqueda) y panel contextual al tocar un potrero: ocupación actual, días de descanso, aforo, historial de pastoreo, y acciones (mover lote aquí, registrar aforo, programar labor). El scrubber temporal inferior reproduce el movimiento de la hacienda de las últimas semanas.</w:t>
      </w:r>
    </w:p>
    <w:p>
      <w:pPr>
        <w:pStyle w:val="Heading2"/>
      </w:pPr>
      <w:r>
        <w:t xml:space="preserve">12.5 Finanzas</w:t>
      </w:r>
    </w:p>
    <w:p>
      <w:pPr>
        <w:spacing w:after="140"/>
      </w:pPr>
      <w:r>
        <w:t xml:space="preserve">Estética Stripe: tablas impecables de números tabulares, gráfico de flujo de caja protagonista, drill-down de centro de costo hasta el animal individual. Selector de moneda y consolidación multiempresa con banderitas discretas. Exportación omnipresente.</w:t>
      </w:r>
    </w:p>
    <w:p>
      <w:pPr>
        <w:pStyle w:val="Heading2"/>
      </w:pPr>
      <w:r>
        <w:t xml:space="preserve">12.6 Marketplace</w:t>
      </w:r>
    </w:p>
    <w:p>
      <w:pPr>
        <w:spacing w:after="140"/>
      </w:pPr>
      <w:r>
        <w:t xml:space="preserve">La única zona "editorial" del producto: cards con fotos grandes (ratio 4:3, radius-lg), precio prominente, badges de verificación (historial sanitario verificable ✓, genética certificada). El detalle de un animal en venta muestra su línea de tiempo pública verificada por blockchain — la trazabilidad como argumento de venta.</w:t>
      </w:r>
    </w:p>
    <w:p>
      <w:pPr>
        <w:pStyle w:val="Heading2"/>
      </w:pPr>
      <w:r>
        <w:t xml:space="preserve">12.7 Onboarding</w:t>
      </w:r>
    </w:p>
    <w:p>
      <w:pPr>
        <w:spacing w:after="140"/>
      </w:pPr>
      <w:r>
        <w:t xml:space="preserve">Cinco minutos hasta el primer valor: 1) país y especie (configura normativa y catálogos), 2) nombre de la finca sobre mapa para dibujar el perímetro (momento "wow" temprano), 3) importar animales (Excel, foto de planilla con OCR, o "empezar con 5"), 4) primer registro guiado con celebración sobria, 5) invitar al equipo. Cada paso es saltable; la Academia continúa el aprendizaje contextualmente.</w:t>
      </w:r>
    </w:p>
    <w:p>
      <w:pPr>
        <w:pStyle w:val="Heading1"/>
        <w:pageBreakBefore/>
      </w:pPr>
      <w:r>
        <w:t xml:space="preserve">13. Modo oscuro: reglas de adaptación</w:t>
      </w:r>
    </w:p>
    <w:p>
      <w:pPr>
        <w:pStyle w:val="ListParagraph"/>
        <w:numPr>
          <w:ilvl w:val="0"/>
          <w:numId w:val="2"/>
        </w:numPr>
        <w:spacing w:after="70"/>
      </w:pPr>
      <w:r>
        <w:t xml:space="preserve">Selector: claro / oscuro / sistema / </w:t>
      </w:r>
      <w:r>
        <w:rPr>
          <w:b/>
          <w:bCs/>
        </w:rPr>
        <w:t xml:space="preserve">automático solar</w:t>
      </w:r>
      <w:r>
        <w:t xml:space="preserve"> (según amanecer-atardecer de la finca — a las 5 AM en el tambo, la pantalla clara enceguece).</w:t>
      </w:r>
    </w:p>
    <w:p>
      <w:pPr>
        <w:pStyle w:val="ListParagraph"/>
        <w:numPr>
          <w:ilvl w:val="0"/>
          <w:numId w:val="2"/>
        </w:numPr>
        <w:spacing w:after="70"/>
      </w:pPr>
      <w:r>
        <w:t xml:space="preserve">Los gráficos recalculan: series 10% más luminosas, áreas al 12%, grid más tenue.</w:t>
      </w:r>
    </w:p>
    <w:p>
      <w:pPr>
        <w:pStyle w:val="ListParagraph"/>
        <w:numPr>
          <w:ilvl w:val="0"/>
          <w:numId w:val="2"/>
        </w:numPr>
        <w:spacing w:after="70"/>
      </w:pPr>
      <w:r>
        <w:t xml:space="preserve">Las fotos de animales ganan un borde subtle en oscuro para no "flotar".</w:t>
      </w:r>
    </w:p>
    <w:p>
      <w:pPr>
        <w:pStyle w:val="ListParagraph"/>
        <w:numPr>
          <w:ilvl w:val="0"/>
          <w:numId w:val="2"/>
        </w:numPr>
        <w:spacing w:after="70"/>
      </w:pPr>
      <w:r>
        <w:t xml:space="preserve">El mapa cambia a la variante carbón; el NDVI mantiene su escala (es semántica, no estética).</w:t>
      </w:r>
    </w:p>
    <w:p>
      <w:pPr>
        <w:pStyle w:val="ListParagraph"/>
        <w:numPr>
          <w:ilvl w:val="0"/>
          <w:numId w:val="2"/>
        </w:numPr>
        <w:spacing w:after="70"/>
      </w:pPr>
      <w:r>
        <w:t xml:space="preserve">Los acentos semánticos suben luminosidad (tabla 4.5) para sostener 4.5:1 sobre superficies oscuras.</w:t>
      </w:r>
    </w:p>
    <w:p>
      <w:pPr>
        <w:pStyle w:val="ListParagraph"/>
        <w:numPr>
          <w:ilvl w:val="0"/>
          <w:numId w:val="2"/>
        </w:numPr>
        <w:spacing w:after="70"/>
      </w:pPr>
      <w:r>
        <w:t xml:space="preserve">El modo campo ignora el tema: siempre máximo contraste según luz ambiente (sensor de luz del dispositivo).</w:t>
      </w:r>
    </w:p>
    <w:p>
      <w:pPr>
        <w:pStyle w:val="Heading1"/>
        <w:pageBreakBefore/>
      </w:pPr>
      <w:r>
        <w:t xml:space="preserve">14. Accesibilidad</w:t>
      </w:r>
    </w:p>
    <w:p>
      <w:pPr>
        <w:pStyle w:val="ListParagraph"/>
        <w:numPr>
          <w:ilvl w:val="0"/>
          <w:numId w:val="2"/>
        </w:numPr>
        <w:spacing w:after="70"/>
      </w:pPr>
      <w:r>
        <w:t xml:space="preserve">Contraste AA verificado por par de tokens en CI de diseño; AAA en modo campo.</w:t>
      </w:r>
    </w:p>
    <w:p>
      <w:pPr>
        <w:pStyle w:val="ListParagraph"/>
        <w:numPr>
          <w:ilvl w:val="0"/>
          <w:numId w:val="2"/>
        </w:numPr>
        <w:spacing w:after="70"/>
      </w:pPr>
      <w:r>
        <w:t xml:space="preserve">Targets táctiles ≥ 44 px (56 en campo); foco visible siempre (anillo de 2 px, jamás outline:none sin reemplazo).</w:t>
      </w:r>
    </w:p>
    <w:p>
      <w:pPr>
        <w:pStyle w:val="ListParagraph"/>
        <w:numPr>
          <w:ilvl w:val="0"/>
          <w:numId w:val="2"/>
        </w:numPr>
        <w:spacing w:after="70"/>
      </w:pPr>
      <w:r>
        <w:t xml:space="preserve">Navegación completa por teclado con orden lógico; skip-links; atajos documentados.</w:t>
      </w:r>
    </w:p>
    <w:p>
      <w:pPr>
        <w:pStyle w:val="ListParagraph"/>
        <w:numPr>
          <w:ilvl w:val="0"/>
          <w:numId w:val="2"/>
        </w:numPr>
        <w:spacing w:after="70"/>
      </w:pPr>
      <w:r>
        <w:t xml:space="preserve">Textos de sistema con nivel de lectura simple (el vocabulario ganadero local se respeta: "caravana" en AR/UY, "arete" en MX, "chapeta" en CO — glosario por región).</w:t>
      </w:r>
    </w:p>
    <w:p>
      <w:pPr>
        <w:pStyle w:val="ListParagraph"/>
        <w:numPr>
          <w:ilvl w:val="0"/>
          <w:numId w:val="2"/>
        </w:numPr>
        <w:spacing w:after="70"/>
      </w:pPr>
      <w:r>
        <w:t xml:space="preserve">Soporte de lectores de pantalla con nombres accesibles en gráficos (tabla de datos alternativa) y mapas (lista de potreros).</w:t>
      </w:r>
    </w:p>
    <w:p>
      <w:pPr>
        <w:pStyle w:val="ListParagraph"/>
        <w:numPr>
          <w:ilvl w:val="0"/>
          <w:numId w:val="2"/>
        </w:numPr>
        <w:spacing w:after="70"/>
      </w:pPr>
      <w:r>
        <w:t xml:space="preserve">Daltonismo: paleta de datos verificada; los estados nunca dependen solo del color (icono + texto).</w:t>
      </w:r>
    </w:p>
    <w:p>
      <w:pPr>
        <w:pStyle w:val="ListParagraph"/>
        <w:numPr>
          <w:ilvl w:val="0"/>
          <w:numId w:val="2"/>
        </w:numPr>
        <w:spacing w:after="70"/>
      </w:pPr>
      <w:r>
        <w:t xml:space="preserve">Modo una mano en móvil: acciones principales en el tercio inferior.</w:t>
      </w:r>
    </w:p>
    <w:p>
      <w:pPr>
        <w:pStyle w:val="Heading1"/>
        <w:pageBreakBefore/>
      </w:pPr>
      <w:r>
        <w:t xml:space="preserve">15. Gobernanza del Design System</w:t>
      </w:r>
    </w:p>
    <w:p>
      <w:pPr>
        <w:pStyle w:val="ListParagraph"/>
        <w:numPr>
          <w:ilvl w:val="0"/>
          <w:numId w:val="2"/>
        </w:numPr>
        <w:spacing w:after="70"/>
      </w:pPr>
      <w:r>
        <w:t xml:space="preserve"/>
      </w:r>
      <w:r>
        <w:rPr>
          <w:b/>
          <w:bCs/>
        </w:rPr>
        <w:t xml:space="preserve">Tokens como fuente de verdad:</w:t>
      </w:r>
      <w:r>
        <w:t xml:space="preserve"> definidos en formato W3C Design Tokens (JSON), exportados a CSS variables, Tailwind config, React Native y documentación — un cambio de token se propaga a todas las plataformas.</w:t>
      </w:r>
    </w:p>
    <w:p>
      <w:pPr>
        <w:pStyle w:val="ListParagraph"/>
        <w:numPr>
          <w:ilvl w:val="0"/>
          <w:numId w:val="2"/>
        </w:numPr>
        <w:spacing w:after="70"/>
      </w:pPr>
      <w:r>
        <w:t xml:space="preserve"/>
      </w:r>
      <w:r>
        <w:rPr>
          <w:b/>
          <w:bCs/>
        </w:rPr>
        <w:t xml:space="preserve">Biblioteca Figma</w:t>
      </w:r>
      <w:r>
        <w:t xml:space="preserve"> espejo 1:1 de los componentes con variantes y auto-layout; cada componente enlaza a su especificación y a su implementación.</w:t>
      </w:r>
    </w:p>
    <w:p>
      <w:pPr>
        <w:pStyle w:val="ListParagraph"/>
        <w:numPr>
          <w:ilvl w:val="0"/>
          <w:numId w:val="2"/>
        </w:numPr>
        <w:spacing w:after="70"/>
      </w:pPr>
      <w:r>
        <w:t xml:space="preserve"/>
      </w:r>
      <w:r>
        <w:rPr>
          <w:b/>
          <w:bCs/>
        </w:rPr>
        <w:t xml:space="preserve">Versionado semántico</w:t>
      </w:r>
      <w:r>
        <w:t xml:space="preserve"> del sistema (tokens = minor, breaking visual = major) con changelog visual.</w:t>
      </w:r>
    </w:p>
    <w:p>
      <w:pPr>
        <w:pStyle w:val="ListParagraph"/>
        <w:numPr>
          <w:ilvl w:val="0"/>
          <w:numId w:val="2"/>
        </w:numPr>
        <w:spacing w:after="70"/>
      </w:pPr>
      <w:r>
        <w:t xml:space="preserve"/>
      </w:r>
      <w:r>
        <w:rPr>
          <w:b/>
          <w:bCs/>
        </w:rPr>
        <w:t xml:space="preserve">Criterio de admisión:</w:t>
      </w:r>
      <w:r>
        <w:t xml:space="preserve"> un patrón entra al sistema cuando aparece por tercera vez; antes vive como composición local.</w:t>
      </w:r>
    </w:p>
    <w:p>
      <w:pPr>
        <w:pStyle w:val="ListParagraph"/>
        <w:numPr>
          <w:ilvl w:val="0"/>
          <w:numId w:val="2"/>
        </w:numPr>
        <w:spacing w:after="70"/>
      </w:pPr>
      <w:r>
        <w:t xml:space="preserve"/>
      </w:r>
      <w:r>
        <w:rPr>
          <w:b/>
          <w:bCs/>
        </w:rPr>
        <w:t xml:space="preserve">Revisión de diseño en CI:</w:t>
      </w:r>
      <w:r>
        <w:t xml:space="preserve"> capturas automáticas de componentes en ambos temas y 3 breakpoints contra snapshots aprobados.</w:t>
      </w:r>
    </w:p>
    <w:p>
      <w:pPr>
        <w:pStyle w:val="ListParagraph"/>
        <w:numPr>
          <w:ilvl w:val="0"/>
          <w:numId w:val="2"/>
        </w:numPr>
        <w:spacing w:after="70"/>
      </w:pPr>
      <w:r>
        <w:t xml:space="preserve"/>
      </w:r>
      <w:r>
        <w:rPr>
          <w:b/>
          <w:bCs/>
        </w:rPr>
        <w:t xml:space="preserve">Métricas UX de producto:</w:t>
      </w:r>
      <w:r>
        <w:t xml:space="preserve"> tiempo-a-primer-registro, registros por sesión de manga, tasa de éxito de sync visible, adopción de atajos — el design system se evalúa por resultados operativos, no por opinión.</w:t>
      </w:r>
    </w:p>
    <w:p>
      <w:pPr>
        <w:pStyle w:val="Heading1"/>
        <w:pageBreakBefore/>
      </w:pPr>
      <w:r>
        <w:t xml:space="preserve">16. Próximos pasos</w:t>
      </w:r>
    </w:p>
    <w:p>
      <w:pPr>
        <w:spacing w:after="140"/>
      </w:pPr>
      <w:r>
        <w:t xml:space="preserve">1) Validar esta dirección con 5 usuarios por persona (test de 30 min con el mockup navegable). 2) Construir la biblioteca Figma con los tokens aquí definidos. 3) Prototipar el modo manga en un dispositivo real bajo sol (la prueba de fuego). 4) Wireframes de alta fidelidad de las 12 pantallas core. 5) Handoff a frontend con los tokens JSON y Storybook.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Cowinance — Design System UX/UI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60"/>
      <w:outlineLvl w:val="0"/>
    </w:pPr>
    <w:rPr>
      <w:rFonts w:ascii="Arial" w:cs="Arial" w:eastAsia="Arial" w:hAnsi="Arial"/>
      <w:b/>
      <w:bCs/>
      <w:color w:val="1F4E3D"/>
      <w:sz w:val="32"/>
      <w:szCs w:val="32"/>
    </w:rPr>
  </w:style>
  <w:style w:type="paragraph" w:styleId="Heading2">
    <w:name w:val="Heading 2"/>
    <w:basedOn w:val="Normal"/>
    <w:next w:val="Normal"/>
    <w:qFormat/>
    <w:pPr>
      <w:spacing w:after="130" w:before="220"/>
      <w:outlineLvl w:val="1"/>
    </w:pPr>
    <w:rPr>
      <w:rFonts w:ascii="Arial" w:cs="Arial" w:eastAsia="Arial" w:hAnsi="Arial"/>
      <w:b/>
      <w:bCs/>
      <w:color w:val="2E6B54"/>
      <w:sz w:val="26"/>
      <w:szCs w:val="26"/>
    </w:rPr>
  </w:style>
  <w:style w:type="paragraph" w:styleId="Heading3">
    <w:name w:val="Heading 3"/>
    <w:basedOn w:val="Normal"/>
    <w:next w:val="Normal"/>
    <w:qFormat/>
    <w:pPr>
      <w:spacing w:after="90" w:before="17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2026-07-03T05:16:47.209Z</dcterms:created>
  <dcterms:modified xsi:type="dcterms:W3CDTF">2026-07-03T05:16:47.209Z</dcterms:modified>
</cp:coreProperties>
</file>

<file path=docProps/custom.xml><?xml version="1.0" encoding="utf-8"?>
<Properties xmlns="http://schemas.openxmlformats.org/officeDocument/2006/custom-properties" xmlns:vt="http://schemas.openxmlformats.org/officeDocument/2006/docPropsVTypes"/>
</file>