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4E3D"/>
          <w:sz w:val="80"/>
          <w:szCs w:val="80"/>
        </w:rPr>
        <w:t xml:space="preserve">COWINANCE</w:t>
      </w:r>
    </w:p>
    <w:p>
      <w:pPr>
        <w:spacing w:before="160"/>
        <w:jc w:val="center"/>
      </w:pPr>
      <w:r>
        <w:rPr>
          <w:color w:val="444444"/>
          <w:sz w:val="33"/>
          <w:szCs w:val="33"/>
        </w:rPr>
        <w:t xml:space="preserve">Módulo de Reproducción — Diseño Completo</w:t>
      </w:r>
    </w:p>
    <w:p>
      <w:pPr>
        <w:spacing w:before="120"/>
        <w:jc w:val="center"/>
      </w:pPr>
      <w:r>
        <w:rPr>
          <w:color w:val="888888"/>
          <w:sz w:val="19"/>
          <w:szCs w:val="19"/>
        </w:rPr>
        <w:t xml:space="preserve">Celo · IA · IATF · Transferencia de embriones · FIV · Semen · Donantes · Receptoras · Laboratorio</w:t>
      </w:r>
    </w:p>
    <w:p>
      <w:pPr>
        <w:pBdr>
          <w:bottom w:val="single" w:color="1F4E3D" w:sz="8" w:space="1"/>
        </w:pBdr>
        <w:spacing w:before="500"/>
        <w:jc w:val="center"/>
      </w:pPr>
    </w:p>
    <w:p>
      <w:pPr>
        <w:spacing w:before="360"/>
        <w:jc w:val="center"/>
      </w:pPr>
      <w:r>
        <w:rPr>
          <w:b/>
          <w:bCs/>
          <w:sz w:val="22"/>
          <w:szCs w:val="22"/>
        </w:rPr>
        <w:t xml:space="preserve">Biotecnología reproductiva de nivel mundial</w:t>
      </w:r>
    </w:p>
    <w:p>
      <w:pPr>
        <w:spacing w:before="120"/>
        <w:jc w:val="center"/>
      </w:pPr>
      <w:r>
        <w:rPr>
          <w:color w:val="888888"/>
          <w:sz w:val="20"/>
          <w:szCs w:val="20"/>
        </w:rPr>
        <w:t xml:space="preserve">Versión 1.0 — Julio 2026 — Confidencial</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pPr>
      <w:r>
        <w:t xml:space="preserve">1. Visión y alcance del módulo</w:t>
      </w:r>
    </w:p>
    <w:p>
      <w:pPr>
        <w:spacing w:after="140"/>
      </w:pPr>
      <w:r>
        <w:t xml:space="preserve">La reproducción es el </w:t>
      </w:r>
      <w:r>
        <w:rPr>
          <w:b/>
          <w:bCs/>
        </w:rPr>
        <w:t xml:space="preserve">motor económico de todo hato</w:t>
      </w:r>
      <w:r>
        <w:t xml:space="preserve">: sin preñez no hay producción, ni terneros, ni leche, ni reemplazos. El módulo de Reproducción de Cowinance gestiona el ciclo reproductivo completo con precisión científica — desde la detección del celo hasta el destete de la cría — e incluye la </w:t>
      </w:r>
      <w:r>
        <w:rPr>
          <w:b/>
          <w:bCs/>
        </w:rPr>
        <w:t xml:space="preserve">biotecnología reproductiva avanzada</w:t>
      </w:r>
      <w:r>
        <w:t xml:space="preserve">: inseminación artificial (IA), sincronización de celos (IATF), transferencia de embriones (TE), fecundación in vitro (FIV), gestión de donantes y receptoras, banco de semen y embriones, y el laboratorio reproductivo.</w:t>
      </w:r>
    </w:p>
    <w:p>
      <w:pPr>
        <w:spacing w:after="140"/>
      </w:pPr>
      <w:r>
        <w:t xml:space="preserve">El principio de diseño: cada evento reproductivo es </w:t>
      </w:r>
      <w:r>
        <w:rPr>
          <w:b/>
          <w:bCs/>
        </w:rPr>
        <w:t xml:space="preserve">inmutable y trazable</w:t>
      </w:r>
      <w:r>
        <w:t xml:space="preserve">, se enlaza con la genealogía (quién es hijo de quién), con la genética (qué semen/embrión se usó), con el inventario biológico (qué pajuela se descontó) y con la economía (cuánto costó cada preñez). El objetivo operativo: </w:t>
      </w:r>
      <w:r>
        <w:rPr>
          <w:b/>
          <w:bCs/>
        </w:rPr>
        <w:t xml:space="preserve">maximizar la eficiencia reproductiva</w:t>
      </w:r>
      <w:r>
        <w:t xml:space="preserve"> — más vientres preñados, en menos tiempo, con la mejor genética y al menor costo.</w:t>
      </w:r>
    </w:p>
    <w:p>
      <w:pPr>
        <w:pStyle w:val="Heading2"/>
      </w:pPr>
      <w:r>
        <w:t xml:space="preserve">1.1 Cobertura total del módulo</w:t>
      </w:r>
    </w:p>
    <w:p>
      <w:pPr>
        <w:pStyle w:val="ListParagraph"/>
        <w:numPr>
          <w:ilvl w:val="0"/>
          <w:numId w:val="2"/>
        </w:numPr>
        <w:spacing w:after="60"/>
      </w:pPr>
      <w:r>
        <w:t xml:space="preserve"/>
      </w:r>
      <w:r>
        <w:rPr>
          <w:b/>
          <w:bCs/>
        </w:rPr>
        <w:t xml:space="preserve">Detección de celo:</w:t>
      </w:r>
      <w:r>
        <w:t xml:space="preserve"> visual, por sensores (collar/podómetro/parche) y por IA predictiva.</w:t>
      </w:r>
    </w:p>
    <w:p>
      <w:pPr>
        <w:pStyle w:val="ListParagraph"/>
        <w:numPr>
          <w:ilvl w:val="0"/>
          <w:numId w:val="2"/>
        </w:numPr>
        <w:spacing w:after="60"/>
      </w:pPr>
      <w:r>
        <w:t xml:space="preserve"/>
      </w:r>
      <w:r>
        <w:rPr>
          <w:b/>
          <w:bCs/>
        </w:rPr>
        <w:t xml:space="preserve">Servicio:</w:t>
      </w:r>
      <w:r>
        <w:t xml:space="preserve"> monta natural, inseminación artificial (IA) e inseminación a tiempo fijo (IATF).</w:t>
      </w:r>
    </w:p>
    <w:p>
      <w:pPr>
        <w:pStyle w:val="ListParagraph"/>
        <w:numPr>
          <w:ilvl w:val="0"/>
          <w:numId w:val="2"/>
        </w:numPr>
        <w:spacing w:after="60"/>
      </w:pPr>
      <w:r>
        <w:t xml:space="preserve"/>
      </w:r>
      <w:r>
        <w:rPr>
          <w:b/>
          <w:bCs/>
        </w:rPr>
        <w:t xml:space="preserve">Sincronización:</w:t>
      </w:r>
      <w:r>
        <w:t xml:space="preserve"> protocolos hormonales reutilizables aplicados a lotes, con calendario automático.</w:t>
      </w:r>
    </w:p>
    <w:p>
      <w:pPr>
        <w:pStyle w:val="ListParagraph"/>
        <w:numPr>
          <w:ilvl w:val="0"/>
          <w:numId w:val="2"/>
        </w:numPr>
        <w:spacing w:after="60"/>
      </w:pPr>
      <w:r>
        <w:t xml:space="preserve"/>
      </w:r>
      <w:r>
        <w:rPr>
          <w:b/>
          <w:bCs/>
        </w:rPr>
        <w:t xml:space="preserve">Transferencia de embriones (TE):</w:t>
      </w:r>
      <w:r>
        <w:t xml:space="preserve"> in vivo (superovulación + colecta) y FIV (aspiración folicular OPU + laboratorio).</w:t>
      </w:r>
    </w:p>
    <w:p>
      <w:pPr>
        <w:pStyle w:val="ListParagraph"/>
        <w:numPr>
          <w:ilvl w:val="0"/>
          <w:numId w:val="2"/>
        </w:numPr>
        <w:spacing w:after="60"/>
      </w:pPr>
      <w:r>
        <w:t xml:space="preserve"/>
      </w:r>
      <w:r>
        <w:rPr>
          <w:b/>
          <w:bCs/>
        </w:rPr>
        <w:t xml:space="preserve">Donantes:</w:t>
      </w:r>
      <w:r>
        <w:t xml:space="preserve"> gestión de vacas donantes, superovulación, colecta, producción de embriones.</w:t>
      </w:r>
    </w:p>
    <w:p>
      <w:pPr>
        <w:pStyle w:val="ListParagraph"/>
        <w:numPr>
          <w:ilvl w:val="0"/>
          <w:numId w:val="2"/>
        </w:numPr>
        <w:spacing w:after="60"/>
      </w:pPr>
      <w:r>
        <w:t xml:space="preserve"/>
      </w:r>
      <w:r>
        <w:rPr>
          <w:b/>
          <w:bCs/>
        </w:rPr>
        <w:t xml:space="preserve">Receptoras:</w:t>
      </w:r>
      <w:r>
        <w:t xml:space="preserve"> selección, sincronización, asignación de embriones y seguimiento.</w:t>
      </w:r>
    </w:p>
    <w:p>
      <w:pPr>
        <w:pStyle w:val="ListParagraph"/>
        <w:numPr>
          <w:ilvl w:val="0"/>
          <w:numId w:val="2"/>
        </w:numPr>
        <w:spacing w:after="60"/>
      </w:pPr>
      <w:r>
        <w:t xml:space="preserve"/>
      </w:r>
      <w:r>
        <w:rPr>
          <w:b/>
          <w:bCs/>
        </w:rPr>
        <w:t xml:space="preserve">Semen:</w:t>
      </w:r>
      <w:r>
        <w:t xml:space="preserve"> banco de pajuelas, termos de nitrógeno, calidad, importación y trazabilidad.</w:t>
      </w:r>
    </w:p>
    <w:p>
      <w:pPr>
        <w:pStyle w:val="ListParagraph"/>
        <w:numPr>
          <w:ilvl w:val="0"/>
          <w:numId w:val="2"/>
        </w:numPr>
        <w:spacing w:after="60"/>
      </w:pPr>
      <w:r>
        <w:t xml:space="preserve"/>
      </w:r>
      <w:r>
        <w:rPr>
          <w:b/>
          <w:bCs/>
        </w:rPr>
        <w:t xml:space="preserve">Embriones:</w:t>
      </w:r>
      <w:r>
        <w:t xml:space="preserve"> inventario, grados, congelación/vitrificación, origen (in vivo/FIV).</w:t>
      </w:r>
    </w:p>
    <w:p>
      <w:pPr>
        <w:pStyle w:val="ListParagraph"/>
        <w:numPr>
          <w:ilvl w:val="0"/>
          <w:numId w:val="2"/>
        </w:numPr>
        <w:spacing w:after="60"/>
      </w:pPr>
      <w:r>
        <w:t xml:space="preserve"/>
      </w:r>
      <w:r>
        <w:rPr>
          <w:b/>
          <w:bCs/>
        </w:rPr>
        <w:t xml:space="preserve">Diagnóstico de gestación:</w:t>
      </w:r>
      <w:r>
        <w:t xml:space="preserve"> palpación, ecografía, sangre; seguimiento de la preñez.</w:t>
      </w:r>
    </w:p>
    <w:p>
      <w:pPr>
        <w:pStyle w:val="ListParagraph"/>
        <w:numPr>
          <w:ilvl w:val="0"/>
          <w:numId w:val="2"/>
        </w:numPr>
        <w:spacing w:after="60"/>
      </w:pPr>
      <w:r>
        <w:t xml:space="preserve"/>
      </w:r>
      <w:r>
        <w:rPr>
          <w:b/>
          <w:bCs/>
        </w:rPr>
        <w:t xml:space="preserve">Parto y destete:</w:t>
      </w:r>
      <w:r>
        <w:t xml:space="preserve"> registro de parición, crías, y cierre del ciclo.</w:t>
      </w:r>
    </w:p>
    <w:p>
      <w:pPr>
        <w:pStyle w:val="ListParagraph"/>
        <w:numPr>
          <w:ilvl w:val="0"/>
          <w:numId w:val="2"/>
        </w:numPr>
        <w:spacing w:after="60"/>
      </w:pPr>
      <w:r>
        <w:t xml:space="preserve"/>
      </w:r>
      <w:r>
        <w:rPr>
          <w:b/>
          <w:bCs/>
        </w:rPr>
        <w:t xml:space="preserve">Laboratorio reproductivo:</w:t>
      </w:r>
      <w:r>
        <w:t xml:space="preserve"> andrología (evaluación seminal), FIV, sexado de semen.</w:t>
      </w:r>
    </w:p>
    <w:p>
      <w:pPr>
        <w:pStyle w:val="ListParagraph"/>
        <w:numPr>
          <w:ilvl w:val="0"/>
          <w:numId w:val="2"/>
        </w:numPr>
        <w:spacing w:after="60"/>
      </w:pPr>
      <w:r>
        <w:t xml:space="preserve"/>
      </w:r>
      <w:r>
        <w:rPr>
          <w:b/>
          <w:bCs/>
        </w:rPr>
        <w:t xml:space="preserve">Genética integrada:</w:t>
      </w:r>
      <w:r>
        <w:t xml:space="preserve"> apareamientos dirigidos evitando consanguinidad.</w:t>
      </w:r>
    </w:p>
    <w:p>
      <w:pPr>
        <w:pStyle w:val="ListParagraph"/>
        <w:numPr>
          <w:ilvl w:val="0"/>
          <w:numId w:val="2"/>
        </w:numPr>
        <w:spacing w:after="60"/>
      </w:pPr>
      <w:r>
        <w:t xml:space="preserve"/>
      </w:r>
      <w:r>
        <w:rPr>
          <w:b/>
          <w:bCs/>
        </w:rPr>
        <w:t xml:space="preserve">IA aplicada (inteligencia artificial):</w:t>
      </w:r>
      <w:r>
        <w:t xml:space="preserve"> predicción de celo, probabilidad de preñez, momento óptimo de servicio.</w:t>
      </w:r>
    </w:p>
    <w:p>
      <w:pPr>
        <w:pStyle w:val="ListParagraph"/>
        <w:numPr>
          <w:ilvl w:val="0"/>
          <w:numId w:val="2"/>
        </w:numPr>
        <w:spacing w:after="60"/>
      </w:pPr>
      <w:r>
        <w:t xml:space="preserve"/>
      </w:r>
      <w:r>
        <w:rPr>
          <w:b/>
          <w:bCs/>
        </w:rPr>
        <w:t xml:space="preserve">Indicadores, calendario, alertas</w:t>
      </w:r>
      <w:r>
        <w:t xml:space="preserve"> reproductivas.</w:t>
      </w:r>
    </w:p>
    <w:p>
      <w:pPr>
        <w:pStyle w:val="Heading2"/>
      </w:pPr>
      <w:r>
        <w:t xml:space="preserve">1.2 Entidades del modelo de datos</w:t>
      </w:r>
    </w:p>
    <w:p>
      <w:pPr>
        <w:spacing w:after="140"/>
      </w:pPr>
      <w:r>
        <w:t xml:space="preserve">Centrales: </w:t>
      </w:r>
      <w:r>
        <w:rPr>
          <w:b/>
          <w:bCs/>
        </w:rPr>
        <w:t xml:space="preserve">breeding_events</w:t>
      </w:r>
      <w:r>
        <w:t xml:space="preserve"> (celo, servicio, IA, TE, sincronización), </w:t>
      </w:r>
      <w:r>
        <w:rPr>
          <w:b/>
          <w:bCs/>
        </w:rPr>
        <w:t xml:space="preserve">pregnancies</w:t>
      </w:r>
      <w:r>
        <w:t xml:space="preserve"> (gestación), </w:t>
      </w:r>
      <w:r>
        <w:rPr>
          <w:b/>
          <w:bCs/>
        </w:rPr>
        <w:t xml:space="preserve">calvings</w:t>
      </w:r>
      <w:r>
        <w:t xml:space="preserve"> y </w:t>
      </w:r>
      <w:r>
        <w:rPr>
          <w:b/>
          <w:bCs/>
        </w:rPr>
        <w:t xml:space="preserve">calving_offspring</w:t>
      </w:r>
      <w:r>
        <w:t xml:space="preserve"> (partos y crías), </w:t>
      </w:r>
      <w:r>
        <w:rPr>
          <w:b/>
          <w:bCs/>
        </w:rPr>
        <w:t xml:space="preserve">weanings</w:t>
      </w:r>
      <w:r>
        <w:t xml:space="preserve"> (destete), </w:t>
      </w:r>
      <w:r>
        <w:rPr>
          <w:b/>
          <w:bCs/>
        </w:rPr>
        <w:t xml:space="preserve">repro_protocols</w:t>
      </w:r>
      <w:r>
        <w:t xml:space="preserve"> (protocolos), </w:t>
      </w:r>
      <w:r>
        <w:rPr>
          <w:b/>
          <w:bCs/>
        </w:rPr>
        <w:t xml:space="preserve">semen_batches</w:t>
      </w:r>
      <w:r>
        <w:t xml:space="preserve"> (semen), </w:t>
      </w:r>
      <w:r>
        <w:rPr>
          <w:b/>
          <w:bCs/>
        </w:rPr>
        <w:t xml:space="preserve">embryos</w:t>
      </w:r>
      <w:r>
        <w:t xml:space="preserve"> (embriones), </w:t>
      </w:r>
      <w:r>
        <w:rPr>
          <w:b/>
          <w:bCs/>
        </w:rPr>
        <w:t xml:space="preserve">storage_tanks</w:t>
      </w:r>
      <w:r>
        <w:t xml:space="preserve"> (termos), </w:t>
      </w:r>
      <w:r>
        <w:rPr>
          <w:b/>
          <w:bCs/>
        </w:rPr>
        <w:t xml:space="preserve">genetic_evaluations</w:t>
      </w:r>
      <w:r>
        <w:t xml:space="preserve"> (genética). Conectadas: animals (donantes, receptoras, crías, reproductores), lab_samples/lab_results (laboratorio), predictions (IA), tasks/calendar_events (agenda), alerts. El módulo añade entidades específicas descritas en la sección 1.3.</w:t>
      </w:r>
    </w:p>
    <w:p>
      <w:pPr>
        <w:pStyle w:val="Heading2"/>
      </w:pPr>
      <w:r>
        <w:t xml:space="preserve">1.3 Entidades específicas que el módulo añade al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Entidad</w:t>
            </w:r>
          </w:p>
        </w:tc>
        <w:tc>
          <w:tcPr>
            <w:tcW w:type="dxa" w:w="676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Propósito</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recipient_assignments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Asignación de un embrión a una vaca receptora, con sincronización y resultado</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flushing_sessions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Sesión de superovulación y colecta (flushing) de una donante: embriones recuperados y su calidad</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opu_sessions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Sesión de aspiración folicular (OPU) de una donante para FIV: ovocitos obtenidos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fiv_batches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Lote de producción in vitro: ovocitos + semen → embriones, con tasas de clivaje y blastocisto</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semen_quality_tests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Evaluación andrológica del semen: motilidad, concentración, morfología, vigor</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heat_detections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Detección de celo con origen (visual/sensor/IA), intensidad y ventana óptima de servicio</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synchronization_batches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Aplicación de un protocolo a un lote de hembras, con calendario de pasos y ejecución</w:t>
            </w:r>
          </w:p>
        </w:tc>
      </w:tr>
    </w:tbl>
    <w:p>
      <w:pPr>
        <w:spacing w:after="140"/>
      </w:pPr>
    </w:p>
    <w:p>
      <w:pPr>
        <w:pStyle w:val="Heading1"/>
        <w:pageBreakBefore/>
      </w:pPr>
      <w:r>
        <w:t xml:space="preserve">2. Ciclo y estados reproductivos de la hembra</w:t>
      </w:r>
    </w:p>
    <w:p>
      <w:pPr>
        <w:spacing w:after="140"/>
      </w:pPr>
      <w:r>
        <w:t xml:space="preserve">La hembra se modela con un </w:t>
      </w:r>
      <w:r>
        <w:rPr>
          <w:b/>
          <w:bCs/>
        </w:rPr>
        <w:t xml:space="preserve">estado reproductivo en vivo</w:t>
      </w:r>
      <w:r>
        <w:t xml:space="preserve"> que se deriva de sus eventos y gobierna qué acciones son válidas. El diagrama de estados se incluye en 2.2.</w:t>
      </w:r>
    </w:p>
    <w:p>
      <w:pPr>
        <w:pStyle w:val="Heading2"/>
      </w:pPr>
      <w:r>
        <w:t xml:space="preserve">2.1 Estados reproductivos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060"/>
      </w:tblGrid>
      <w:tr>
        <w:trPr>
          <w:tblHeader/>
        </w:trPr>
        <w:tc>
          <w:tcPr>
            <w:tcW w:type="dxa" w:w="20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Estado</w:t>
            </w:r>
          </w:p>
        </w:tc>
        <w:tc>
          <w:tcPr>
            <w:tcW w:type="dxa" w:w="43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Significado</w:t>
            </w:r>
          </w:p>
        </w:tc>
        <w:tc>
          <w:tcPr>
            <w:tcW w:type="dxa" w:w="306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Transición típica</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prepúber</w:t>
            </w:r>
          </w:p>
        </w:tc>
        <w:tc>
          <w:tcPr>
            <w:tcW w:type="dxa" w:w="4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No alcanzó la pubertad / peso de servicio</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 vacía (apta)</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vacía (abierta)</w:t>
            </w:r>
          </w:p>
        </w:tc>
        <w:tc>
          <w:tcPr>
            <w:tcW w:type="dxa" w:w="4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Apta y sin servir, o con servicio no confirmado</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 en_celo, → servida</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en_celo</w:t>
            </w:r>
          </w:p>
        </w:tc>
        <w:tc>
          <w:tcPr>
            <w:tcW w:type="dxa" w:w="4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Celo detectado, en ventana óptima de servicio</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 servida</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servida</w:t>
            </w:r>
          </w:p>
        </w:tc>
        <w:tc>
          <w:tcPr>
            <w:tcW w:type="dxa" w:w="4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Inseminada o montada; esperando diagnóstico</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 preñada, → vacía (falla)</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preñada</w:t>
            </w:r>
          </w:p>
        </w:tc>
        <w:tc>
          <w:tcPr>
            <w:tcW w:type="dxa" w:w="4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Gestación confirmada</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 próxima_a_parir, → vacía (aborto)</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próxima_a_parir</w:t>
            </w:r>
          </w:p>
        </w:tc>
        <w:tc>
          <w:tcPr>
            <w:tcW w:type="dxa" w:w="4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En ventana de parto (preparto)</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 parida</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parida (con cría)</w:t>
            </w:r>
          </w:p>
        </w:tc>
        <w:tc>
          <w:tcPr>
            <w:tcW w:type="dxa" w:w="4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Parió; en lactancia/puerperio</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 vacía (fin de puerperio)</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receptora</w:t>
            </w:r>
          </w:p>
        </w:tc>
        <w:tc>
          <w:tcPr>
            <w:tcW w:type="dxa" w:w="4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Vaca sincronizada para recibir un embrión (TE)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 preñada, → vacía</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donante</w:t>
            </w:r>
          </w:p>
        </w:tc>
        <w:tc>
          <w:tcPr>
            <w:tcW w:type="dxa" w:w="4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Vaca en programa de producción de embriones</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(paralelo a su estado reproductivo)</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descarte_reproductivo</w:t>
            </w:r>
          </w:p>
        </w:tc>
        <w:tc>
          <w:tcPr>
            <w:tcW w:type="dxa" w:w="4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Baja reproductiva (fallas, edad, sanidad)</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 venta/descarte</w:t>
            </w:r>
          </w:p>
        </w:tc>
      </w:tr>
    </w:tbl>
    <w:p>
      <w:pPr>
        <w:spacing w:after="140"/>
      </w:pPr>
    </w:p>
    <w:p>
      <w:pPr>
        <w:pStyle w:val="Heading2"/>
      </w:pPr>
      <w:r>
        <w:t xml:space="preserve">2.2 Diagrama del ciclo reproductivo</w:t>
      </w:r>
    </w:p>
    <w:p>
      <w:pPr>
        <w:spacing w:after="140"/>
      </w:pPr>
      <w:r>
        <w:t xml:space="preserve">El período voluntario de espera (posparto antes de volver a servir), los días abiertos y el intervalo entre partos se calculan automáticamente a partir de estas transiciones.</w:t>
      </w:r>
    </w:p>
    <w:p>
      <w:pPr>
        <w:pStyle w:val="Heading1"/>
        <w:pageBreakBefore/>
      </w:pPr>
      <w:r>
        <w:t xml:space="preserve">3. Detección de celo</w:t>
      </w:r>
    </w:p>
    <w:p>
      <w:pPr>
        <w:spacing w:after="140"/>
      </w:pPr>
      <w:r>
        <w:t xml:space="preserve">Detectar el celo (estro) a tiempo es la mayor palanca de eficiencia: un celo no visto es un ciclo de 21 días perdido. Cowinance combina tres fuentes.</w:t>
      </w:r>
    </w:p>
    <w:p>
      <w:pPr>
        <w:pStyle w:val="Heading2"/>
      </w:pPr>
      <w:r>
        <w:t xml:space="preserve">3.1 Métodos</w:t>
      </w:r>
    </w:p>
    <w:p>
      <w:pPr>
        <w:pStyle w:val="ListParagraph"/>
        <w:numPr>
          <w:ilvl w:val="0"/>
          <w:numId w:val="2"/>
        </w:numPr>
        <w:spacing w:after="60"/>
      </w:pPr>
      <w:r>
        <w:t xml:space="preserve"/>
      </w:r>
      <w:r>
        <w:rPr>
          <w:b/>
          <w:bCs/>
        </w:rPr>
        <w:t xml:space="preserve">Visual:</w:t>
      </w:r>
      <w:r>
        <w:t xml:space="preserve"> registro por el personal de signos de celo (monta, inquietud, moco), con intensidad; captura rápida desde el móvil o por voz en el corral.</w:t>
      </w:r>
    </w:p>
    <w:p>
      <w:pPr>
        <w:pStyle w:val="ListParagraph"/>
        <w:numPr>
          <w:ilvl w:val="0"/>
          <w:numId w:val="2"/>
        </w:numPr>
        <w:spacing w:after="60"/>
      </w:pPr>
      <w:r>
        <w:t xml:space="preserve"/>
      </w:r>
      <w:r>
        <w:rPr>
          <w:b/>
          <w:bCs/>
        </w:rPr>
        <w:t xml:space="preserve">Sensores (IoT):</w:t>
      </w:r>
      <w:r>
        <w:t xml:space="preserve"> collares y podómetros de actividad, parches detectores de monta y sensores de rumia; el aumento de actividad dispara una detección automática con hora precisa.</w:t>
      </w:r>
    </w:p>
    <w:p>
      <w:pPr>
        <w:pStyle w:val="ListParagraph"/>
        <w:numPr>
          <w:ilvl w:val="0"/>
          <w:numId w:val="2"/>
        </w:numPr>
        <w:spacing w:after="60"/>
      </w:pPr>
      <w:r>
        <w:t xml:space="preserve"/>
      </w:r>
      <w:r>
        <w:rPr>
          <w:b/>
          <w:bCs/>
        </w:rPr>
        <w:t xml:space="preserve">IA predictiva:</w:t>
      </w:r>
      <w:r>
        <w:t xml:space="preserve"> modelo que anticipa la ventana de celo combinando actividad, ciclos previos y días posparto, y recomienda el momento óptimo de inseminación.</w:t>
      </w:r>
    </w:p>
    <w:p>
      <w:pPr>
        <w:pStyle w:val="Heading2"/>
      </w:pPr>
      <w:r>
        <w:t xml:space="preserve">3.2 Ventana óptima e inseminación</w:t>
      </w:r>
    </w:p>
    <w:p>
      <w:pPr>
        <w:spacing w:after="140"/>
      </w:pPr>
      <w:r>
        <w:t xml:space="preserve">A partir de la hora de inicio del celo, el sistema calcula la </w:t>
      </w:r>
      <w:r>
        <w:rPr>
          <w:b/>
          <w:bCs/>
        </w:rPr>
        <w:t xml:space="preserve">ventana óptima de servicio</w:t>
      </w:r>
      <w:r>
        <w:t xml:space="preserve"> (regla am/pm y desviaciones por método) y genera la tarea de inseminación con vencimiento. Cada detección registra origen, intensidad, hora y la recomendación. Entidad: heat_detections → breeding_events (type=heat).</w:t>
      </w:r>
    </w:p>
    <w:p>
      <w:pPr>
        <w:pStyle w:val="Heading2"/>
      </w:pPr>
      <w:r>
        <w:t xml:space="preserve">3.3 Datos e integración</w:t>
      </w:r>
    </w:p>
    <w:p>
      <w:pPr>
        <w:pStyle w:val="ListParagraph"/>
        <w:numPr>
          <w:ilvl w:val="0"/>
          <w:numId w:val="2"/>
        </w:numPr>
        <w:spacing w:after="60"/>
      </w:pPr>
      <w:r>
        <w:t xml:space="preserve">Origen del dato (visual/sensor/IA), animal, hora de inicio, intensidad, ventana recomendada.</w:t>
      </w:r>
    </w:p>
    <w:p>
      <w:pPr>
        <w:pStyle w:val="ListParagraph"/>
        <w:numPr>
          <w:ilvl w:val="0"/>
          <w:numId w:val="2"/>
        </w:numPr>
        <w:spacing w:after="60"/>
      </w:pPr>
      <w:r>
        <w:t xml:space="preserve">Integra con IoT (collares), Calendario (tarea de servicio), IA (predicción) y con el historial del animal.</w:t>
      </w:r>
    </w:p>
    <w:p>
      <w:pPr>
        <w:pStyle w:val="ListParagraph"/>
        <w:numPr>
          <w:ilvl w:val="0"/>
          <w:numId w:val="2"/>
        </w:numPr>
        <w:spacing w:after="60"/>
      </w:pPr>
      <w:r>
        <w:t xml:space="preserve">Alertas: "vaca 472 en celo — inseminar antes de las 18:00".</w:t>
      </w:r>
    </w:p>
    <w:p>
      <w:pPr>
        <w:pStyle w:val="Heading1"/>
        <w:pageBreakBefore/>
      </w:pPr>
      <w:r>
        <w:t xml:space="preserve">4. Inseminación Artificial (IA)</w:t>
      </w:r>
    </w:p>
    <w:p>
      <w:pPr>
        <w:spacing w:after="140"/>
      </w:pPr>
      <w:r>
        <w:t xml:space="preserve">La IA (inseminación artificial) permite usar la mejor genética sin mantener toros. El módulo la gestiona de punta a punta, con trazabilidad de la pajuela y del inseminador.</w:t>
      </w:r>
    </w:p>
    <w:p>
      <w:pPr>
        <w:pStyle w:val="Heading2"/>
      </w:pPr>
      <w:r>
        <w:t xml:space="preserve">4.1 Capacidades</w:t>
      </w:r>
    </w:p>
    <w:p>
      <w:pPr>
        <w:pStyle w:val="ListParagraph"/>
        <w:numPr>
          <w:ilvl w:val="0"/>
          <w:numId w:val="2"/>
        </w:numPr>
        <w:spacing w:after="60"/>
      </w:pPr>
      <w:r>
        <w:t xml:space="preserve"/>
      </w:r>
      <w:r>
        <w:rPr>
          <w:b/>
          <w:bCs/>
        </w:rPr>
        <w:t xml:space="preserve">Servicio de IA:</w:t>
      </w:r>
      <w:r>
        <w:t xml:space="preserve"> hembra, semen (pajuela identificada del banco), inseminador/técnico, fecha/hora, y detección de celo que lo originó.</w:t>
      </w:r>
    </w:p>
    <w:p>
      <w:pPr>
        <w:pStyle w:val="ListParagraph"/>
        <w:numPr>
          <w:ilvl w:val="0"/>
          <w:numId w:val="2"/>
        </w:numPr>
        <w:spacing w:after="60"/>
      </w:pPr>
      <w:r>
        <w:t xml:space="preserve"/>
      </w:r>
      <w:r>
        <w:rPr>
          <w:b/>
          <w:bCs/>
        </w:rPr>
        <w:t xml:space="preserve">Descuento de inventario:</w:t>
      </w:r>
      <w:r>
        <w:t xml:space="preserve"> cada IA descuenta una pajuela del semen_batch correspondiente (trazabilidad y costo).</w:t>
      </w:r>
    </w:p>
    <w:p>
      <w:pPr>
        <w:pStyle w:val="ListParagraph"/>
        <w:numPr>
          <w:ilvl w:val="0"/>
          <w:numId w:val="2"/>
        </w:numPr>
        <w:spacing w:after="60"/>
      </w:pPr>
      <w:r>
        <w:t xml:space="preserve"/>
      </w:r>
      <w:r>
        <w:rPr>
          <w:b/>
          <w:bCs/>
        </w:rPr>
        <w:t xml:space="preserve">IATF (a tiempo fijo):</w:t>
      </w:r>
      <w:r>
        <w:t xml:space="preserve"> inseminación programada sin detección de celo, ejecutada sobre el lote al final de un protocolo de sincronización (sección 5).</w:t>
      </w:r>
    </w:p>
    <w:p>
      <w:pPr>
        <w:pStyle w:val="ListParagraph"/>
        <w:numPr>
          <w:ilvl w:val="0"/>
          <w:numId w:val="2"/>
        </w:numPr>
        <w:spacing w:after="60"/>
      </w:pPr>
      <w:r>
        <w:t xml:space="preserve"/>
      </w:r>
      <w:r>
        <w:rPr>
          <w:b/>
          <w:bCs/>
        </w:rPr>
        <w:t xml:space="preserve">Repaso:</w:t>
      </w:r>
      <w:r>
        <w:t xml:space="preserve"> registro de re-servicios (retorno a celo) y conteo de servicios por concepción.</w:t>
      </w:r>
    </w:p>
    <w:p>
      <w:pPr>
        <w:pStyle w:val="ListParagraph"/>
        <w:numPr>
          <w:ilvl w:val="0"/>
          <w:numId w:val="2"/>
        </w:numPr>
        <w:spacing w:after="60"/>
      </w:pPr>
      <w:r>
        <w:t xml:space="preserve"/>
      </w:r>
      <w:r>
        <w:rPr>
          <w:b/>
          <w:bCs/>
        </w:rPr>
        <w:t xml:space="preserve">Sexado:</w:t>
      </w:r>
      <w:r>
        <w:t xml:space="preserve"> soporte de semen sexado (macho/hembra) con su tasa de concepción diferenciada.</w:t>
      </w:r>
    </w:p>
    <w:p>
      <w:pPr>
        <w:pStyle w:val="Heading2"/>
      </w:pPr>
      <w:r>
        <w:t xml:space="preserve">4.2 Datos, KPIs e integración</w:t>
      </w:r>
    </w:p>
    <w:p>
      <w:pPr>
        <w:pStyle w:val="ListParagraph"/>
        <w:numPr>
          <w:ilvl w:val="0"/>
          <w:numId w:val="2"/>
        </w:numPr>
        <w:spacing w:after="60"/>
      </w:pPr>
      <w:r>
        <w:t xml:space="preserve">Entidades: breeding_events (type=service_ai), semen_batches (descuento), animals (reproductor externo de referencia), users (inseminador).</w:t>
      </w:r>
    </w:p>
    <w:p>
      <w:pPr>
        <w:pStyle w:val="ListParagraph"/>
        <w:numPr>
          <w:ilvl w:val="0"/>
          <w:numId w:val="2"/>
        </w:numPr>
        <w:spacing w:after="60"/>
      </w:pPr>
      <w:r>
        <w:t xml:space="preserve">KPIs: tasa de concepción por IA, servicios por preñez, desempeño por inseminador y por toro.</w:t>
      </w:r>
    </w:p>
    <w:p>
      <w:pPr>
        <w:pStyle w:val="ListParagraph"/>
        <w:numPr>
          <w:ilvl w:val="0"/>
          <w:numId w:val="2"/>
        </w:numPr>
        <w:spacing w:after="60"/>
      </w:pPr>
      <w:r>
        <w:t xml:space="preserve">Integra con Semen (banco), Genética (apareamiento), Diagnóstico de gestación, Finanzas (costo del servicio) y Reproducción → genealogía de la cría.</w:t>
      </w:r>
    </w:p>
    <w:p>
      <w:pPr>
        <w:pStyle w:val="Heading1"/>
        <w:pageBreakBefore/>
      </w:pPr>
      <w:r>
        <w:t xml:space="preserve">5. Sincronización de celos (IATF)</w:t>
      </w:r>
    </w:p>
    <w:p>
      <w:pPr>
        <w:spacing w:after="140"/>
      </w:pPr>
      <w:r>
        <w:t xml:space="preserve">La sincronización hormonal permite inseminar un lote entero el mismo día (IATF, inseminación artificial a tiempo fijo) sin depender de la detección de celo — la biotecnología que revolucionó la reproducción de rodeos grandes.</w:t>
      </w:r>
    </w:p>
    <w:p>
      <w:pPr>
        <w:pStyle w:val="Heading2"/>
      </w:pPr>
      <w:r>
        <w:t xml:space="preserve">5.1 Protocolos</w:t>
      </w:r>
    </w:p>
    <w:p>
      <w:pPr>
        <w:pStyle w:val="ListParagraph"/>
        <w:numPr>
          <w:ilvl w:val="0"/>
          <w:numId w:val="2"/>
        </w:numPr>
        <w:spacing w:after="60"/>
      </w:pPr>
      <w:r>
        <w:t xml:space="preserve">Protocolos reutilizables (repro_protocols) definidos como una secuencia de pasos: día relativo, hormona/dispositivo (DIV/DISPOSITIVO de progesterona, estradiol, GnRH, prostaglandina, eCG), dosis y vía.</w:t>
      </w:r>
    </w:p>
    <w:p>
      <w:pPr>
        <w:pStyle w:val="ListParagraph"/>
        <w:numPr>
          <w:ilvl w:val="0"/>
          <w:numId w:val="2"/>
        </w:numPr>
        <w:spacing w:after="60"/>
      </w:pPr>
      <w:r>
        <w:t xml:space="preserve">Plantillas listas (p. ej. IATF de 8/9/10 días, protocolos de resincronización) y protocolos propios del tenant.</w:t>
      </w:r>
    </w:p>
    <w:p>
      <w:pPr>
        <w:pStyle w:val="ListParagraph"/>
        <w:numPr>
          <w:ilvl w:val="0"/>
          <w:numId w:val="2"/>
        </w:numPr>
        <w:spacing w:after="60"/>
      </w:pPr>
      <w:r>
        <w:t xml:space="preserve">Aplicación a un </w:t>
      </w:r>
      <w:r>
        <w:rPr>
          <w:b/>
          <w:bCs/>
        </w:rPr>
        <w:t xml:space="preserve">lote de hembras</w:t>
      </w:r>
      <w:r>
        <w:t xml:space="preserve"> (synchronization_batches): el sistema genera el calendario completo con cada paso y su fecha, y crea las tareas de manejo (colocar/retirar dispositivo, aplicar hormona, inseminar).</w:t>
      </w:r>
    </w:p>
    <w:p>
      <w:pPr>
        <w:pStyle w:val="Heading2"/>
      </w:pPr>
      <w:r>
        <w:t xml:space="preserve">5.2 Ejemplo de protocolo IATF (esquema de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900"/>
        <w:gridCol w:w="3260"/>
      </w:tblGrid>
      <w:tr>
        <w:trPr>
          <w:tblHeader/>
        </w:trPr>
        <w:tc>
          <w:tcPr>
            <w:tcW w:type="dxa" w:w="12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Día</w:t>
            </w:r>
          </w:p>
        </w:tc>
        <w:tc>
          <w:tcPr>
            <w:tcW w:type="dxa" w:w="49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Acción</w:t>
            </w:r>
          </w:p>
        </w:tc>
        <w:tc>
          <w:tcPr>
            <w:tcW w:type="dxa" w:w="326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Producto típico</w:t>
            </w:r>
          </w:p>
        </w:tc>
      </w:tr>
      <w:tr>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D0</w:t>
            </w:r>
          </w:p>
        </w:tc>
        <w:tc>
          <w:tcPr>
            <w:tcW w:type="dxa" w:w="4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Colocar dispositivo intravaginal + estradiol</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Progesterona (DIV) + benzoato de estradiol</w:t>
            </w:r>
          </w:p>
        </w:tc>
      </w:tr>
      <w:tr>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D8</w:t>
            </w:r>
          </w:p>
        </w:tc>
        <w:tc>
          <w:tcPr>
            <w:tcW w:type="dxa" w:w="4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Retirar dispositivo + prostaglandina + eCG + inductor</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PGF2α + eCG + cipionato de estradiol</w:t>
            </w:r>
          </w:p>
        </w:tc>
      </w:tr>
      <w:tr>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D10</w:t>
            </w:r>
          </w:p>
        </w:tc>
        <w:tc>
          <w:tcPr>
            <w:tcW w:type="dxa" w:w="4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Inseminación a tiempo fijo (IATF)</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Semen (pajuela)</w:t>
            </w:r>
          </w:p>
        </w:tc>
      </w:tr>
      <w:tr>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D10+</w:t>
            </w:r>
          </w:p>
        </w:tc>
        <w:tc>
          <w:tcPr>
            <w:tcW w:type="dxa" w:w="4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Opcional: repaso con toro o detección de celo para resincronización</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D40</w:t>
            </w:r>
          </w:p>
        </w:tc>
        <w:tc>
          <w:tcPr>
            <w:tcW w:type="dxa" w:w="4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Diagnóstico de gestación (ecografía)</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w:t>
            </w:r>
          </w:p>
        </w:tc>
      </w:tr>
    </w:tbl>
    <w:p>
      <w:pPr>
        <w:spacing w:after="140"/>
      </w:pPr>
    </w:p>
    <w:p>
      <w:pPr>
        <w:pStyle w:val="Heading2"/>
      </w:pPr>
      <w:r>
        <w:t xml:space="preserve">5.3 Ejecución y control</w:t>
      </w:r>
    </w:p>
    <w:p>
      <w:pPr>
        <w:pStyle w:val="ListParagraph"/>
        <w:numPr>
          <w:ilvl w:val="0"/>
          <w:numId w:val="2"/>
        </w:numPr>
        <w:spacing w:after="60"/>
      </w:pPr>
      <w:r>
        <w:t xml:space="preserve">Cada paso genera una tarea con fecha; el capataz confirma la ejecución sobre el lote (manejo por manga) con registro por animal.</w:t>
      </w:r>
    </w:p>
    <w:p>
      <w:pPr>
        <w:pStyle w:val="ListParagraph"/>
        <w:numPr>
          <w:ilvl w:val="0"/>
          <w:numId w:val="2"/>
        </w:numPr>
        <w:spacing w:after="60"/>
      </w:pPr>
      <w:r>
        <w:t xml:space="preserve">Descuento de insumos hormonales del inventario y costeo del protocolo por vientre.</w:t>
      </w:r>
    </w:p>
    <w:p>
      <w:pPr>
        <w:pStyle w:val="ListParagraph"/>
        <w:numPr>
          <w:ilvl w:val="0"/>
          <w:numId w:val="2"/>
        </w:numPr>
        <w:spacing w:after="60"/>
      </w:pPr>
      <w:r>
        <w:t xml:space="preserve">Panel de avance del lote: cuántas hembras completaron cada paso; alertas de pasos vencidos.</w:t>
      </w:r>
    </w:p>
    <w:p>
      <w:pPr>
        <w:pStyle w:val="ListParagraph"/>
        <w:numPr>
          <w:ilvl w:val="0"/>
          <w:numId w:val="2"/>
        </w:numPr>
        <w:spacing w:after="60"/>
      </w:pPr>
      <w:r>
        <w:t xml:space="preserve">Cierre: la IATF genera un breeding_event de servicio por hembra, listo para diagnóstico.</w:t>
      </w:r>
    </w:p>
    <w:p>
      <w:pPr>
        <w:pStyle w:val="Heading1"/>
        <w:pageBreakBefore/>
      </w:pPr>
      <w:r>
        <w:t xml:space="preserve">6. Transferencia de embriones (TE) y FIV</w:t>
      </w:r>
    </w:p>
    <w:p>
      <w:pPr>
        <w:spacing w:after="140"/>
      </w:pPr>
      <w:r>
        <w:t xml:space="preserve">La TE multiplica la genética superior: una vaca donante de alto valor produce muchos terneros al año en vientres receptores. Cowinance gestiona las dos vías —producción in vivo (superovulación) y FIV (in vitro)— y el flujo completo donante → embrión → receptora → preñez. El diagrama de flujo se incluye en 6.4.</w:t>
      </w:r>
    </w:p>
    <w:p>
      <w:pPr>
        <w:pStyle w:val="Heading2"/>
      </w:pPr>
      <w:r>
        <w:t xml:space="preserve">6.1 Producción in vivo (superovulación + colecta)</w:t>
      </w:r>
    </w:p>
    <w:p>
      <w:pPr>
        <w:pStyle w:val="ListParagraph"/>
        <w:numPr>
          <w:ilvl w:val="0"/>
          <w:numId w:val="2"/>
        </w:numPr>
        <w:spacing w:after="60"/>
      </w:pPr>
      <w:r>
        <w:t xml:space="preserve"/>
      </w:r>
      <w:r>
        <w:rPr>
          <w:b/>
          <w:bCs/>
        </w:rPr>
        <w:t xml:space="preserve">Superovulación:</w:t>
      </w:r>
      <w:r>
        <w:t xml:space="preserve"> protocolo hormonal sobre la donante para producir múltiples ovulaciones.</w:t>
      </w:r>
    </w:p>
    <w:p>
      <w:pPr>
        <w:pStyle w:val="ListParagraph"/>
        <w:numPr>
          <w:ilvl w:val="0"/>
          <w:numId w:val="2"/>
        </w:numPr>
        <w:spacing w:after="60"/>
      </w:pPr>
      <w:r>
        <w:t xml:space="preserve"/>
      </w:r>
      <w:r>
        <w:rPr>
          <w:b/>
          <w:bCs/>
        </w:rPr>
        <w:t xml:space="preserve">Servicio de la donante:</w:t>
      </w:r>
      <w:r>
        <w:t xml:space="preserve"> IA con semen seleccionado.</w:t>
      </w:r>
    </w:p>
    <w:p>
      <w:pPr>
        <w:pStyle w:val="ListParagraph"/>
        <w:numPr>
          <w:ilvl w:val="0"/>
          <w:numId w:val="2"/>
        </w:numPr>
        <w:spacing w:after="60"/>
      </w:pPr>
      <w:r>
        <w:t xml:space="preserve"/>
      </w:r>
      <w:r>
        <w:rPr>
          <w:b/>
          <w:bCs/>
        </w:rPr>
        <w:t xml:space="preserve">Colecta (flushing):</w:t>
      </w:r>
      <w:r>
        <w:t xml:space="preserve"> recuperación de embriones ~7 días después; registro de embriones recuperados y su calidad/grado (flushing_sessions).</w:t>
      </w:r>
    </w:p>
    <w:p>
      <w:pPr>
        <w:pStyle w:val="ListParagraph"/>
        <w:numPr>
          <w:ilvl w:val="0"/>
          <w:numId w:val="2"/>
        </w:numPr>
        <w:spacing w:after="60"/>
      </w:pPr>
      <w:r>
        <w:t xml:space="preserve"/>
      </w:r>
      <w:r>
        <w:rPr>
          <w:b/>
          <w:bCs/>
        </w:rPr>
        <w:t xml:space="preserve">Destino de cada embrión:</w:t>
      </w:r>
      <w:r>
        <w:t xml:space="preserve"> transferir en fresco a receptora, o congelar/vitrificar para el banco (embryos).</w:t>
      </w:r>
    </w:p>
    <w:p>
      <w:pPr>
        <w:pStyle w:val="Heading2"/>
      </w:pPr>
      <w:r>
        <w:t xml:space="preserve">6.2 Producción in vitro (FIV / OPU)</w:t>
      </w:r>
    </w:p>
    <w:p>
      <w:pPr>
        <w:pStyle w:val="ListParagraph"/>
        <w:numPr>
          <w:ilvl w:val="0"/>
          <w:numId w:val="2"/>
        </w:numPr>
        <w:spacing w:after="60"/>
      </w:pPr>
      <w:r>
        <w:t xml:space="preserve"/>
      </w:r>
      <w:r>
        <w:rPr>
          <w:b/>
          <w:bCs/>
        </w:rPr>
        <w:t xml:space="preserve">Aspiración folicular (OPU):</w:t>
      </w:r>
      <w:r>
        <w:t xml:space="preserve"> obtención de ovocitos de la donante sin superovulación, repetible cada 1–2 semanas (opu_sessions).</w:t>
      </w:r>
    </w:p>
    <w:p>
      <w:pPr>
        <w:pStyle w:val="ListParagraph"/>
        <w:numPr>
          <w:ilvl w:val="0"/>
          <w:numId w:val="2"/>
        </w:numPr>
        <w:spacing w:after="60"/>
      </w:pPr>
      <w:r>
        <w:t xml:space="preserve"/>
      </w:r>
      <w:r>
        <w:rPr>
          <w:b/>
          <w:bCs/>
        </w:rPr>
        <w:t xml:space="preserve">Fecundación in vitro:</w:t>
      </w:r>
      <w:r>
        <w:t xml:space="preserve"> en laboratorio, ovocitos + semen (a menudo sexado) → cultivo → embriones (fiv_batches), con tasas de clivaje y de blastocisto.</w:t>
      </w:r>
    </w:p>
    <w:p>
      <w:pPr>
        <w:pStyle w:val="ListParagraph"/>
        <w:numPr>
          <w:ilvl w:val="0"/>
          <w:numId w:val="2"/>
        </w:numPr>
        <w:spacing w:after="60"/>
      </w:pPr>
      <w:r>
        <w:t xml:space="preserve"/>
      </w:r>
      <w:r>
        <w:rPr>
          <w:b/>
          <w:bCs/>
        </w:rPr>
        <w:t xml:space="preserve">Ventaja:</w:t>
      </w:r>
      <w:r>
        <w:t xml:space="preserve"> permite usar donantes preñadas, jóvenes o con problemas, y maximiza el uso del semen de alto valor.</w:t>
      </w:r>
    </w:p>
    <w:p>
      <w:pPr>
        <w:pStyle w:val="Heading2"/>
      </w:pPr>
      <w:r>
        <w:t xml:space="preserve">6.3 Transferencia a la receptora</w:t>
      </w:r>
    </w:p>
    <w:p>
      <w:pPr>
        <w:pStyle w:val="ListParagraph"/>
        <w:numPr>
          <w:ilvl w:val="0"/>
          <w:numId w:val="2"/>
        </w:numPr>
        <w:spacing w:after="60"/>
      </w:pPr>
      <w:r>
        <w:t xml:space="preserve">Asignación embrión → receptora sincronizada (recipient_assignments), en fresco o descongelado.</w:t>
      </w:r>
    </w:p>
    <w:p>
      <w:pPr>
        <w:pStyle w:val="ListParagraph"/>
        <w:numPr>
          <w:ilvl w:val="0"/>
          <w:numId w:val="2"/>
        </w:numPr>
        <w:spacing w:after="60"/>
      </w:pPr>
      <w:r>
        <w:t xml:space="preserve">La preñez resultante lleva la </w:t>
      </w:r>
      <w:r>
        <w:rPr>
          <w:b/>
          <w:bCs/>
        </w:rPr>
        <w:t xml:space="preserve">genética de la donante y el toro</w:t>
      </w:r>
      <w:r>
        <w:t xml:space="preserve">, gestada por la receptora — el sistema mantiene esta distinción en la genealogía de la cría.</w:t>
      </w:r>
    </w:p>
    <w:p>
      <w:pPr>
        <w:pStyle w:val="ListParagraph"/>
        <w:numPr>
          <w:ilvl w:val="0"/>
          <w:numId w:val="2"/>
        </w:numPr>
        <w:spacing w:after="60"/>
      </w:pPr>
      <w:r>
        <w:t xml:space="preserve">Diagnóstico y seguimiento de la gestación en la receptora como cualquier otra preñez.</w:t>
      </w:r>
    </w:p>
    <w:p>
      <w:pPr>
        <w:pStyle w:val="Heading2"/>
      </w:pPr>
      <w:r>
        <w:t xml:space="preserve">6.4 Flujo donante → receptora</w:t>
      </w:r>
    </w:p>
    <w:p>
      <w:pPr>
        <w:pStyle w:val="Heading1"/>
        <w:pageBreakBefore/>
      </w:pPr>
      <w:r>
        <w:t xml:space="preserve">7. Donantes</w:t>
      </w:r>
    </w:p>
    <w:p>
      <w:pPr>
        <w:spacing w:after="140"/>
      </w:pPr>
      <w:r>
        <w:t xml:space="preserve">La donante es una hembra de genética superior seleccionada para multiplicar su descendencia.</w:t>
      </w:r>
    </w:p>
    <w:p>
      <w:pPr>
        <w:pStyle w:val="ListParagraph"/>
        <w:numPr>
          <w:ilvl w:val="0"/>
          <w:numId w:val="2"/>
        </w:numPr>
        <w:spacing w:after="60"/>
      </w:pPr>
      <w:r>
        <w:t xml:space="preserve"/>
      </w:r>
      <w:r>
        <w:rPr>
          <w:b/>
          <w:bCs/>
        </w:rPr>
        <w:t xml:space="preserve">Registro y selección:</w:t>
      </w:r>
      <w:r>
        <w:t xml:space="preserve"> marcado del animal como donante (por mérito genético, fenotipo, valor comercial); un animal puede ser donante y mantener su ciclo productivo.</w:t>
      </w:r>
    </w:p>
    <w:p>
      <w:pPr>
        <w:pStyle w:val="ListParagraph"/>
        <w:numPr>
          <w:ilvl w:val="0"/>
          <w:numId w:val="2"/>
        </w:numPr>
        <w:spacing w:after="60"/>
      </w:pPr>
      <w:r>
        <w:t xml:space="preserve"/>
      </w:r>
      <w:r>
        <w:rPr>
          <w:b/>
          <w:bCs/>
        </w:rPr>
        <w:t xml:space="preserve">Programa reproductivo:</w:t>
      </w:r>
      <w:r>
        <w:t xml:space="preserve"> historial de superovulaciones y OPU, embriones producidos por sesión, tasa de recuperación y de calidad.</w:t>
      </w:r>
    </w:p>
    <w:p>
      <w:pPr>
        <w:pStyle w:val="ListParagraph"/>
        <w:numPr>
          <w:ilvl w:val="0"/>
          <w:numId w:val="2"/>
        </w:numPr>
        <w:spacing w:after="60"/>
      </w:pPr>
      <w:r>
        <w:t xml:space="preserve"/>
      </w:r>
      <w:r>
        <w:rPr>
          <w:b/>
          <w:bCs/>
        </w:rPr>
        <w:t xml:space="preserve">Rendimiento genético:</w:t>
      </w:r>
      <w:r>
        <w:t xml:space="preserve"> embriones/año, preñeces logradas, descendencia viva y su desempeño — mide el retorno del programa TE.</w:t>
      </w:r>
    </w:p>
    <w:p>
      <w:pPr>
        <w:pStyle w:val="ListParagraph"/>
        <w:numPr>
          <w:ilvl w:val="0"/>
          <w:numId w:val="2"/>
        </w:numPr>
        <w:spacing w:after="60"/>
      </w:pPr>
      <w:r>
        <w:t xml:space="preserve"/>
      </w:r>
      <w:r>
        <w:rPr>
          <w:b/>
          <w:bCs/>
        </w:rPr>
        <w:t xml:space="preserve">Salud reproductiva:</w:t>
      </w:r>
      <w:r>
        <w:t xml:space="preserve"> control sanitario específico (una donante intensamente trabajada requiere seguimiento).</w:t>
      </w:r>
    </w:p>
    <w:p>
      <w:pPr>
        <w:spacing w:after="140"/>
      </w:pPr>
      <w:r>
        <w:t xml:space="preserve">Entidades: animals (rol donante), flushing_sessions, opu_sessions, fiv_batches, embryos, genetic_evaluations. KPIs: embriones viables por colecta, tasa de blastocisto (FIV), preñeces por donante.</w:t>
      </w:r>
    </w:p>
    <w:p>
      <w:pPr>
        <w:pStyle w:val="Heading1"/>
        <w:pageBreakBefore/>
      </w:pPr>
      <w:r>
        <w:t xml:space="preserve">8. Receptoras</w:t>
      </w:r>
    </w:p>
    <w:p>
      <w:pPr>
        <w:spacing w:after="140"/>
      </w:pPr>
      <w:r>
        <w:t xml:space="preserve">La receptora (recipiente) gesta un embrión que no es genéticamente suyo. Su gestión es clave para el éxito de la TE.</w:t>
      </w:r>
    </w:p>
    <w:p>
      <w:pPr>
        <w:pStyle w:val="ListParagraph"/>
        <w:numPr>
          <w:ilvl w:val="0"/>
          <w:numId w:val="2"/>
        </w:numPr>
        <w:spacing w:after="60"/>
      </w:pPr>
      <w:r>
        <w:t xml:space="preserve"/>
      </w:r>
      <w:r>
        <w:rPr>
          <w:b/>
          <w:bCs/>
        </w:rPr>
        <w:t xml:space="preserve">Selección:</w:t>
      </w:r>
      <w:r>
        <w:t xml:space="preserve"> hembras sanas, de buen tamaño, fértiles y con buena aptitud materna; el sistema mantiene un "pool" de receptoras disponibles.</w:t>
      </w:r>
    </w:p>
    <w:p>
      <w:pPr>
        <w:pStyle w:val="ListParagraph"/>
        <w:numPr>
          <w:ilvl w:val="0"/>
          <w:numId w:val="2"/>
        </w:numPr>
        <w:spacing w:after="60"/>
      </w:pPr>
      <w:r>
        <w:t xml:space="preserve"/>
      </w:r>
      <w:r>
        <w:rPr>
          <w:b/>
          <w:bCs/>
        </w:rPr>
        <w:t xml:space="preserve">Sincronización:</w:t>
      </w:r>
      <w:r>
        <w:t xml:space="preserve"> protocolo para que el ciclo de la receptora coincida con el estadio del embrión; calendario y ejecución como en IATF.</w:t>
      </w:r>
    </w:p>
    <w:p>
      <w:pPr>
        <w:pStyle w:val="ListParagraph"/>
        <w:numPr>
          <w:ilvl w:val="0"/>
          <w:numId w:val="2"/>
        </w:numPr>
        <w:spacing w:after="60"/>
      </w:pPr>
      <w:r>
        <w:t xml:space="preserve"/>
      </w:r>
      <w:r>
        <w:rPr>
          <w:b/>
          <w:bCs/>
        </w:rPr>
        <w:t xml:space="preserve">Asignación:</w:t>
      </w:r>
      <w:r>
        <w:t xml:space="preserve"> matching embrión ↔ receptora sincronizada (recipient_assignments), en fresco o descongelado, con registro del técnico.</w:t>
      </w:r>
    </w:p>
    <w:p>
      <w:pPr>
        <w:pStyle w:val="ListParagraph"/>
        <w:numPr>
          <w:ilvl w:val="0"/>
          <w:numId w:val="2"/>
        </w:numPr>
        <w:spacing w:after="60"/>
      </w:pPr>
      <w:r>
        <w:t xml:space="preserve"/>
      </w:r>
      <w:r>
        <w:rPr>
          <w:b/>
          <w:bCs/>
        </w:rPr>
        <w:t xml:space="preserve">Seguimiento:</w:t>
      </w:r>
      <w:r>
        <w:t xml:space="preserve"> diagnóstico de gestación, tasa de preñez por receptora y por técnico, y desempeño hasta el parto y destete de la cría ajena.</w:t>
      </w:r>
    </w:p>
    <w:p>
      <w:pPr>
        <w:spacing w:after="140"/>
      </w:pPr>
      <w:r>
        <w:t xml:space="preserve">Entidades: animals (rol receptora), recipient_assignments, synchronization_batches, pregnancies. KPIs: tasa de preñez de receptoras (fresco vs. congelado), pérdidas gestacionales, receptoras disponibles vs. embriones en stock.</w:t>
      </w:r>
    </w:p>
    <w:p>
      <w:pPr>
        <w:pStyle w:val="Heading1"/>
        <w:pageBreakBefore/>
      </w:pPr>
      <w:r>
        <w:t xml:space="preserve">9. Banco de semen</w:t>
      </w:r>
    </w:p>
    <w:p>
      <w:pPr>
        <w:spacing w:after="140"/>
      </w:pPr>
      <w:r>
        <w:t xml:space="preserve">El semen es un activo genético y un insumo controlado. El banco gestiona su inventario, calidad y trazabilidad.</w:t>
      </w:r>
    </w:p>
    <w:p>
      <w:pPr>
        <w:pStyle w:val="ListParagraph"/>
        <w:numPr>
          <w:ilvl w:val="0"/>
          <w:numId w:val="2"/>
        </w:numPr>
        <w:spacing w:after="60"/>
      </w:pPr>
      <w:r>
        <w:t xml:space="preserve"/>
      </w:r>
      <w:r>
        <w:rPr>
          <w:b/>
          <w:bCs/>
        </w:rPr>
        <w:t xml:space="preserve">Inventario de pajuelas:</w:t>
      </w:r>
      <w:r>
        <w:t xml:space="preserve"> por toro (propio o comprado), raza, partida, cantidad disponible, y ubicación física (termo, canastilla, posición).</w:t>
      </w:r>
    </w:p>
    <w:p>
      <w:pPr>
        <w:pStyle w:val="ListParagraph"/>
        <w:numPr>
          <w:ilvl w:val="0"/>
          <w:numId w:val="2"/>
        </w:numPr>
        <w:spacing w:after="60"/>
      </w:pPr>
      <w:r>
        <w:t xml:space="preserve"/>
      </w:r>
      <w:r>
        <w:rPr>
          <w:b/>
          <w:bCs/>
        </w:rPr>
        <w:t xml:space="preserve">Termos de nitrógeno (storage_tanks):</w:t>
      </w:r>
      <w:r>
        <w:t xml:space="preserve"> nivel de nitrógeno, capacidad, alertas de reposición — perder la cadena de frío arruina el material genético.</w:t>
      </w:r>
    </w:p>
    <w:p>
      <w:pPr>
        <w:pStyle w:val="ListParagraph"/>
        <w:numPr>
          <w:ilvl w:val="0"/>
          <w:numId w:val="2"/>
        </w:numPr>
        <w:spacing w:after="60"/>
      </w:pPr>
      <w:r>
        <w:t xml:space="preserve"/>
      </w:r>
      <w:r>
        <w:rPr>
          <w:b/>
          <w:bCs/>
        </w:rPr>
        <w:t xml:space="preserve">Calidad (andrología):</w:t>
      </w:r>
      <w:r>
        <w:t xml:space="preserve"> motilidad, concentración, morfología y vigor por partida (semen_quality_tests); semen sexado con su marca.</w:t>
      </w:r>
    </w:p>
    <w:p>
      <w:pPr>
        <w:pStyle w:val="ListParagraph"/>
        <w:numPr>
          <w:ilvl w:val="0"/>
          <w:numId w:val="2"/>
        </w:numPr>
        <w:spacing w:after="60"/>
      </w:pPr>
      <w:r>
        <w:t xml:space="preserve"/>
      </w:r>
      <w:r>
        <w:rPr>
          <w:b/>
          <w:bCs/>
        </w:rPr>
        <w:t xml:space="preserve">Trazabilidad y costo:</w:t>
      </w:r>
      <w:r>
        <w:t xml:space="preserve"> origen (central genética/proveedor), costo por pajuela, y descuento automático en cada IA/FIV.</w:t>
      </w:r>
    </w:p>
    <w:p>
      <w:pPr>
        <w:pStyle w:val="ListParagraph"/>
        <w:numPr>
          <w:ilvl w:val="0"/>
          <w:numId w:val="2"/>
        </w:numPr>
        <w:spacing w:after="60"/>
      </w:pPr>
      <w:r>
        <w:t xml:space="preserve"/>
      </w:r>
      <w:r>
        <w:rPr>
          <w:b/>
          <w:bCs/>
        </w:rPr>
        <w:t xml:space="preserve">Importación:</w:t>
      </w:r>
      <w:r>
        <w:t xml:space="preserve"> carga de catálogos de centrales de genética y de certificados sanitarios del semen importado.</w:t>
      </w:r>
    </w:p>
    <w:p>
      <w:pPr>
        <w:spacing w:after="140"/>
      </w:pPr>
      <w:r>
        <w:t xml:space="preserve">Entidades: semen_batches, storage_tanks, semen_quality_tests, suppliers, animals (toro donante). KPIs: pajuelas en stock por toro, consumo, costo por preñez lograda, nivel de termos.</w:t>
      </w:r>
    </w:p>
    <w:p>
      <w:pPr>
        <w:pStyle w:val="Heading1"/>
        <w:pageBreakBefore/>
      </w:pPr>
      <w:r>
        <w:t xml:space="preserve">10. Banco de embriones</w:t>
      </w:r>
    </w:p>
    <w:p>
      <w:pPr>
        <w:pStyle w:val="ListParagraph"/>
        <w:numPr>
          <w:ilvl w:val="0"/>
          <w:numId w:val="2"/>
        </w:numPr>
        <w:spacing w:after="60"/>
      </w:pPr>
      <w:r>
        <w:t xml:space="preserve"/>
      </w:r>
      <w:r>
        <w:rPr>
          <w:b/>
          <w:bCs/>
        </w:rPr>
        <w:t xml:space="preserve">Inventario:</w:t>
      </w:r>
      <w:r>
        <w:t xml:space="preserve"> embriones por donante y toro, estadio y grado (calidad), método de producción (in vivo / FIV), sexo si está determinado, y ubicación en termo.</w:t>
      </w:r>
    </w:p>
    <w:p>
      <w:pPr>
        <w:pStyle w:val="ListParagraph"/>
        <w:numPr>
          <w:ilvl w:val="0"/>
          <w:numId w:val="2"/>
        </w:numPr>
        <w:spacing w:after="60"/>
      </w:pPr>
      <w:r>
        <w:t xml:space="preserve"/>
      </w:r>
      <w:r>
        <w:rPr>
          <w:b/>
          <w:bCs/>
        </w:rPr>
        <w:t xml:space="preserve">Congelación/vitrificación:</w:t>
      </w:r>
      <w:r>
        <w:t xml:space="preserve"> estado de conservación y protocolo; fecha de producción y de transferencia.</w:t>
      </w:r>
    </w:p>
    <w:p>
      <w:pPr>
        <w:pStyle w:val="ListParagraph"/>
        <w:numPr>
          <w:ilvl w:val="0"/>
          <w:numId w:val="2"/>
        </w:numPr>
        <w:spacing w:after="60"/>
      </w:pPr>
      <w:r>
        <w:t xml:space="preserve"/>
      </w:r>
      <w:r>
        <w:rPr>
          <w:b/>
          <w:bCs/>
        </w:rPr>
        <w:t xml:space="preserve">Trazabilidad genética:</w:t>
      </w:r>
      <w:r>
        <w:t xml:space="preserve"> cada embrión conoce su donante (madre genética) y su toro (padre); al transferirse, la cría hereda esa genética aunque la geste una receptora.</w:t>
      </w:r>
    </w:p>
    <w:p>
      <w:pPr>
        <w:pStyle w:val="ListParagraph"/>
        <w:numPr>
          <w:ilvl w:val="0"/>
          <w:numId w:val="2"/>
        </w:numPr>
        <w:spacing w:after="60"/>
      </w:pPr>
      <w:r>
        <w:t xml:space="preserve"/>
      </w:r>
      <w:r>
        <w:rPr>
          <w:b/>
          <w:bCs/>
        </w:rPr>
        <w:t xml:space="preserve">Disponibilidad:</w:t>
      </w:r>
      <w:r>
        <w:t xml:space="preserve"> embriones listos para transferir vs. receptoras sincronizadas disponibles (matching de oferta/demanda).</w:t>
      </w:r>
    </w:p>
    <w:p>
      <w:pPr>
        <w:spacing w:after="140"/>
      </w:pPr>
      <w:r>
        <w:t xml:space="preserve">Entidades: embryos, storage_tanks, flushing_sessions/fiv_batches (origen), recipient_assignments (destino). KPIs: embriones en stock por genética, tasa de preñez fresco vs. congelado, rotación del inventario.</w:t>
      </w:r>
    </w:p>
    <w:p>
      <w:pPr>
        <w:pStyle w:val="Heading1"/>
        <w:pageBreakBefore/>
      </w:pPr>
      <w:r>
        <w:t xml:space="preserve">11. Laboratorio reproductivo</w:t>
      </w:r>
    </w:p>
    <w:p>
      <w:pPr>
        <w:spacing w:after="140"/>
      </w:pPr>
      <w:r>
        <w:t xml:space="preserve">El laboratorio conecta el módulo de Reproducción con el módulo de Laboratorio (LIMS) para las pruebas y procesos especializados.</w:t>
      </w:r>
    </w:p>
    <w:p>
      <w:pPr>
        <w:pStyle w:val="ListParagraph"/>
        <w:numPr>
          <w:ilvl w:val="0"/>
          <w:numId w:val="2"/>
        </w:numPr>
        <w:spacing w:after="60"/>
      </w:pPr>
      <w:r>
        <w:t xml:space="preserve"/>
      </w:r>
      <w:r>
        <w:rPr>
          <w:b/>
          <w:bCs/>
        </w:rPr>
        <w:t xml:space="preserve">Andrología:</w:t>
      </w:r>
      <w:r>
        <w:t xml:space="preserve"> evaluación de la aptitud reproductiva de toros y de la calidad seminal (motilidad, concentración, morfología); apto/no apto para servicio.</w:t>
      </w:r>
    </w:p>
    <w:p>
      <w:pPr>
        <w:pStyle w:val="ListParagraph"/>
        <w:numPr>
          <w:ilvl w:val="0"/>
          <w:numId w:val="2"/>
        </w:numPr>
        <w:spacing w:after="60"/>
      </w:pPr>
      <w:r>
        <w:t xml:space="preserve"/>
      </w:r>
      <w:r>
        <w:rPr>
          <w:b/>
          <w:bCs/>
        </w:rPr>
        <w:t xml:space="preserve">FIV:</w:t>
      </w:r>
      <w:r>
        <w:t xml:space="preserve"> producción in vitro con tasas de clivaje y blastocisto por lote; control de calidad de ovocitos y embriones.</w:t>
      </w:r>
    </w:p>
    <w:p>
      <w:pPr>
        <w:pStyle w:val="ListParagraph"/>
        <w:numPr>
          <w:ilvl w:val="0"/>
          <w:numId w:val="2"/>
        </w:numPr>
        <w:spacing w:after="60"/>
      </w:pPr>
      <w:r>
        <w:t xml:space="preserve"/>
      </w:r>
      <w:r>
        <w:rPr>
          <w:b/>
          <w:bCs/>
        </w:rPr>
        <w:t xml:space="preserve">Sexado de semen y de embriones</w:t>
      </w:r>
      <w:r>
        <w:t xml:space="preserve"> (determinación genética del sexo).</w:t>
      </w:r>
    </w:p>
    <w:p>
      <w:pPr>
        <w:pStyle w:val="ListParagraph"/>
        <w:numPr>
          <w:ilvl w:val="0"/>
          <w:numId w:val="2"/>
        </w:numPr>
        <w:spacing w:after="60"/>
      </w:pPr>
      <w:r>
        <w:t xml:space="preserve"/>
      </w:r>
      <w:r>
        <w:rPr>
          <w:b/>
          <w:bCs/>
        </w:rPr>
        <w:t xml:space="preserve">Diagnósticos reproductivos:</w:t>
      </w:r>
      <w:r>
        <w:t xml:space="preserve"> enfermedades venéreas y de la reproducción (brucelosis, tricomoniasis, campylobacter, IBR/BVD) sobre muestras.</w:t>
      </w:r>
    </w:p>
    <w:p>
      <w:pPr>
        <w:pStyle w:val="ListParagraph"/>
        <w:numPr>
          <w:ilvl w:val="0"/>
          <w:numId w:val="2"/>
        </w:numPr>
        <w:spacing w:after="60"/>
      </w:pPr>
      <w:r>
        <w:t xml:space="preserve"/>
      </w:r>
      <w:r>
        <w:rPr>
          <w:b/>
          <w:bCs/>
        </w:rPr>
        <w:t xml:space="preserve">Genómica reproductiva:</w:t>
      </w:r>
      <w:r>
        <w:t xml:space="preserve"> valores genéticos de fertilidad que alimentan la selección de donantes y toros.</w:t>
      </w:r>
    </w:p>
    <w:p>
      <w:pPr>
        <w:spacing w:after="140"/>
      </w:pPr>
      <w:r>
        <w:t xml:space="preserve">Entidades: lab_samples, lab_results, semen_quality_tests, fiv_batches, genetic_evaluations. Los informes quedan como documentos verificables adjuntos al animal.</w:t>
      </w:r>
    </w:p>
    <w:p>
      <w:pPr>
        <w:pStyle w:val="Heading1"/>
        <w:pageBreakBefore/>
      </w:pPr>
      <w:r>
        <w:t xml:space="preserve">12. Diagnóstico de gestación y seguimiento</w:t>
      </w:r>
    </w:p>
    <w:p>
      <w:pPr>
        <w:pStyle w:val="ListParagraph"/>
        <w:numPr>
          <w:ilvl w:val="0"/>
          <w:numId w:val="2"/>
        </w:numPr>
        <w:spacing w:after="60"/>
      </w:pPr>
      <w:r>
        <w:t xml:space="preserve"/>
      </w:r>
      <w:r>
        <w:rPr>
          <w:b/>
          <w:bCs/>
        </w:rPr>
        <w:t xml:space="preserve">Métodos:</w:t>
      </w:r>
      <w:r>
        <w:t xml:space="preserve"> palpación rectal, ecografía (con edad gestacional y sexado fetal), y prueba de sangre (PAG); registro del método, fecha y resultado.</w:t>
      </w:r>
    </w:p>
    <w:p>
      <w:pPr>
        <w:pStyle w:val="ListParagraph"/>
        <w:numPr>
          <w:ilvl w:val="0"/>
          <w:numId w:val="2"/>
        </w:numPr>
        <w:spacing w:after="60"/>
      </w:pPr>
      <w:r>
        <w:t xml:space="preserve"/>
      </w:r>
      <w:r>
        <w:rPr>
          <w:b/>
          <w:bCs/>
        </w:rPr>
        <w:t xml:space="preserve">Gestación (pregnancies):</w:t>
      </w:r>
      <w:r>
        <w:t xml:space="preserve"> desde el diagnóstico positivo hasta el parto o la pérdida; cálculo de la fecha probable de parto según la especie.</w:t>
      </w:r>
    </w:p>
    <w:p>
      <w:pPr>
        <w:pStyle w:val="ListParagraph"/>
        <w:numPr>
          <w:ilvl w:val="0"/>
          <w:numId w:val="2"/>
        </w:numPr>
        <w:spacing w:after="60"/>
      </w:pPr>
      <w:r>
        <w:t xml:space="preserve"/>
      </w:r>
      <w:r>
        <w:rPr>
          <w:b/>
          <w:bCs/>
        </w:rPr>
        <w:t xml:space="preserve">Seguimiento:</w:t>
      </w:r>
      <w:r>
        <w:t xml:space="preserve"> control de preñeces, detección de pérdidas gestacionales (aborto) y resincronización de las vacías.</w:t>
      </w:r>
    </w:p>
    <w:p>
      <w:pPr>
        <w:pStyle w:val="ListParagraph"/>
        <w:numPr>
          <w:ilvl w:val="0"/>
          <w:numId w:val="2"/>
        </w:numPr>
        <w:spacing w:after="60"/>
      </w:pPr>
      <w:r>
        <w:t xml:space="preserve"/>
      </w:r>
      <w:r>
        <w:rPr>
          <w:b/>
          <w:bCs/>
        </w:rPr>
        <w:t xml:space="preserve">Preparto:</w:t>
      </w:r>
      <w:r>
        <w:t xml:space="preserve"> ventana de vigilancia y preparación del parto; asignación a potrero de parición.</w:t>
      </w:r>
    </w:p>
    <w:p>
      <w:pPr>
        <w:spacing w:after="140"/>
      </w:pPr>
      <w:r>
        <w:t xml:space="preserve">Entidades: pregnancies, breeding_events, lab_samples (PAG/ecografía). KPIs: tasa de preñez, pérdidas gestacionales, distribución de parición prevista.</w:t>
      </w:r>
    </w:p>
    <w:p>
      <w:pPr>
        <w:pStyle w:val="Heading1"/>
        <w:pageBreakBefore/>
      </w:pPr>
      <w:r>
        <w:t xml:space="preserve">13. Parto, cría y cierre del ciclo</w:t>
      </w:r>
    </w:p>
    <w:p>
      <w:pPr>
        <w:pStyle w:val="ListParagraph"/>
        <w:numPr>
          <w:ilvl w:val="0"/>
          <w:numId w:val="2"/>
        </w:numPr>
        <w:spacing w:after="60"/>
      </w:pPr>
      <w:r>
        <w:t xml:space="preserve"/>
      </w:r>
      <w:r>
        <w:rPr>
          <w:b/>
          <w:bCs/>
        </w:rPr>
        <w:t xml:space="preserve">Parto (calvings):</w:t>
      </w:r>
      <w:r>
        <w:t xml:space="preserve"> fecha, facilidad de parto (score 1–5), número de crías, complicaciones.</w:t>
      </w:r>
    </w:p>
    <w:p>
      <w:pPr>
        <w:pStyle w:val="ListParagraph"/>
        <w:numPr>
          <w:ilvl w:val="0"/>
          <w:numId w:val="2"/>
        </w:numPr>
        <w:spacing w:after="60"/>
      </w:pPr>
      <w:r>
        <w:t xml:space="preserve"/>
      </w:r>
      <w:r>
        <w:rPr>
          <w:b/>
          <w:bCs/>
        </w:rPr>
        <w:t xml:space="preserve">Crías (calving_offspring):</w:t>
      </w:r>
      <w:r>
        <w:t xml:space="preserve"> cada cría se da de alta como animal con su genealogía (donante+toro en TE, o madre+toro en IA/monta), peso al nacer y vitalidad.</w:t>
      </w:r>
    </w:p>
    <w:p>
      <w:pPr>
        <w:pStyle w:val="ListParagraph"/>
        <w:numPr>
          <w:ilvl w:val="0"/>
          <w:numId w:val="2"/>
        </w:numPr>
        <w:spacing w:after="60"/>
      </w:pPr>
      <w:r>
        <w:t xml:space="preserve"/>
      </w:r>
      <w:r>
        <w:rPr>
          <w:b/>
          <w:bCs/>
        </w:rPr>
        <w:t xml:space="preserve">Destete (weanings):</w:t>
      </w:r>
      <w:r>
        <w:t xml:space="preserve"> peso al destete y cierre del ciclo; la vaca vuelve a "vacía" tras el período voluntario de espera.</w:t>
      </w:r>
    </w:p>
    <w:p>
      <w:pPr>
        <w:pStyle w:val="ListParagraph"/>
        <w:numPr>
          <w:ilvl w:val="0"/>
          <w:numId w:val="2"/>
        </w:numPr>
        <w:spacing w:after="60"/>
      </w:pPr>
      <w:r>
        <w:t xml:space="preserve"/>
      </w:r>
      <w:r>
        <w:rPr>
          <w:b/>
          <w:bCs/>
        </w:rPr>
        <w:t xml:space="preserve">Índices maternos:</w:t>
      </w:r>
      <w:r>
        <w:t xml:space="preserve"> facilidad de parto, habilidad materna, peso al destete de la progenie — alimentan la evaluación genética.</w:t>
      </w:r>
    </w:p>
    <w:p>
      <w:pPr>
        <w:pStyle w:val="Heading1"/>
        <w:pageBreakBefore/>
      </w:pPr>
      <w:r>
        <w:t xml:space="preserve">14. Genética integrada y apareamientos</w:t>
      </w:r>
    </w:p>
    <w:p>
      <w:pPr>
        <w:pStyle w:val="ListParagraph"/>
        <w:numPr>
          <w:ilvl w:val="0"/>
          <w:numId w:val="2"/>
        </w:numPr>
        <w:spacing w:after="60"/>
      </w:pPr>
      <w:r>
        <w:t xml:space="preserve"/>
      </w:r>
      <w:r>
        <w:rPr>
          <w:b/>
          <w:bCs/>
        </w:rPr>
        <w:t xml:space="preserve">Apareamiento dirigido:</w:t>
      </w:r>
      <w:r>
        <w:t xml:space="preserve"> el sistema recomienda toro/semen o embrión para cada hembra según objetivo (carne/leche/maternal), evitando consanguinidad (coeficiente calculado sobre la genealogía).</w:t>
      </w:r>
    </w:p>
    <w:p>
      <w:pPr>
        <w:pStyle w:val="ListParagraph"/>
        <w:numPr>
          <w:ilvl w:val="0"/>
          <w:numId w:val="2"/>
        </w:numPr>
        <w:spacing w:after="60"/>
      </w:pPr>
      <w:r>
        <w:t xml:space="preserve"/>
      </w:r>
      <w:r>
        <w:rPr>
          <w:b/>
          <w:bCs/>
        </w:rPr>
        <w:t xml:space="preserve">Alertas de consanguinidad:</w:t>
      </w:r>
      <w:r>
        <w:t xml:space="preserve"> bloquea o advierte apareamientos con parentesco alto.</w:t>
      </w:r>
    </w:p>
    <w:p>
      <w:pPr>
        <w:pStyle w:val="ListParagraph"/>
        <w:numPr>
          <w:ilvl w:val="0"/>
          <w:numId w:val="2"/>
        </w:numPr>
        <w:spacing w:after="60"/>
      </w:pPr>
      <w:r>
        <w:t xml:space="preserve"/>
      </w:r>
      <w:r>
        <w:rPr>
          <w:b/>
          <w:bCs/>
        </w:rPr>
        <w:t xml:space="preserve">Uso de EPDs/genómica:</w:t>
      </w:r>
      <w:r>
        <w:t xml:space="preserve"> selecciona por mérito genético; corrección de paternidad por ADN alimenta la genealogía.</w:t>
      </w:r>
    </w:p>
    <w:p>
      <w:pPr>
        <w:pStyle w:val="ListParagraph"/>
        <w:numPr>
          <w:ilvl w:val="0"/>
          <w:numId w:val="2"/>
        </w:numPr>
        <w:spacing w:after="60"/>
      </w:pPr>
      <w:r>
        <w:t xml:space="preserve"/>
      </w:r>
      <w:r>
        <w:rPr>
          <w:b/>
          <w:bCs/>
        </w:rPr>
        <w:t xml:space="preserve">Planes de apareamiento por lote</w:t>
      </w:r>
      <w:r>
        <w:t xml:space="preserve"> con simulación de la próxima generación.</w:t>
      </w:r>
    </w:p>
    <w:p>
      <w:pPr>
        <w:spacing w:after="140"/>
      </w:pPr>
      <w:r>
        <w:t xml:space="preserve">Entidades: genetic_evaluations, animals (genealogía), semen_batches, embryos, predictions.</w:t>
      </w:r>
    </w:p>
    <w:p>
      <w:pPr>
        <w:pStyle w:val="Heading1"/>
        <w:pageBreakBefore/>
      </w:pPr>
      <w:r>
        <w:t xml:space="preserve">15. Indicadores reproductivos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Indicador</w:t>
            </w:r>
          </w:p>
        </w:tc>
        <w:tc>
          <w:tcPr>
            <w:tcW w:type="dxa" w:w="636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Definición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Tasa de preñez</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Preñadas / servidas (o / entoradas)</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Tasa de concepción por servicio</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Preñeces / número de servicios</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Días abiertos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Días desde el parto hasta la nueva preñez</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Intervalo entre partos (IEP)</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Días entre partos consecutivos</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Servicios por concepción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Número medio de servicios para lograr preñez</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Tasa de detección de celo</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Celos detectados / celos esperados</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Tasa de preñez IATF</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Preñeces / hembras inseminadas a tiempo fijo</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Tasa de preñez de receptoras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Preñeces / embriones transferidos (fresco vs. congelado)</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Embriones viables por colecta</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Producción media de la donante por sesión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Tasa de parición y de destete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Terneros nacidos / paridos y destetados / entoradas</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Pérdidas gestacionales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Abortos / preñeces confirmadas</w:t>
            </w:r>
          </w:p>
        </w:tc>
      </w:tr>
    </w:tbl>
    <w:p>
      <w:pPr>
        <w:spacing w:after="140"/>
      </w:pPr>
    </w:p>
    <w:p>
      <w:pPr>
        <w:pStyle w:val="Heading1"/>
        <w:pageBreakBefore/>
      </w:pPr>
      <w:r>
        <w:t xml:space="preserve">16. Inteligencia artificial aplicada</w:t>
      </w:r>
    </w:p>
    <w:p>
      <w:pPr>
        <w:pStyle w:val="ListParagraph"/>
        <w:numPr>
          <w:ilvl w:val="0"/>
          <w:numId w:val="2"/>
        </w:numPr>
        <w:spacing w:after="60"/>
      </w:pPr>
      <w:r>
        <w:t xml:space="preserve"/>
      </w:r>
      <w:r>
        <w:rPr>
          <w:b/>
          <w:bCs/>
        </w:rPr>
        <w:t xml:space="preserve">Predicción de celo:</w:t>
      </w:r>
      <w:r>
        <w:t xml:space="preserve"> anticipa la ventana de estro por actividad del collar y ciclos previos; recomienda hora de IA.</w:t>
      </w:r>
    </w:p>
    <w:p>
      <w:pPr>
        <w:pStyle w:val="ListParagraph"/>
        <w:numPr>
          <w:ilvl w:val="0"/>
          <w:numId w:val="2"/>
        </w:numPr>
        <w:spacing w:after="60"/>
      </w:pPr>
      <w:r>
        <w:t xml:space="preserve"/>
      </w:r>
      <w:r>
        <w:rPr>
          <w:b/>
          <w:bCs/>
        </w:rPr>
        <w:t xml:space="preserve">Probabilidad de preñez:</w:t>
      </w:r>
      <w:r>
        <w:t xml:space="preserve"> estima el éxito de un servicio antes del diagnóstico, priorizando cuáles revisar antes.</w:t>
      </w:r>
    </w:p>
    <w:p>
      <w:pPr>
        <w:pStyle w:val="ListParagraph"/>
        <w:numPr>
          <w:ilvl w:val="0"/>
          <w:numId w:val="2"/>
        </w:numPr>
        <w:spacing w:after="60"/>
      </w:pPr>
      <w:r>
        <w:t xml:space="preserve"/>
      </w:r>
      <w:r>
        <w:rPr>
          <w:b/>
          <w:bCs/>
        </w:rPr>
        <w:t xml:space="preserve">Selección de donantes/receptoras:</w:t>
      </w:r>
      <w:r>
        <w:t xml:space="preserve"> predice qué vientres rendirán mejor en el programa TE.</w:t>
      </w:r>
    </w:p>
    <w:p>
      <w:pPr>
        <w:pStyle w:val="ListParagraph"/>
        <w:numPr>
          <w:ilvl w:val="0"/>
          <w:numId w:val="2"/>
        </w:numPr>
        <w:spacing w:after="60"/>
      </w:pPr>
      <w:r>
        <w:t xml:space="preserve"/>
      </w:r>
      <w:r>
        <w:rPr>
          <w:b/>
          <w:bCs/>
        </w:rPr>
        <w:t xml:space="preserve">Apareamiento óptimo:</w:t>
      </w:r>
      <w:r>
        <w:t xml:space="preserve"> optimización combinatoria de toro/embrión por hembra según objetivo y consanguinidad.</w:t>
      </w:r>
    </w:p>
    <w:p>
      <w:pPr>
        <w:pStyle w:val="ListParagraph"/>
        <w:numPr>
          <w:ilvl w:val="0"/>
          <w:numId w:val="2"/>
        </w:numPr>
        <w:spacing w:after="60"/>
      </w:pPr>
      <w:r>
        <w:t xml:space="preserve"/>
      </w:r>
      <w:r>
        <w:rPr>
          <w:b/>
          <w:bCs/>
        </w:rPr>
        <w:t xml:space="preserve">Detección de anomalías:</w:t>
      </w:r>
      <w:r>
        <w:t xml:space="preserve"> vacas que no ciclan, repetidoras crónicas, caídas de fertilidad del rodeo.</w:t>
      </w:r>
    </w:p>
    <w:p>
      <w:pPr>
        <w:spacing w:after="140"/>
      </w:pPr>
      <w:r>
        <w:t xml:space="preserve">Entidades: predictions, ml_models, sensor_readings, breeding_events. Toda recomendación es explicable y nunca reemplaza el criterio del veterinario.</w:t>
      </w:r>
    </w:p>
    <w:p>
      <w:pPr>
        <w:pStyle w:val="Heading1"/>
        <w:pageBreakBefore/>
      </w:pPr>
      <w:r>
        <w:t xml:space="preserve">17. Calendario y alertas reproductivas</w:t>
      </w:r>
    </w:p>
    <w:p>
      <w:pPr>
        <w:pStyle w:val="ListParagraph"/>
        <w:numPr>
          <w:ilvl w:val="0"/>
          <w:numId w:val="2"/>
        </w:numPr>
        <w:spacing w:after="60"/>
      </w:pPr>
      <w:r>
        <w:t xml:space="preserve"/>
      </w:r>
      <w:r>
        <w:rPr>
          <w:b/>
          <w:bCs/>
        </w:rPr>
        <w:t xml:space="preserve">Calendario:</w:t>
      </w:r>
      <w:r>
        <w:t xml:space="preserve"> pasos de protocolos IATF/TE, ventanas de servicio, fechas de diagnóstico, prepartos y destetes, generados automáticamente como tareas.</w:t>
      </w:r>
    </w:p>
    <w:p>
      <w:pPr>
        <w:pStyle w:val="ListParagraph"/>
        <w:numPr>
          <w:ilvl w:val="0"/>
          <w:numId w:val="2"/>
        </w:numPr>
        <w:spacing w:after="60"/>
      </w:pPr>
      <w:r>
        <w:t xml:space="preserve"/>
      </w:r>
      <w:r>
        <w:rPr>
          <w:b/>
          <w:bCs/>
        </w:rPr>
        <w:t xml:space="preserve">Alertas:</w:t>
      </w:r>
      <w:r>
        <w:t xml:space="preserve"> vaca en celo (ventana de IA), paso de protocolo vencido, diagnóstico de preñez pendiente, parto próximo, vaca vacía tras el período de espera, receptora sincronizada sin embrión asignado, nivel bajo de nitrógeno en termo.</w:t>
      </w:r>
    </w:p>
    <w:p>
      <w:pPr>
        <w:spacing w:after="140"/>
      </w:pPr>
      <w:r>
        <w:t xml:space="preserve">Entidades: tasks, calendar_events, alert_rules, alerts.</w:t>
      </w:r>
    </w:p>
    <w:p>
      <w:pPr>
        <w:pStyle w:val="Heading1"/>
        <w:pageBreakBefore/>
      </w:pPr>
      <w:r>
        <w:t xml:space="preserve">18. Reglas de negocio y validaciones</w:t>
      </w:r>
    </w:p>
    <w:p>
      <w:pPr>
        <w:pStyle w:val="ListParagraph"/>
        <w:numPr>
          <w:ilvl w:val="0"/>
          <w:numId w:val="2"/>
        </w:numPr>
        <w:spacing w:after="60"/>
      </w:pPr>
      <w:r>
        <w:t xml:space="preserve">No se puede inseminar una hembra prepúber o ya preñada; el estado reproductivo gobierna las acciones válidas.</w:t>
      </w:r>
    </w:p>
    <w:p>
      <w:pPr>
        <w:pStyle w:val="ListParagraph"/>
        <w:numPr>
          <w:ilvl w:val="0"/>
          <w:numId w:val="2"/>
        </w:numPr>
        <w:spacing w:after="60"/>
      </w:pPr>
      <w:r>
        <w:t xml:space="preserve">Un servicio de IA/FIV descuenta inventario (pajuela/embrión) y falla si no hay stock.</w:t>
      </w:r>
    </w:p>
    <w:p>
      <w:pPr>
        <w:pStyle w:val="ListParagraph"/>
        <w:numPr>
          <w:ilvl w:val="0"/>
          <w:numId w:val="2"/>
        </w:numPr>
        <w:spacing w:after="60"/>
      </w:pPr>
      <w:r>
        <w:t xml:space="preserve">La gestación respeta el rango de días de la especie; una fecha de parto imposible se rechaza.</w:t>
      </w:r>
    </w:p>
    <w:p>
      <w:pPr>
        <w:pStyle w:val="ListParagraph"/>
        <w:numPr>
          <w:ilvl w:val="0"/>
          <w:numId w:val="2"/>
        </w:numPr>
        <w:spacing w:after="60"/>
      </w:pPr>
      <w:r>
        <w:t xml:space="preserve">En TE, la genealogía de la cría toma donante+toro, no la receptora; el sistema lo garantiza.</w:t>
      </w:r>
    </w:p>
    <w:p>
      <w:pPr>
        <w:pStyle w:val="ListParagraph"/>
        <w:numPr>
          <w:ilvl w:val="0"/>
          <w:numId w:val="2"/>
        </w:numPr>
        <w:spacing w:after="60"/>
      </w:pPr>
      <w:r>
        <w:t xml:space="preserve">Apareamiento con consanguinidad sobre el umbral: advertencia o bloqueo configurable.</w:t>
      </w:r>
    </w:p>
    <w:p>
      <w:pPr>
        <w:pStyle w:val="ListParagraph"/>
        <w:numPr>
          <w:ilvl w:val="0"/>
          <w:numId w:val="2"/>
        </w:numPr>
        <w:spacing w:after="60"/>
      </w:pPr>
      <w:r>
        <w:t xml:space="preserve">Todo evento reproductivo es inmutable y auditado; una corrección es un nuevo evento.</w:t>
      </w:r>
    </w:p>
    <w:p>
      <w:pPr>
        <w:pStyle w:val="Heading1"/>
        <w:pageBreakBefore/>
      </w:pPr>
      <w:r>
        <w:t xml:space="preserve">19. Pantallas y flujos</w:t>
      </w:r>
    </w:p>
    <w:p>
      <w:pPr>
        <w:pStyle w:val="ListParagraph"/>
        <w:numPr>
          <w:ilvl w:val="0"/>
          <w:numId w:val="2"/>
        </w:numPr>
        <w:spacing w:after="60"/>
      </w:pPr>
      <w:r>
        <w:t xml:space="preserve"/>
      </w:r>
      <w:r>
        <w:rPr>
          <w:b/>
          <w:bCs/>
        </w:rPr>
        <w:t xml:space="preserve">Tablero reproductivo del rodeo:</w:t>
      </w:r>
      <w:r>
        <w:t xml:space="preserve"> estado del hato (vacías/servidas/preñadas/paridas), KPIs, timeline de protocolos activos y pendientes (mockup interactivo adjunto).</w:t>
      </w:r>
    </w:p>
    <w:p>
      <w:pPr>
        <w:pStyle w:val="ListParagraph"/>
        <w:numPr>
          <w:ilvl w:val="0"/>
          <w:numId w:val="2"/>
        </w:numPr>
        <w:spacing w:after="60"/>
      </w:pPr>
      <w:r>
        <w:t xml:space="preserve"/>
      </w:r>
      <w:r>
        <w:rPr>
          <w:b/>
          <w:bCs/>
        </w:rPr>
        <w:t xml:space="preserve">Rueda/calendario reproductivo:</w:t>
      </w:r>
      <w:r>
        <w:t xml:space="preserve"> vista anual de servicios, diagnósticos y partos previstos.</w:t>
      </w:r>
    </w:p>
    <w:p>
      <w:pPr>
        <w:pStyle w:val="ListParagraph"/>
        <w:numPr>
          <w:ilvl w:val="0"/>
          <w:numId w:val="2"/>
        </w:numPr>
        <w:spacing w:after="60"/>
      </w:pPr>
      <w:r>
        <w:t xml:space="preserve"/>
      </w:r>
      <w:r>
        <w:rPr>
          <w:b/>
          <w:bCs/>
        </w:rPr>
        <w:t xml:space="preserve">Ejecución de IATF por lote (manga):</w:t>
      </w:r>
      <w:r>
        <w:t xml:space="preserve"> confirmación de cada paso del protocolo por animal, offline, con progreso.</w:t>
      </w:r>
    </w:p>
    <w:p>
      <w:pPr>
        <w:pStyle w:val="ListParagraph"/>
        <w:numPr>
          <w:ilvl w:val="0"/>
          <w:numId w:val="2"/>
        </w:numPr>
        <w:spacing w:after="60"/>
      </w:pPr>
      <w:r>
        <w:t xml:space="preserve"/>
      </w:r>
      <w:r>
        <w:rPr>
          <w:b/>
          <w:bCs/>
        </w:rPr>
        <w:t xml:space="preserve">Programa de TE:</w:t>
      </w:r>
      <w:r>
        <w:t xml:space="preserve"> panel de donantes, embriones en stock y receptoras disponibles con matching asistido.</w:t>
      </w:r>
    </w:p>
    <w:p>
      <w:pPr>
        <w:pStyle w:val="ListParagraph"/>
        <w:numPr>
          <w:ilvl w:val="0"/>
          <w:numId w:val="2"/>
        </w:numPr>
        <w:spacing w:after="60"/>
      </w:pPr>
      <w:r>
        <w:t xml:space="preserve"/>
      </w:r>
      <w:r>
        <w:rPr>
          <w:b/>
          <w:bCs/>
        </w:rPr>
        <w:t xml:space="preserve">Banco de semen/embriones:</w:t>
      </w:r>
      <w:r>
        <w:t xml:space="preserve"> inventario por termo y posición, con búsqueda por toro/genética.</w:t>
      </w:r>
    </w:p>
    <w:p>
      <w:pPr>
        <w:pStyle w:val="ListParagraph"/>
        <w:numPr>
          <w:ilvl w:val="0"/>
          <w:numId w:val="2"/>
        </w:numPr>
        <w:spacing w:after="60"/>
      </w:pPr>
      <w:r>
        <w:t xml:space="preserve"/>
      </w:r>
      <w:r>
        <w:rPr>
          <w:b/>
          <w:bCs/>
        </w:rPr>
        <w:t xml:space="preserve">Ficha reproductiva del animal:</w:t>
      </w:r>
      <w:r>
        <w:t xml:space="preserve"> integrada en la pestaña Reproducción de la Ficha 360°.</w:t>
      </w:r>
    </w:p>
    <w:p>
      <w:pPr>
        <w:pStyle w:val="Heading1"/>
        <w:pageBreakBefore/>
      </w:pPr>
      <w:r>
        <w:t xml:space="preserve">20. APIs y eventos del módulo</w:t>
      </w:r>
    </w:p>
    <w:p>
      <w:pPr>
        <w:pStyle w:val="ListParagraph"/>
        <w:numPr>
          <w:ilvl w:val="0"/>
          <w:numId w:val="2"/>
        </w:numPr>
        <w:spacing w:after="60"/>
      </w:pPr>
      <w:r>
        <w:t xml:space="preserve">REST: POST /v1/animals/{id}/heats, POST /v1/animals/{id}/services, POST /v1/synchronization-batches, POST /v1/embryo-transfers, GET /v1/reproduction/kpis.</w:t>
      </w:r>
    </w:p>
    <w:p>
      <w:pPr>
        <w:pStyle w:val="ListParagraph"/>
        <w:numPr>
          <w:ilvl w:val="0"/>
          <w:numId w:val="2"/>
        </w:numPr>
        <w:spacing w:after="60"/>
      </w:pPr>
      <w:r>
        <w:t xml:space="preserve">Eventos: repro.heat_detected, repro.service_registered, repro.protocol_step_due, repro.pregnancy_diagnosed, repro.embryo_transferred, repro.calving_registered.</w:t>
      </w:r>
    </w:p>
    <w:p>
      <w:pPr>
        <w:pStyle w:val="ListParagraph"/>
        <w:numPr>
          <w:ilvl w:val="0"/>
          <w:numId w:val="2"/>
        </w:numPr>
        <w:spacing w:after="60"/>
      </w:pPr>
      <w:r>
        <w:t xml:space="preserve">Interoperabilidad ICAR ADE para eventos reproductivos y con centrales de genética.</w:t>
      </w:r>
    </w:p>
    <w:p>
      <w:pPr>
        <w:pStyle w:val="Heading1"/>
        <w:pageBreakBefore/>
      </w:pPr>
      <w:r>
        <w:t xml:space="preserve">21. Resumen</w:t>
      </w:r>
    </w:p>
    <w:p>
      <w:pPr>
        <w:spacing w:after="140"/>
      </w:pPr>
      <w:r>
        <w:t xml:space="preserve">El módulo de Reproducción abarca todo el ciclo y toda la biotecnología: detección de celo (visual, sensores, IA), inseminación artificial e IATF, sincronización de lotes, transferencia de embriones in vivo y FIV, gestión de donantes y receptoras, bancos de semen y embriones, laboratorio reproductivo, diagnóstico y seguimiento de gestación, parto y destete, genética integrada, indicadores, IA aplicada, calendario y alertas. Todo sobre eventos inmutables conectados a la genealogía, la genética, el inventario biológico y la economía — para convertir la eficiencia reproductiva en el motor de rentabilidad del hato.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color w:val="888888"/>
        <w:sz w:val="16"/>
        <w:szCs w:val="16"/>
      </w:rPr>
      <w:t xml:space="preserve">Cowinance — Módulo de Reproducción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3D"/>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6B54"/>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2026-07-03T18:57:43.973Z</dcterms:created>
  <dcterms:modified xsi:type="dcterms:W3CDTF">2026-07-03T18:57:43.973Z</dcterms:modified>
</cp:coreProperties>
</file>

<file path=docProps/custom.xml><?xml version="1.0" encoding="utf-8"?>
<Properties xmlns="http://schemas.openxmlformats.org/officeDocument/2006/custom-properties" xmlns:vt="http://schemas.openxmlformats.org/officeDocument/2006/docPropsVTypes"/>
</file>