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6"/>
          <w:szCs w:val="36"/>
        </w:rPr>
        <w:t xml:space="preserve">Roadmap de Construcción</w:t>
      </w:r>
    </w:p>
    <w:p>
      <w:pPr>
        <w:spacing w:before="120"/>
        <w:jc w:val="center"/>
      </w:pPr>
      <w:r>
        <w:rPr>
          <w:color w:val="888888"/>
          <w:sz w:val="18"/>
          <w:szCs w:val="18"/>
        </w:rPr>
        <w:t xml:space="preserve">De cero a la plataforma ganadera global — 5 fases · 36 meses · 40 módulos</w:t>
      </w:r>
    </w:p>
    <w:p>
      <w:pPr>
        <w:pBdr>
          <w:bottom w:val="single" w:color="1F4E3D" w:sz="8" w:space="1"/>
        </w:pBdr>
        <w:spacing w:before="500"/>
        <w:jc w:val="center"/>
      </w:pPr>
    </w:p>
    <w:p>
      <w:pPr>
        <w:spacing w:before="360"/>
        <w:jc w:val="center"/>
      </w:pPr>
      <w:r>
        <w:rPr>
          <w:b/>
          <w:bCs/>
          <w:sz w:val="20"/>
          <w:szCs w:val="20"/>
        </w:rPr>
        <w:t xml:space="preserve">Riesgo técnico primero · Valor en el campo temprano · Lanzar, medir, aprender</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Filosofía del roadmap</w:t>
      </w:r>
    </w:p>
    <w:p>
      <w:pPr>
        <w:spacing w:after="140"/>
      </w:pPr>
      <w:r>
        <w:t xml:space="preserve">Construir "la plataforma ganadera más avanzada del mundo" no se hace de una sola vez ni se lanza completa. El roadmap de Cowinance sigue tres reglas que ordenan 36 meses de construcción: </w:t>
      </w:r>
      <w:r>
        <w:rPr>
          <w:b/>
          <w:bCs/>
        </w:rPr>
        <w:t xml:space="preserve">(1) el riesgo técnico primero</w:t>
      </w:r>
      <w:r>
        <w:t xml:space="preserve"> —lo que puede hundir el proyecto se construye y se prueba al inicio (el motor de sincronización offline)—; </w:t>
      </w:r>
      <w:r>
        <w:rPr>
          <w:b/>
          <w:bCs/>
        </w:rPr>
        <w:t xml:space="preserve">(2) valor en el campo antes que amplitud</w:t>
      </w:r>
      <w:r>
        <w:t xml:space="preserve"> —un MVP que un capataz use todos los días vale más que 40 módulos a medias—; y </w:t>
      </w:r>
      <w:r>
        <w:rPr>
          <w:b/>
          <w:bCs/>
        </w:rPr>
        <w:t xml:space="preserve">(3) la arquitectura objetivo se preserva desde el día uno</w:t>
      </w:r>
      <w:r>
        <w:t xml:space="preserve"> —los contratos de API y eventos se definen temprano para que crecer no obligue a reescribir.</w:t>
      </w:r>
    </w:p>
    <w:p>
      <w:pPr>
        <w:spacing w:after="140"/>
      </w:pPr>
      <w:r>
        <w:t xml:space="preserve">Cada fase entrega software real en manos de productores, no documentos. Se lanza pronto, se mide, se aprende y se expande. El resultado es una plataforma que gana usuarios y refina su producto mientras se construye, en lugar de un "big bang" a los tres años.</w:t>
      </w:r>
    </w:p>
    <w:p>
      <w:pPr>
        <w:pStyle w:val="Heading2"/>
      </w:pPr>
      <w:r>
        <w:t xml:space="preserve">1.1 Principios de ejecución</w:t>
      </w:r>
    </w:p>
    <w:p>
      <w:pPr>
        <w:pStyle w:val="ListParagraph"/>
        <w:numPr>
          <w:ilvl w:val="0"/>
          <w:numId w:val="2"/>
        </w:numPr>
        <w:spacing w:after="60"/>
      </w:pPr>
      <w:r>
        <w:t xml:space="preserve"/>
      </w:r>
      <w:r>
        <w:rPr>
          <w:b/>
          <w:bCs/>
        </w:rPr>
        <w:t xml:space="preserve">Offline-first desde el prototipo:</w:t>
      </w:r>
      <w:r>
        <w:t xml:space="preserve"> la sincronización es lo primero que se construye y lo último que se compromete.</w:t>
      </w:r>
    </w:p>
    <w:p>
      <w:pPr>
        <w:pStyle w:val="ListParagraph"/>
        <w:numPr>
          <w:ilvl w:val="0"/>
          <w:numId w:val="2"/>
        </w:numPr>
        <w:spacing w:after="60"/>
      </w:pPr>
      <w:r>
        <w:t xml:space="preserve"/>
      </w:r>
      <w:r>
        <w:rPr>
          <w:b/>
          <w:bCs/>
        </w:rPr>
        <w:t xml:space="preserve">Monolito modular → microservicios:</w:t>
      </w:r>
      <w:r>
        <w:t xml:space="preserve"> se empieza simple (un monolito bien particionado) y se extraen servicios solo cuando la escala lo exige; los contratos ya están listos para esa extracción.</w:t>
      </w:r>
    </w:p>
    <w:p>
      <w:pPr>
        <w:pStyle w:val="ListParagraph"/>
        <w:numPr>
          <w:ilvl w:val="0"/>
          <w:numId w:val="2"/>
        </w:numPr>
        <w:spacing w:after="60"/>
      </w:pPr>
      <w:r>
        <w:t xml:space="preserve"/>
      </w:r>
      <w:r>
        <w:rPr>
          <w:b/>
          <w:bCs/>
        </w:rPr>
        <w:t xml:space="preserve">Una célula regional, luego varias:</w:t>
      </w:r>
      <w:r>
        <w:t xml:space="preserve"> se lanza en una región y se replica el patrón cuando hay demanda.</w:t>
      </w:r>
    </w:p>
    <w:p>
      <w:pPr>
        <w:pStyle w:val="ListParagraph"/>
        <w:numPr>
          <w:ilvl w:val="0"/>
          <w:numId w:val="2"/>
        </w:numPr>
        <w:spacing w:after="60"/>
      </w:pPr>
      <w:r>
        <w:t xml:space="preserve"/>
      </w:r>
      <w:r>
        <w:rPr>
          <w:b/>
          <w:bCs/>
        </w:rPr>
        <w:t xml:space="preserve">Lanzar por vertical, no por módulo suelto:</w:t>
      </w:r>
      <w:r>
        <w:t xml:space="preserve"> cada release resuelve un flujo completo de trabajo (registrar, pesar, tratar), no una tabla aislada.</w:t>
      </w:r>
    </w:p>
    <w:p>
      <w:pPr>
        <w:pStyle w:val="ListParagraph"/>
        <w:numPr>
          <w:ilvl w:val="0"/>
          <w:numId w:val="2"/>
        </w:numPr>
        <w:spacing w:after="60"/>
      </w:pPr>
      <w:r>
        <w:t xml:space="preserve"/>
      </w:r>
      <w:r>
        <w:rPr>
          <w:b/>
          <w:bCs/>
        </w:rPr>
        <w:t xml:space="preserve">Medir para decidir:</w:t>
      </w:r>
      <w:r>
        <w:t xml:space="preserve"> cada fase tiene métricas de éxito que gobiernan si se avanza, se corrige o se pivota.</w:t>
      </w:r>
    </w:p>
    <w:p>
      <w:pPr>
        <w:pStyle w:val="ListParagraph"/>
        <w:numPr>
          <w:ilvl w:val="0"/>
          <w:numId w:val="2"/>
        </w:numPr>
        <w:spacing w:after="60"/>
      </w:pPr>
      <w:r>
        <w:t xml:space="preserve"/>
      </w:r>
      <w:r>
        <w:rPr>
          <w:b/>
          <w:bCs/>
        </w:rPr>
        <w:t xml:space="preserve">Calidad y seguridad como carril continuo:</w:t>
      </w:r>
      <w:r>
        <w:t xml:space="preserve"> pruebas, observabilidad y cumplimiento no son una fase, son parte de cada entrega.</w:t>
      </w:r>
    </w:p>
    <w:p>
      <w:pPr>
        <w:pStyle w:val="Heading1"/>
        <w:pageBreakBefore/>
      </w:pPr>
      <w:r>
        <w:t xml:space="preserve">2. Las cinco fases (panorama)</w:t>
      </w:r>
    </w:p>
    <w:p>
      <w:pPr>
        <w:spacing w:after="140"/>
      </w:pPr>
      <w:r>
        <w:t xml:space="preserve">El roadmap se organiza en cinco fases a lo largo de ~36 meses. El diagrama de la línea de fases se incluye en 2.2.</w:t>
      </w:r>
    </w:p>
    <w:p>
      <w:pPr>
        <w:pStyle w:val="Heading2"/>
      </w:pPr>
      <w:r>
        <w:t xml:space="preserve">2.1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600"/>
        <w:gridCol w:w="3360"/>
      </w:tblGrid>
      <w:tr>
        <w:trPr>
          <w:tblHeader/>
        </w:trPr>
        <w:tc>
          <w:tcPr>
            <w:tcW w:type="dxa" w:w="19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w:t>
            </w:r>
          </w:p>
        </w:tc>
        <w:tc>
          <w:tcPr>
            <w:tcW w:type="dxa" w:w="15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Duración</w:t>
            </w:r>
          </w:p>
        </w:tc>
        <w:tc>
          <w:tcPr>
            <w:tcW w:type="dxa" w:w="26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Foco</w:t>
            </w:r>
          </w:p>
        </w:tc>
        <w:tc>
          <w:tcPr>
            <w:tcW w:type="dxa" w:w="33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Resultado</w:t>
            </w:r>
          </w:p>
        </w:tc>
      </w:tr>
      <w:tr>
        <w:tc>
          <w:tcPr>
            <w:tcW w:type="dxa" w:w="19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 · Fundaciones</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Meses 1-3</w:t>
            </w:r>
          </w:p>
        </w:tc>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Cimientos técnicos</w:t>
            </w:r>
          </w:p>
        </w:tc>
        <w:tc>
          <w:tcPr>
            <w:tcW w:type="dxa" w:w="33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Plataforma base + motor de sync v0</w:t>
            </w:r>
          </w:p>
        </w:tc>
      </w:tr>
      <w:tr>
        <w:tc>
          <w:tcPr>
            <w:tcW w:type="dxa" w:w="19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 · MVP de campo</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Meses 4-9</w:t>
            </w:r>
          </w:p>
        </w:tc>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El ganadero en el campo</w:t>
            </w:r>
          </w:p>
        </w:tc>
        <w:tc>
          <w:tcPr>
            <w:tcW w:type="dxa" w:w="33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Beta en 2 países, captura offline</w:t>
            </w:r>
          </w:p>
        </w:tc>
      </w:tr>
      <w:tr>
        <w:tc>
          <w:tcPr>
            <w:tcW w:type="dxa" w:w="19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 · ERP completo</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Meses 10-18</w:t>
            </w:r>
          </w:p>
        </w:tc>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Amplitud funcional</w:t>
            </w:r>
          </w:p>
        </w:tc>
        <w:tc>
          <w:tcPr>
            <w:tcW w:type="dxa" w:w="33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Finanzas, inventario, agricultura, multiempresa, API pública</w:t>
            </w:r>
          </w:p>
        </w:tc>
      </w:tr>
      <w:tr>
        <w:tc>
          <w:tcPr>
            <w:tcW w:type="dxa" w:w="19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 · Inteligencia</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Meses 19-27</w:t>
            </w:r>
          </w:p>
        </w:tc>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Datos e IA</w:t>
            </w:r>
          </w:p>
        </w:tc>
        <w:tc>
          <w:tcPr>
            <w:tcW w:type="dxa" w:w="33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Predicciones, copiloto, IoT, trazabilidad, SOC 2</w:t>
            </w:r>
          </w:p>
        </w:tc>
      </w:tr>
      <w:tr>
        <w:tc>
          <w:tcPr>
            <w:tcW w:type="dxa" w:w="19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 · Ecosistema</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Meses 28-36</w:t>
            </w:r>
          </w:p>
        </w:tc>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Red y expansión</w:t>
            </w:r>
          </w:p>
        </w:tc>
        <w:tc>
          <w:tcPr>
            <w:tcW w:type="dxa" w:w="33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Marketplace, drones, visión, gemelo digital, 4 regiones</w:t>
            </w:r>
          </w:p>
        </w:tc>
      </w:tr>
    </w:tbl>
    <w:p>
      <w:pPr>
        <w:spacing w:after="140"/>
      </w:pPr>
    </w:p>
    <w:p>
      <w:pPr>
        <w:pStyle w:val="Heading2"/>
      </w:pPr>
      <w:r>
        <w:t xml:space="preserve">2.2 Línea de fases</w:t>
      </w:r>
    </w:p>
    <w:p>
      <w:pPr>
        <w:pStyle w:val="Heading2"/>
      </w:pPr>
      <w:r>
        <w:t xml:space="preserve">2.3 Definición de MVP</w:t>
      </w:r>
    </w:p>
    <w:p>
      <w:pPr>
        <w:spacing w:after="140"/>
      </w:pPr>
      <w:r>
        <w:t xml:space="preserve">El MVP (fin de Fase 1) es el conjunto mínimo que un productor usaría a diario: </w:t>
      </w:r>
      <w:r>
        <w:rPr>
          <w:b/>
          <w:bCs/>
        </w:rPr>
        <w:t xml:space="preserve">registro del hato, captura de pesajes/tratamientos/reproducción en modo manga offline, sincronización confiable, reportes esenciales y facturación SaaS.</w:t>
      </w:r>
      <w:r>
        <w:t xml:space="preserve"> No incluye finanzas completas ni IA; su objetivo es probar que la gente captura datos en el campo y confía en la sincronización —el corazón del producto.</w:t>
      </w:r>
    </w:p>
    <w:p>
      <w:pPr>
        <w:pStyle w:val="Heading1"/>
        <w:pageBreakBefore/>
      </w:pPr>
      <w:r>
        <w:t xml:space="preserve">3. Fase 0 — Fundaciones (meses 1-3)</w:t>
      </w:r>
    </w:p>
    <w:p>
      <w:pPr>
        <w:spacing w:after="140"/>
      </w:pPr>
      <w:r>
        <w:t xml:space="preserve">Se construyen los cimientos y se ataca el mayor riesgo técnico. Nada de esto es visible para el usuario, pero define si el proyecto es viable.</w:t>
      </w:r>
    </w:p>
    <w:p>
      <w:pPr>
        <w:pStyle w:val="Heading2"/>
      </w:pPr>
      <w:r>
        <w:t xml:space="preserve">3.1 Entregables</w:t>
      </w:r>
    </w:p>
    <w:p>
      <w:pPr>
        <w:pStyle w:val="ListParagraph"/>
        <w:numPr>
          <w:ilvl w:val="0"/>
          <w:numId w:val="2"/>
        </w:numPr>
        <w:spacing w:after="60"/>
      </w:pPr>
      <w:r>
        <w:t xml:space="preserve"/>
      </w:r>
      <w:r>
        <w:rPr>
          <w:b/>
          <w:bCs/>
        </w:rPr>
        <w:t xml:space="preserve">Monorepo y contratos base:</w:t>
      </w:r>
      <w:r>
        <w:t xml:space="preserve"> OpenAPI y esquemas de eventos (Avro) versionados; generación de clientes en CI.</w:t>
      </w:r>
    </w:p>
    <w:p>
      <w:pPr>
        <w:pStyle w:val="ListParagraph"/>
        <w:numPr>
          <w:ilvl w:val="0"/>
          <w:numId w:val="2"/>
        </w:numPr>
        <w:spacing w:after="60"/>
      </w:pPr>
      <w:r>
        <w:t xml:space="preserve"/>
      </w:r>
      <w:r>
        <w:rPr>
          <w:b/>
          <w:bCs/>
        </w:rPr>
        <w:t xml:space="preserve">Infraestructura como código (Terraform)</w:t>
      </w:r>
      <w:r>
        <w:t xml:space="preserve"> de la primera célula regional; Kubernetes, Postgres, Kafka, Redis; CI/CD con GitOps.</w:t>
      </w:r>
    </w:p>
    <w:p>
      <w:pPr>
        <w:pStyle w:val="ListParagraph"/>
        <w:numPr>
          <w:ilvl w:val="0"/>
          <w:numId w:val="2"/>
        </w:numPr>
        <w:spacing w:after="60"/>
      </w:pPr>
      <w:r>
        <w:t xml:space="preserve"/>
      </w:r>
      <w:r>
        <w:rPr>
          <w:b/>
          <w:bCs/>
        </w:rPr>
        <w:t xml:space="preserve">Identidad y multi-tenant:</w:t>
      </w:r>
      <w:r>
        <w:t xml:space="preserve"> usuarios, roles, RLS en la base de datos, contexto de tenant.</w:t>
      </w:r>
    </w:p>
    <w:p>
      <w:pPr>
        <w:pStyle w:val="ListParagraph"/>
        <w:numPr>
          <w:ilvl w:val="0"/>
          <w:numId w:val="2"/>
        </w:numPr>
        <w:spacing w:after="60"/>
      </w:pPr>
      <w:r>
        <w:t xml:space="preserve"/>
      </w:r>
      <w:r>
        <w:rPr>
          <w:b/>
          <w:bCs/>
        </w:rPr>
        <w:t xml:space="preserve">Esqueleto del monolito modular</w:t>
      </w:r>
      <w:r>
        <w:t xml:space="preserve"> con los primeros bounded contexts (Identidad, Hato).</w:t>
      </w:r>
    </w:p>
    <w:p>
      <w:pPr>
        <w:pStyle w:val="ListParagraph"/>
        <w:numPr>
          <w:ilvl w:val="0"/>
          <w:numId w:val="2"/>
        </w:numPr>
        <w:spacing w:after="60"/>
      </w:pPr>
      <w:r>
        <w:t xml:space="preserve"/>
      </w:r>
      <w:r>
        <w:rPr>
          <w:b/>
          <w:bCs/>
        </w:rPr>
        <w:t xml:space="preserve">Motor de sincronización v0:</w:t>
      </w:r>
      <w:r>
        <w:t xml:space="preserve"> el spike de mayor riesgo — protocolo de changesets, relojes híbridos (HLC) y resolución de conflictos, con una suite de simulación de convergencia.</w:t>
      </w:r>
    </w:p>
    <w:p>
      <w:pPr>
        <w:pStyle w:val="ListParagraph"/>
        <w:numPr>
          <w:ilvl w:val="0"/>
          <w:numId w:val="2"/>
        </w:numPr>
        <w:spacing w:after="60"/>
      </w:pPr>
      <w:r>
        <w:t xml:space="preserve"/>
      </w:r>
      <w:r>
        <w:rPr>
          <w:b/>
          <w:bCs/>
        </w:rPr>
        <w:t xml:space="preserve">Design system base</w:t>
      </w:r>
      <w:r>
        <w:t xml:space="preserve"> (tokens, componentes núcleo) y esqueleto de las apps web y móvil.</w:t>
      </w:r>
    </w:p>
    <w:p>
      <w:pPr>
        <w:pStyle w:val="Heading2"/>
      </w:pPr>
      <w:r>
        <w:t xml:space="preserve">3.2 Criterios de salida</w:t>
      </w:r>
    </w:p>
    <w:p>
      <w:pPr>
        <w:pStyle w:val="ListParagraph"/>
        <w:numPr>
          <w:ilvl w:val="0"/>
          <w:numId w:val="2"/>
        </w:numPr>
        <w:spacing w:after="60"/>
      </w:pPr>
      <w:r>
        <w:t xml:space="preserve">Dos dispositivos editando offline los mismos datos convergen sin intervención en el 99%+ de los escenarios de la suite.</w:t>
      </w:r>
    </w:p>
    <w:p>
      <w:pPr>
        <w:pStyle w:val="ListParagraph"/>
        <w:numPr>
          <w:ilvl w:val="0"/>
          <w:numId w:val="2"/>
        </w:numPr>
        <w:spacing w:after="60"/>
      </w:pPr>
      <w:r>
        <w:t xml:space="preserve">Un usuario puede autenticarse, y el aislamiento por tenant está probado (RLS).</w:t>
      </w:r>
    </w:p>
    <w:p>
      <w:pPr>
        <w:pStyle w:val="ListParagraph"/>
        <w:numPr>
          <w:ilvl w:val="0"/>
          <w:numId w:val="2"/>
        </w:numPr>
        <w:spacing w:after="60"/>
      </w:pPr>
      <w:r>
        <w:t xml:space="preserve">El pipeline de despliegue lleva un cambio de commit a producción de forma automática y auditada.</w:t>
      </w:r>
    </w:p>
    <w:p>
      <w:pPr>
        <w:pStyle w:val="Heading1"/>
        <w:pageBreakBefore/>
      </w:pPr>
      <w:r>
        <w:t xml:space="preserve">4. Fase 1 — MVP de campo (meses 4-9)</w:t>
      </w:r>
    </w:p>
    <w:p>
      <w:pPr>
        <w:spacing w:after="140"/>
      </w:pPr>
      <w:r>
        <w:t xml:space="preserve">Se construye el producto que el ganadero usa todos los días y se lanza en beta. El foco es la captura de campo offline y la confianza en la sincronización.</w:t>
      </w:r>
    </w:p>
    <w:p>
      <w:pPr>
        <w:pStyle w:val="Heading2"/>
      </w:pPr>
      <w:r>
        <w:t xml:space="preserve">4.1 Alcance funcional</w:t>
      </w:r>
    </w:p>
    <w:p>
      <w:pPr>
        <w:pStyle w:val="ListParagraph"/>
        <w:numPr>
          <w:ilvl w:val="0"/>
          <w:numId w:val="2"/>
        </w:numPr>
        <w:spacing w:after="60"/>
      </w:pPr>
      <w:r>
        <w:t xml:space="preserve"/>
      </w:r>
      <w:r>
        <w:rPr>
          <w:b/>
          <w:bCs/>
        </w:rPr>
        <w:t xml:space="preserve">Hato:</w:t>
      </w:r>
      <w:r>
        <w:t xml:space="preserve"> registro animal, identificación (RFID/caravana), lotes, movimientos, genealogía básica.</w:t>
      </w:r>
    </w:p>
    <w:p>
      <w:pPr>
        <w:pStyle w:val="ListParagraph"/>
        <w:numPr>
          <w:ilvl w:val="0"/>
          <w:numId w:val="2"/>
        </w:numPr>
        <w:spacing w:after="60"/>
      </w:pPr>
      <w:r>
        <w:t xml:space="preserve"/>
      </w:r>
      <w:r>
        <w:rPr>
          <w:b/>
          <w:bCs/>
        </w:rPr>
        <w:t xml:space="preserve">Producción:</w:t>
      </w:r>
      <w:r>
        <w:t xml:space="preserve"> pesajes con báscula Bluetooth, GDP, condición corporal.</w:t>
      </w:r>
    </w:p>
    <w:p>
      <w:pPr>
        <w:pStyle w:val="ListParagraph"/>
        <w:numPr>
          <w:ilvl w:val="0"/>
          <w:numId w:val="2"/>
        </w:numPr>
        <w:spacing w:after="60"/>
      </w:pPr>
      <w:r>
        <w:t xml:space="preserve"/>
      </w:r>
      <w:r>
        <w:rPr>
          <w:b/>
          <w:bCs/>
        </w:rPr>
        <w:t xml:space="preserve">Sanidad:</w:t>
      </w:r>
      <w:r>
        <w:t xml:space="preserve"> vacunas, tratamientos con cálculo de retiros, planes sanitarios.</w:t>
      </w:r>
    </w:p>
    <w:p>
      <w:pPr>
        <w:pStyle w:val="ListParagraph"/>
        <w:numPr>
          <w:ilvl w:val="0"/>
          <w:numId w:val="2"/>
        </w:numPr>
        <w:spacing w:after="60"/>
      </w:pPr>
      <w:r>
        <w:t xml:space="preserve"/>
      </w:r>
      <w:r>
        <w:rPr>
          <w:b/>
          <w:bCs/>
        </w:rPr>
        <w:t xml:space="preserve">Reproducción:</w:t>
      </w:r>
      <w:r>
        <w:t xml:space="preserve"> celos, servicios, diagnóstico de gestación, partos, destetes.</w:t>
      </w:r>
    </w:p>
    <w:p>
      <w:pPr>
        <w:pStyle w:val="ListParagraph"/>
        <w:numPr>
          <w:ilvl w:val="0"/>
          <w:numId w:val="2"/>
        </w:numPr>
        <w:spacing w:after="60"/>
      </w:pPr>
      <w:r>
        <w:t xml:space="preserve"/>
      </w:r>
      <w:r>
        <w:rPr>
          <w:b/>
          <w:bCs/>
        </w:rPr>
        <w:t xml:space="preserve">Modo manga:</w:t>
      </w:r>
      <w:r>
        <w:t xml:space="preserve"> captura offline de alto contraste, por voz y RFID, "guardar y siguiente".</w:t>
      </w:r>
    </w:p>
    <w:p>
      <w:pPr>
        <w:pStyle w:val="ListParagraph"/>
        <w:numPr>
          <w:ilvl w:val="0"/>
          <w:numId w:val="2"/>
        </w:numPr>
        <w:spacing w:after="60"/>
      </w:pPr>
      <w:r>
        <w:t xml:space="preserve"/>
      </w:r>
      <w:r>
        <w:rPr>
          <w:b/>
          <w:bCs/>
        </w:rPr>
        <w:t xml:space="preserve">Reportes esenciales</w:t>
      </w:r>
      <w:r>
        <w:t xml:space="preserve"> e </w:t>
      </w:r>
      <w:r>
        <w:rPr>
          <w:b/>
          <w:bCs/>
        </w:rPr>
        <w:t xml:space="preserve">inventario del hato a fecha</w:t>
      </w:r>
      <w:r>
        <w:t xml:space="preserve">; </w:t>
      </w:r>
      <w:r>
        <w:rPr>
          <w:b/>
          <w:bCs/>
        </w:rPr>
        <w:t xml:space="preserve">facturación SaaS</w:t>
      </w:r>
      <w:r>
        <w:t xml:space="preserve"> (planes y cobro).</w:t>
      </w:r>
    </w:p>
    <w:p>
      <w:pPr>
        <w:pStyle w:val="ListParagraph"/>
        <w:numPr>
          <w:ilvl w:val="0"/>
          <w:numId w:val="2"/>
        </w:numPr>
        <w:spacing w:after="60"/>
      </w:pPr>
      <w:r>
        <w:t xml:space="preserve"/>
      </w:r>
      <w:r>
        <w:rPr>
          <w:b/>
          <w:bCs/>
        </w:rPr>
        <w:t xml:space="preserve">Mapa 2D básico</w:t>
      </w:r>
      <w:r>
        <w:t xml:space="preserve"> de potreros y ubicación lógica.</w:t>
      </w:r>
    </w:p>
    <w:p>
      <w:pPr>
        <w:pStyle w:val="Heading2"/>
      </w:pPr>
      <w:r>
        <w:t xml:space="preserve">4.2 Hitos</w:t>
      </w:r>
    </w:p>
    <w:p>
      <w:pPr>
        <w:pStyle w:val="ListParagraph"/>
        <w:numPr>
          <w:ilvl w:val="0"/>
          <w:numId w:val="2"/>
        </w:numPr>
        <w:spacing w:after="60"/>
      </w:pPr>
      <w:r>
        <w:t xml:space="preserve">M6: alfa interna con datos reales de una finca piloto.</w:t>
      </w:r>
    </w:p>
    <w:p>
      <w:pPr>
        <w:pStyle w:val="ListParagraph"/>
        <w:numPr>
          <w:ilvl w:val="0"/>
          <w:numId w:val="2"/>
        </w:numPr>
        <w:spacing w:after="60"/>
      </w:pPr>
      <w:r>
        <w:t xml:space="preserve">M8: beta cerrada con 10-15 productores en 2 países (1 LatAm, 1 anglófono).</w:t>
      </w:r>
    </w:p>
    <w:p>
      <w:pPr>
        <w:pStyle w:val="ListParagraph"/>
        <w:numPr>
          <w:ilvl w:val="0"/>
          <w:numId w:val="2"/>
        </w:numPr>
        <w:spacing w:after="60"/>
      </w:pPr>
      <w:r>
        <w:t xml:space="preserve">M9: primer cobro SaaS; el MVP se usa en manga en producción.</w:t>
      </w:r>
    </w:p>
    <w:p>
      <w:pPr>
        <w:pStyle w:val="Heading2"/>
      </w:pPr>
      <w:r>
        <w:t xml:space="preserve">4.3 Criterios de salida (métricas)</w:t>
      </w:r>
    </w:p>
    <w:p>
      <w:pPr>
        <w:pStyle w:val="ListParagraph"/>
        <w:numPr>
          <w:ilvl w:val="0"/>
          <w:numId w:val="2"/>
        </w:numPr>
        <w:spacing w:after="60"/>
      </w:pPr>
      <w:r>
        <w:t xml:space="preserve">Tiempo-a-primer-registro &lt; 5 minutos desde el alta.</w:t>
      </w:r>
    </w:p>
    <w:p>
      <w:pPr>
        <w:pStyle w:val="ListParagraph"/>
        <w:numPr>
          <w:ilvl w:val="0"/>
          <w:numId w:val="2"/>
        </w:numPr>
        <w:spacing w:after="60"/>
      </w:pPr>
      <w:r>
        <w:t xml:space="preserve">Registros por sesión de manga y retención semanal por encima del umbral objetivo.</w:t>
      </w:r>
    </w:p>
    <w:p>
      <w:pPr>
        <w:pStyle w:val="ListParagraph"/>
        <w:numPr>
          <w:ilvl w:val="0"/>
          <w:numId w:val="2"/>
        </w:numPr>
        <w:spacing w:after="60"/>
      </w:pPr>
      <w:r>
        <w:t xml:space="preserve">Sincronización exitosa visible; cero pérdida de datos reportada; conflictos resueltos automáticamente &gt;99%.</w:t>
      </w:r>
    </w:p>
    <w:p>
      <w:pPr>
        <w:pStyle w:val="Heading1"/>
        <w:pageBreakBefore/>
      </w:pPr>
      <w:r>
        <w:t xml:space="preserve">5. Fase 2 — ERP completo (meses 10-18)</w:t>
      </w:r>
    </w:p>
    <w:p>
      <w:pPr>
        <w:spacing w:after="140"/>
      </w:pPr>
      <w:r>
        <w:t xml:space="preserve">Cowinance deja de ser una app de registros para convertirse en el sistema operativo de la finca: finanzas, inventario, agricultura y la operación multiempresa, más la apertura de la plataforma.</w:t>
      </w:r>
    </w:p>
    <w:p>
      <w:pPr>
        <w:pStyle w:val="Heading2"/>
      </w:pPr>
      <w:r>
        <w:t xml:space="preserve">5.1 Alcance funcional</w:t>
      </w:r>
    </w:p>
    <w:p>
      <w:pPr>
        <w:pStyle w:val="ListParagraph"/>
        <w:numPr>
          <w:ilvl w:val="0"/>
          <w:numId w:val="2"/>
        </w:numPr>
        <w:spacing w:after="60"/>
      </w:pPr>
      <w:r>
        <w:t xml:space="preserve"/>
      </w:r>
      <w:r>
        <w:rPr>
          <w:b/>
          <w:bCs/>
        </w:rPr>
        <w:t xml:space="preserve">Finanzas y contabilidad:</w:t>
      </w:r>
      <w:r>
        <w:t xml:space="preserve"> partida doble, centros de costo hasta el animal, facturación electrónica, bancos y conciliación.</w:t>
      </w:r>
    </w:p>
    <w:p>
      <w:pPr>
        <w:pStyle w:val="ListParagraph"/>
        <w:numPr>
          <w:ilvl w:val="0"/>
          <w:numId w:val="2"/>
        </w:numPr>
        <w:spacing w:after="60"/>
      </w:pPr>
      <w:r>
        <w:t xml:space="preserve"/>
      </w:r>
      <w:r>
        <w:rPr>
          <w:b/>
          <w:bCs/>
        </w:rPr>
        <w:t xml:space="preserve">Inventario (nivel SAP):</w:t>
      </w:r>
      <w:r>
        <w:t xml:space="preserve"> maestro de materiales, lotes, kardex, valuación, cuarentena y reposición.</w:t>
      </w:r>
    </w:p>
    <w:p>
      <w:pPr>
        <w:pStyle w:val="ListParagraph"/>
        <w:numPr>
          <w:ilvl w:val="0"/>
          <w:numId w:val="2"/>
        </w:numPr>
        <w:spacing w:after="60"/>
      </w:pPr>
      <w:r>
        <w:t xml:space="preserve"/>
      </w:r>
      <w:r>
        <w:rPr>
          <w:b/>
          <w:bCs/>
        </w:rPr>
        <w:t xml:space="preserve">Nutrición y pasturas:</w:t>
      </w:r>
      <w:r>
        <w:t xml:space="preserve"> raciones, entregas, pastoreo, presupuesto forrajero.</w:t>
      </w:r>
    </w:p>
    <w:p>
      <w:pPr>
        <w:pStyle w:val="ListParagraph"/>
        <w:numPr>
          <w:ilvl w:val="0"/>
          <w:numId w:val="2"/>
        </w:numPr>
        <w:spacing w:after="60"/>
      </w:pPr>
      <w:r>
        <w:t xml:space="preserve"/>
      </w:r>
      <w:r>
        <w:rPr>
          <w:b/>
          <w:bCs/>
        </w:rPr>
        <w:t xml:space="preserve">Agricultura:</w:t>
      </w:r>
      <w:r>
        <w:t xml:space="preserve"> cultivos, labores, insumos con carencia, cosecha; mapas con capas y NDVI.</w:t>
      </w:r>
    </w:p>
    <w:p>
      <w:pPr>
        <w:pStyle w:val="ListParagraph"/>
        <w:numPr>
          <w:ilvl w:val="0"/>
          <w:numId w:val="2"/>
        </w:numPr>
        <w:spacing w:after="60"/>
      </w:pPr>
      <w:r>
        <w:t xml:space="preserve"/>
      </w:r>
      <w:r>
        <w:rPr>
          <w:b/>
          <w:bCs/>
        </w:rPr>
        <w:t xml:space="preserve">Maquinaria, mantenimiento y combustible.</w:t>
      </w:r>
      <w:r>
        <w:t xml:space="preserve"/>
      </w:r>
    </w:p>
    <w:p>
      <w:pPr>
        <w:pStyle w:val="ListParagraph"/>
        <w:numPr>
          <w:ilvl w:val="0"/>
          <w:numId w:val="2"/>
        </w:numPr>
        <w:spacing w:after="60"/>
      </w:pPr>
      <w:r>
        <w:t xml:space="preserve"/>
      </w:r>
      <w:r>
        <w:rPr>
          <w:b/>
          <w:bCs/>
        </w:rPr>
        <w:t xml:space="preserve">Comercial y CRM:</w:t>
      </w:r>
      <w:r>
        <w:t xml:space="preserve"> compras, ventas, clientes, proveedores, contratos.</w:t>
      </w:r>
    </w:p>
    <w:p>
      <w:pPr>
        <w:pStyle w:val="ListParagraph"/>
        <w:numPr>
          <w:ilvl w:val="0"/>
          <w:numId w:val="2"/>
        </w:numPr>
        <w:spacing w:after="60"/>
      </w:pPr>
      <w:r>
        <w:t xml:space="preserve"/>
      </w:r>
      <w:r>
        <w:rPr>
          <w:b/>
          <w:bCs/>
        </w:rPr>
        <w:t xml:space="preserve">Personas:</w:t>
      </w:r>
      <w:r>
        <w:t xml:space="preserve"> RR. HH. y jornales.</w:t>
      </w:r>
    </w:p>
    <w:p>
      <w:pPr>
        <w:pStyle w:val="ListParagraph"/>
        <w:numPr>
          <w:ilvl w:val="0"/>
          <w:numId w:val="2"/>
        </w:numPr>
        <w:spacing w:after="60"/>
      </w:pPr>
      <w:r>
        <w:t xml:space="preserve"/>
      </w:r>
      <w:r>
        <w:rPr>
          <w:b/>
          <w:bCs/>
        </w:rPr>
        <w:t xml:space="preserve">Multiempresa:</w:t>
      </w:r>
      <w:r>
        <w:t xml:space="preserve"> consolidación de grupo y operaciones inter-compañía.</w:t>
      </w:r>
    </w:p>
    <w:p>
      <w:pPr>
        <w:pStyle w:val="ListParagraph"/>
        <w:numPr>
          <w:ilvl w:val="0"/>
          <w:numId w:val="2"/>
        </w:numPr>
        <w:spacing w:after="60"/>
      </w:pPr>
      <w:r>
        <w:t xml:space="preserve"/>
      </w:r>
      <w:r>
        <w:rPr>
          <w:b/>
          <w:bCs/>
        </w:rPr>
        <w:t xml:space="preserve">API pública v1 + webhooks + ICAR ADE;</w:t>
      </w:r>
      <w:r>
        <w:t xml:space="preserve"> segunda célula regional.</w:t>
      </w:r>
    </w:p>
    <w:p>
      <w:pPr>
        <w:pStyle w:val="Heading2"/>
      </w:pPr>
      <w:r>
        <w:t xml:space="preserve">5.2 Hitos y salida</w:t>
      </w:r>
    </w:p>
    <w:p>
      <w:pPr>
        <w:pStyle w:val="ListParagraph"/>
        <w:numPr>
          <w:ilvl w:val="0"/>
          <w:numId w:val="2"/>
        </w:numPr>
        <w:spacing w:after="60"/>
      </w:pPr>
      <w:r>
        <w:t xml:space="preserve">M12: finanzas + inventario en producción; primer cierre contable de un cliente real.</w:t>
      </w:r>
    </w:p>
    <w:p>
      <w:pPr>
        <w:pStyle w:val="ListParagraph"/>
        <w:numPr>
          <w:ilvl w:val="0"/>
          <w:numId w:val="2"/>
        </w:numPr>
        <w:spacing w:after="60"/>
      </w:pPr>
      <w:r>
        <w:t xml:space="preserve">M15: agricultura y multiempresa; API pública en beta con primeros integradores.</w:t>
      </w:r>
    </w:p>
    <w:p>
      <w:pPr>
        <w:pStyle w:val="ListParagraph"/>
        <w:numPr>
          <w:ilvl w:val="0"/>
          <w:numId w:val="2"/>
        </w:numPr>
        <w:spacing w:after="60"/>
      </w:pPr>
      <w:r>
        <w:t xml:space="preserve">M18: GA (disponibilidad general) del ERP; expansión a nuevos países de la región.</w:t>
      </w:r>
    </w:p>
    <w:p>
      <w:pPr>
        <w:pStyle w:val="ListParagraph"/>
        <w:numPr>
          <w:ilvl w:val="0"/>
          <w:numId w:val="2"/>
        </w:numPr>
        <w:spacing w:after="60"/>
      </w:pPr>
      <w:r>
        <w:t xml:space="preserve">Salida: NPS positivo, expansión de cuentas (más módulos activados por tenant), ARR objetivo alcanzado.</w:t>
      </w:r>
    </w:p>
    <w:p>
      <w:pPr>
        <w:pStyle w:val="Heading1"/>
        <w:pageBreakBefore/>
      </w:pPr>
      <w:r>
        <w:t xml:space="preserve">6. Fase 3 — Inteligencia (meses 19-27)</w:t>
      </w:r>
    </w:p>
    <w:p>
      <w:pPr>
        <w:spacing w:after="140"/>
      </w:pPr>
      <w:r>
        <w:t xml:space="preserve">Se activa el valor diferencial: la plataforma de datos y la IA que anticipa, más el IoT y la trazabilidad que alimentan y capturan valor.</w:t>
      </w:r>
    </w:p>
    <w:p>
      <w:pPr>
        <w:pStyle w:val="Heading2"/>
      </w:pPr>
      <w:r>
        <w:t xml:space="preserve">6.1 Alcance funcional</w:t>
      </w:r>
    </w:p>
    <w:p>
      <w:pPr>
        <w:pStyle w:val="ListParagraph"/>
        <w:numPr>
          <w:ilvl w:val="0"/>
          <w:numId w:val="2"/>
        </w:numPr>
        <w:spacing w:after="60"/>
      </w:pPr>
      <w:r>
        <w:t xml:space="preserve"/>
      </w:r>
      <w:r>
        <w:rPr>
          <w:b/>
          <w:bCs/>
        </w:rPr>
        <w:t xml:space="preserve">Plataforma de datos:</w:t>
      </w:r>
      <w:r>
        <w:t xml:space="preserve"> lakehouse, feature store, MLOps.</w:t>
      </w:r>
    </w:p>
    <w:p>
      <w:pPr>
        <w:pStyle w:val="ListParagraph"/>
        <w:numPr>
          <w:ilvl w:val="0"/>
          <w:numId w:val="2"/>
        </w:numPr>
        <w:spacing w:after="60"/>
      </w:pPr>
      <w:r>
        <w:t xml:space="preserve"/>
      </w:r>
      <w:r>
        <w:rPr>
          <w:b/>
          <w:bCs/>
        </w:rPr>
        <w:t xml:space="preserve">IA H1:</w:t>
      </w:r>
      <w:r>
        <w:t xml:space="preserve"> predicción de peso/producción, alerta sanitaria por anomalía, predicción de partos, probabilidad de preñez, detección de pérdidas.</w:t>
      </w:r>
    </w:p>
    <w:p>
      <w:pPr>
        <w:pStyle w:val="ListParagraph"/>
        <w:numPr>
          <w:ilvl w:val="0"/>
          <w:numId w:val="2"/>
        </w:numPr>
        <w:spacing w:after="60"/>
      </w:pPr>
      <w:r>
        <w:t xml:space="preserve"/>
      </w:r>
      <w:r>
        <w:rPr>
          <w:b/>
          <w:bCs/>
        </w:rPr>
        <w:t xml:space="preserve">Copiloto conversacional</w:t>
      </w:r>
      <w:r>
        <w:t xml:space="preserve"> y reportes narrativos automáticos.</w:t>
      </w:r>
    </w:p>
    <w:p>
      <w:pPr>
        <w:pStyle w:val="ListParagraph"/>
        <w:numPr>
          <w:ilvl w:val="0"/>
          <w:numId w:val="2"/>
        </w:numPr>
        <w:spacing w:after="60"/>
      </w:pPr>
      <w:r>
        <w:t xml:space="preserve"/>
      </w:r>
      <w:r>
        <w:rPr>
          <w:b/>
          <w:bCs/>
        </w:rPr>
        <w:t xml:space="preserve">IoT GA:</w:t>
      </w:r>
      <w:r>
        <w:t xml:space="preserve"> básculas, collares, sensores de agua y de tanque; ingesta a escala y alertas en streaming.</w:t>
      </w:r>
    </w:p>
    <w:p>
      <w:pPr>
        <w:pStyle w:val="ListParagraph"/>
        <w:numPr>
          <w:ilvl w:val="0"/>
          <w:numId w:val="2"/>
        </w:numPr>
        <w:spacing w:after="60"/>
      </w:pPr>
      <w:r>
        <w:t xml:space="preserve"/>
      </w:r>
      <w:r>
        <w:rPr>
          <w:b/>
          <w:bCs/>
        </w:rPr>
        <w:t xml:space="preserve">Lechería avanzada</w:t>
      </w:r>
      <w:r>
        <w:t xml:space="preserve"> (control lechero, calidad) y </w:t>
      </w:r>
      <w:r>
        <w:rPr>
          <w:b/>
          <w:bCs/>
        </w:rPr>
        <w:t xml:space="preserve">engorde/feedlot</w:t>
      </w:r>
      <w:r>
        <w:t xml:space="preserve">.</w:t>
      </w:r>
    </w:p>
    <w:p>
      <w:pPr>
        <w:pStyle w:val="ListParagraph"/>
        <w:numPr>
          <w:ilvl w:val="0"/>
          <w:numId w:val="2"/>
        </w:numPr>
        <w:spacing w:after="60"/>
      </w:pPr>
      <w:r>
        <w:t xml:space="preserve"/>
      </w:r>
      <w:r>
        <w:rPr>
          <w:b/>
          <w:bCs/>
        </w:rPr>
        <w:t xml:space="preserve">Trazabilidad y cumplimiento</w:t>
      </w:r>
      <w:r>
        <w:t xml:space="preserve"> con anclaje blockchain; </w:t>
      </w:r>
      <w:r>
        <w:rPr>
          <w:b/>
          <w:bCs/>
        </w:rPr>
        <w:t xml:space="preserve">SOC 2 Type II</w:t>
      </w:r>
      <w:r>
        <w:t xml:space="preserve"> e ISO 27001.</w:t>
      </w:r>
    </w:p>
    <w:p>
      <w:pPr>
        <w:pStyle w:val="Heading2"/>
      </w:pPr>
      <w:r>
        <w:t xml:space="preserve">6.2 Hitos y salida</w:t>
      </w:r>
    </w:p>
    <w:p>
      <w:pPr>
        <w:pStyle w:val="ListParagraph"/>
        <w:numPr>
          <w:ilvl w:val="0"/>
          <w:numId w:val="2"/>
        </w:numPr>
        <w:spacing w:after="60"/>
      </w:pPr>
      <w:r>
        <w:t xml:space="preserve">M21: primeras predicciones y copiloto en producción; IoT con básculas y collares.</w:t>
      </w:r>
    </w:p>
    <w:p>
      <w:pPr>
        <w:pStyle w:val="ListParagraph"/>
        <w:numPr>
          <w:ilvl w:val="0"/>
          <w:numId w:val="2"/>
        </w:numPr>
        <w:spacing w:after="60"/>
      </w:pPr>
      <w:r>
        <w:t xml:space="preserve">M24: certificación SOC 2; trazabilidad con anclaje blockchain operativa.</w:t>
      </w:r>
    </w:p>
    <w:p>
      <w:pPr>
        <w:pStyle w:val="ListParagraph"/>
        <w:numPr>
          <w:ilvl w:val="0"/>
          <w:numId w:val="2"/>
        </w:numPr>
        <w:spacing w:after="60"/>
      </w:pPr>
      <w:r>
        <w:t xml:space="preserve">M27: IA adoptada (alertas tempranas acertadas medibles); impacto en preñez/GDP atribuible.</w:t>
      </w:r>
    </w:p>
    <w:p>
      <w:pPr>
        <w:pStyle w:val="ListParagraph"/>
        <w:numPr>
          <w:ilvl w:val="0"/>
          <w:numId w:val="2"/>
        </w:numPr>
        <w:spacing w:after="60"/>
      </w:pPr>
      <w:r>
        <w:t xml:space="preserve">Salida: adopción de IA y de IoT por sobre el umbral; mejora medible de indicadores productivos.</w:t>
      </w:r>
    </w:p>
    <w:p>
      <w:pPr>
        <w:pStyle w:val="Heading1"/>
        <w:pageBreakBefore/>
      </w:pPr>
      <w:r>
        <w:t xml:space="preserve">7. Fase 4 — Ecosistema y expansión (meses 28-36)</w:t>
      </w:r>
    </w:p>
    <w:p>
      <w:pPr>
        <w:spacing w:after="140"/>
      </w:pPr>
      <w:r>
        <w:t xml:space="preserve">La plataforma se abre a la red y se vuelve global: marketplace, drones, visión, gemelo digital y presencia en las cuatro regiones ganaderas clave.</w:t>
      </w:r>
    </w:p>
    <w:p>
      <w:pPr>
        <w:pStyle w:val="Heading2"/>
      </w:pPr>
      <w:r>
        <w:t xml:space="preserve">7.1 Alcance funcional</w:t>
      </w:r>
    </w:p>
    <w:p>
      <w:pPr>
        <w:pStyle w:val="ListParagraph"/>
        <w:numPr>
          <w:ilvl w:val="0"/>
          <w:numId w:val="2"/>
        </w:numPr>
        <w:spacing w:after="60"/>
      </w:pPr>
      <w:r>
        <w:t xml:space="preserve"/>
      </w:r>
      <w:r>
        <w:rPr>
          <w:b/>
          <w:bCs/>
        </w:rPr>
        <w:t xml:space="preserve">Marketplace ganadero</w:t>
      </w:r>
      <w:r>
        <w:t xml:space="preserve"> con trazabilidad verificable como argumento de venta.</w:t>
      </w:r>
    </w:p>
    <w:p>
      <w:pPr>
        <w:pStyle w:val="ListParagraph"/>
        <w:numPr>
          <w:ilvl w:val="0"/>
          <w:numId w:val="2"/>
        </w:numPr>
        <w:spacing w:after="60"/>
      </w:pPr>
      <w:r>
        <w:t xml:space="preserve"/>
      </w:r>
      <w:r>
        <w:rPr>
          <w:b/>
          <w:bCs/>
        </w:rPr>
        <w:t xml:space="preserve">Drones y teledetección GA;</w:t>
      </w:r>
      <w:r>
        <w:t xml:space="preserve"> visión por computador (peso/condición por imagen, conteo, biometría de morro).</w:t>
      </w:r>
    </w:p>
    <w:p>
      <w:pPr>
        <w:pStyle w:val="ListParagraph"/>
        <w:numPr>
          <w:ilvl w:val="0"/>
          <w:numId w:val="2"/>
        </w:numPr>
        <w:spacing w:after="60"/>
      </w:pPr>
      <w:r>
        <w:t xml:space="preserve"/>
      </w:r>
      <w:r>
        <w:rPr>
          <w:b/>
          <w:bCs/>
        </w:rPr>
        <w:t xml:space="preserve">Gemelo digital</w:t>
      </w:r>
      <w:r>
        <w:t xml:space="preserve"> (mapa vivo + simulación de escenarios).</w:t>
      </w:r>
    </w:p>
    <w:p>
      <w:pPr>
        <w:pStyle w:val="ListParagraph"/>
        <w:numPr>
          <w:ilvl w:val="0"/>
          <w:numId w:val="2"/>
        </w:numPr>
        <w:spacing w:after="60"/>
      </w:pPr>
      <w:r>
        <w:t xml:space="preserve"/>
      </w:r>
      <w:r>
        <w:rPr>
          <w:b/>
          <w:bCs/>
        </w:rPr>
        <w:t xml:space="preserve">IA H2/H3:</w:t>
      </w:r>
      <w:r>
        <w:t xml:space="preserve"> apareamiento óptimo, recomendación de venta, decisiones nivel "Confirmar".</w:t>
      </w:r>
    </w:p>
    <w:p>
      <w:pPr>
        <w:pStyle w:val="ListParagraph"/>
        <w:numPr>
          <w:ilvl w:val="0"/>
          <w:numId w:val="2"/>
        </w:numPr>
        <w:spacing w:after="60"/>
      </w:pPr>
      <w:r>
        <w:t xml:space="preserve"/>
      </w:r>
      <w:r>
        <w:rPr>
          <w:b/>
          <w:bCs/>
        </w:rPr>
        <w:t xml:space="preserve">Marketplace de integraciones y partners;</w:t>
      </w:r>
      <w:r>
        <w:t xml:space="preserve"> red de consorcio de trazabilidad.</w:t>
      </w:r>
    </w:p>
    <w:p>
      <w:pPr>
        <w:pStyle w:val="ListParagraph"/>
        <w:numPr>
          <w:ilvl w:val="0"/>
          <w:numId w:val="2"/>
        </w:numPr>
        <w:spacing w:after="60"/>
      </w:pPr>
      <w:r>
        <w:t xml:space="preserve"/>
      </w:r>
      <w:r>
        <w:rPr>
          <w:b/>
          <w:bCs/>
        </w:rPr>
        <w:t xml:space="preserve">Benchmarking anónimo regional;</w:t>
      </w:r>
      <w:r>
        <w:t xml:space="preserve"> células regionales 3 y 4 (Europa, Oceanía).</w:t>
      </w:r>
    </w:p>
    <w:p>
      <w:pPr>
        <w:pStyle w:val="Heading2"/>
      </w:pPr>
      <w:r>
        <w:t xml:space="preserve">7.2 Hitos y salida</w:t>
      </w:r>
    </w:p>
    <w:p>
      <w:pPr>
        <w:pStyle w:val="ListParagraph"/>
        <w:numPr>
          <w:ilvl w:val="0"/>
          <w:numId w:val="2"/>
        </w:numPr>
        <w:spacing w:after="60"/>
      </w:pPr>
      <w:r>
        <w:t xml:space="preserve">M30: marketplace y drones GA; visión por imagen en producción.</w:t>
      </w:r>
    </w:p>
    <w:p>
      <w:pPr>
        <w:pStyle w:val="ListParagraph"/>
        <w:numPr>
          <w:ilvl w:val="0"/>
          <w:numId w:val="2"/>
        </w:numPr>
        <w:spacing w:after="60"/>
      </w:pPr>
      <w:r>
        <w:t xml:space="preserve">M33: gemelo digital con simulación; benchmarking anónimo activo.</w:t>
      </w:r>
    </w:p>
    <w:p>
      <w:pPr>
        <w:pStyle w:val="ListParagraph"/>
        <w:numPr>
          <w:ilvl w:val="0"/>
          <w:numId w:val="2"/>
        </w:numPr>
        <w:spacing w:after="60"/>
      </w:pPr>
      <w:r>
        <w:t xml:space="preserve">M36: operación en 4 regiones; ecosistema de partners; plataforma completa según la visión.</w:t>
      </w:r>
    </w:p>
    <w:p>
      <w:pPr>
        <w:pStyle w:val="ListParagraph"/>
        <w:numPr>
          <w:ilvl w:val="0"/>
          <w:numId w:val="2"/>
        </w:numPr>
        <w:spacing w:after="60"/>
      </w:pPr>
      <w:r>
        <w:t xml:space="preserve">Salida: efecto de red medible (benchmarking, marketplace), expansión geográfica consolidada.</w:t>
      </w:r>
    </w:p>
    <w:p>
      <w:pPr>
        <w:pStyle w:val="Heading1"/>
        <w:pageBreakBefore/>
      </w:pPr>
      <w:r>
        <w:t xml:space="preserve">8. Rollout de módulos por fase</w:t>
      </w:r>
    </w:p>
    <w:p>
      <w:pPr>
        <w:spacing w:after="140"/>
      </w:pPr>
      <w:r>
        <w:t xml:space="preserve">Los 40 módulos del catálogo se entregan de forma incremental. La siguiente matriz resume en qué fase entra cada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Suite</w:t>
            </w:r>
          </w:p>
        </w:tc>
        <w:tc>
          <w:tcPr>
            <w:tcW w:type="dxa" w:w="169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 1</w:t>
            </w:r>
          </w:p>
        </w:tc>
        <w:tc>
          <w:tcPr>
            <w:tcW w:type="dxa" w:w="169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 2</w:t>
            </w:r>
          </w:p>
        </w:tc>
        <w:tc>
          <w:tcPr>
            <w:tcW w:type="dxa" w:w="169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 3</w:t>
            </w:r>
          </w:p>
        </w:tc>
        <w:tc>
          <w:tcPr>
            <w:tcW w:type="dxa" w:w="169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 4</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Núcleo y Administración</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Identidad, Sync, Config</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Multiempresa, Docs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Notif. avanzadas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Ganadería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Hato, Reprod., Sanidad, Prod.</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Nutrición</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Trazabilidad</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Sistemas productivos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Lechería, Feedlot</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Marketplace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Agricultura y tierra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Mapa básico</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Agric., Pasturas, GPS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Clima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Drones</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Cadena de suministro</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Inventario, Maq., Mant., Combustible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Comercial y CRM</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Compras, Ventas, CRM, Clientes, Prov.</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Finanzas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Facturación SaaS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Contab., Costos, Tesorería, Fact. electr.</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Personas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RR. HH., Nómina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Laboratorio</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Laboratorio</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Datos e Inteligencia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Reportes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Analítica, IA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Gemelo Digital</w:t>
            </w:r>
          </w:p>
        </w:tc>
      </w:tr>
      <w:tr>
        <w:tc>
          <w:tcPr>
            <w:tcW w:type="dxa" w:w="2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Ecosistema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API/Integraciones</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IoT, Blockchain, Academia</w:t>
            </w:r>
          </w:p>
        </w:tc>
        <w:tc>
          <w:tcPr>
            <w:tcW w:type="dxa" w:w="169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Drones, red de partners</w:t>
            </w:r>
          </w:p>
        </w:tc>
      </w:tr>
    </w:tbl>
    <w:p>
      <w:pPr>
        <w:spacing w:after="140"/>
      </w:pPr>
    </w:p>
    <w:p>
      <w:pPr>
        <w:pStyle w:val="Heading1"/>
        <w:pageBreakBefore/>
      </w:pPr>
      <w:r>
        <w:t xml:space="preserve">9. Equipo y dotación por fase</w:t>
      </w:r>
    </w:p>
    <w:p>
      <w:pPr>
        <w:spacing w:after="140"/>
      </w:pPr>
      <w:r>
        <w:t xml:space="preserve">El equipo crece con el alcance. Se empieza pequeño y senior, y se escala cuando el producto y los ingresos lo justifican.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w:t>
            </w:r>
          </w:p>
        </w:tc>
        <w:tc>
          <w:tcPr>
            <w:tcW w:type="dxa" w:w="15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Tamaño</w:t>
            </w:r>
          </w:p>
        </w:tc>
        <w:tc>
          <w:tcPr>
            <w:tcW w:type="dxa" w:w="57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Composición</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 · Fundaciones</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~10</w:t>
            </w:r>
          </w:p>
        </w:tc>
        <w:tc>
          <w:tcPr>
            <w:tcW w:type="dxa" w:w="57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 CTO/arquitecto, 4 backend (2 TS, 1 Go, 1 datos), 3 móvil/frontend, 1 DevOps/SRE, 1 diseño; + 2-3 expertos ganaderos a tiempo parcial</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 · MVP</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~14</w:t>
            </w:r>
          </w:p>
        </w:tc>
        <w:tc>
          <w:tcPr>
            <w:tcW w:type="dxa" w:w="57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 QA automation, + 2 ingenieros, refuerzo móvil; producto y soporte de campo</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 · ERP</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~24</w:t>
            </w:r>
          </w:p>
        </w:tc>
        <w:tc>
          <w:tcPr>
            <w:tcW w:type="dxa" w:w="57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 squad de finanzas/contabilidad, + agricultura, + integraciones; PM adicional</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 · Inteligencia</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~35</w:t>
            </w:r>
          </w:p>
        </w:tc>
        <w:tc>
          <w:tcPr>
            <w:tcW w:type="dxa" w:w="57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 equipo de datos/ML (3-4), + IoT (2), + SRE, + seguridad/cumplimiento</w:t>
            </w:r>
          </w:p>
        </w:tc>
      </w:tr>
      <w:tr>
        <w:tc>
          <w:tcPr>
            <w:tcW w:type="dxa" w:w="2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 · Ecosistema</w:t>
            </w:r>
          </w:p>
        </w:tc>
        <w:tc>
          <w:tcPr>
            <w:tcW w:type="dxa" w:w="15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~45</w:t>
            </w:r>
          </w:p>
        </w:tc>
        <w:tc>
          <w:tcPr>
            <w:tcW w:type="dxa" w:w="57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 visión/drones, + partnerships, + equipos regionales; on-call follow-the-sun</w:t>
            </w:r>
          </w:p>
        </w:tc>
      </w:tr>
    </w:tbl>
    <w:p>
      <w:pPr>
        <w:spacing w:after="140"/>
      </w:pPr>
    </w:p>
    <w:p>
      <w:pPr>
        <w:spacing w:after="140"/>
      </w:pPr>
      <w:r>
        <w:t xml:space="preserve">Organización por squads alineados a bounded contexts (Hato, Reproducción, Finanzas…), con plataformas transversales (sync, datos, infra) como equipos habilitadores. Los expertos de dominio ganadero acompañan a cada squad para no construir sobre supuestos.</w:t>
      </w:r>
    </w:p>
    <w:p>
      <w:pPr>
        <w:pStyle w:val="Heading1"/>
        <w:pageBreakBefore/>
      </w:pPr>
      <w:r>
        <w:t xml:space="preserve">10. Ruta crítica y dependencias</w:t>
      </w:r>
    </w:p>
    <w:p>
      <w:pPr>
        <w:spacing w:after="140"/>
      </w:pPr>
      <w:r>
        <w:t xml:space="preserve">Ciertos componentes bloquean a otros; construirlos en orden evita retrabajo. El diagrama de la ruta crítica se incluye en 10.1.</w:t>
      </w:r>
    </w:p>
    <w:p>
      <w:pPr>
        <w:pStyle w:val="Heading2"/>
      </w:pPr>
      <w:r>
        <w:t xml:space="preserve">10.1 Ruta crítica de construcción</w:t>
      </w:r>
    </w:p>
    <w:p>
      <w:pPr>
        <w:pStyle w:val="Heading2"/>
      </w:pPr>
      <w:r>
        <w:t xml:space="preserve">10.2 Dependencias clave</w:t>
      </w:r>
    </w:p>
    <w:p>
      <w:pPr>
        <w:pStyle w:val="ListParagraph"/>
        <w:numPr>
          <w:ilvl w:val="0"/>
          <w:numId w:val="2"/>
        </w:numPr>
        <w:spacing w:after="60"/>
      </w:pPr>
      <w:r>
        <w:t xml:space="preserve">La </w:t>
      </w:r>
      <w:r>
        <w:rPr>
          <w:b/>
          <w:bCs/>
        </w:rPr>
        <w:t xml:space="preserve">sincronización</w:t>
      </w:r>
      <w:r>
        <w:t xml:space="preserve"> y la </w:t>
      </w:r>
      <w:r>
        <w:rPr>
          <w:b/>
          <w:bCs/>
        </w:rPr>
        <w:t xml:space="preserve">identidad/multi-tenant</w:t>
      </w:r>
      <w:r>
        <w:t xml:space="preserve"> son prerrequisito de todo; se hacen primero (Fase 0).</w:t>
      </w:r>
    </w:p>
    <w:p>
      <w:pPr>
        <w:pStyle w:val="ListParagraph"/>
        <w:numPr>
          <w:ilvl w:val="0"/>
          <w:numId w:val="2"/>
        </w:numPr>
        <w:spacing w:after="60"/>
      </w:pPr>
      <w:r>
        <w:t xml:space="preserve">El </w:t>
      </w:r>
      <w:r>
        <w:rPr>
          <w:b/>
          <w:bCs/>
        </w:rPr>
        <w:t xml:space="preserve">Hato</w:t>
      </w:r>
      <w:r>
        <w:t xml:space="preserve"> es la base de casi todos los módulos ganaderos (reproducción, sanidad, producción cuelgan de él).</w:t>
      </w:r>
    </w:p>
    <w:p>
      <w:pPr>
        <w:pStyle w:val="ListParagraph"/>
        <w:numPr>
          <w:ilvl w:val="0"/>
          <w:numId w:val="2"/>
        </w:numPr>
        <w:spacing w:after="60"/>
      </w:pPr>
      <w:r>
        <w:t xml:space="preserve">Las </w:t>
      </w:r>
      <w:r>
        <w:rPr>
          <w:b/>
          <w:bCs/>
        </w:rPr>
        <w:t xml:space="preserve">Finanzas</w:t>
      </w:r>
      <w:r>
        <w:t xml:space="preserve"> dependen de que Ventas/Compras/Inventario generen operaciones que contabilizar.</w:t>
      </w:r>
    </w:p>
    <w:p>
      <w:pPr>
        <w:pStyle w:val="ListParagraph"/>
        <w:numPr>
          <w:ilvl w:val="0"/>
          <w:numId w:val="2"/>
        </w:numPr>
        <w:spacing w:after="60"/>
      </w:pPr>
      <w:r>
        <w:t xml:space="preserve">La </w:t>
      </w:r>
      <w:r>
        <w:rPr>
          <w:b/>
          <w:bCs/>
        </w:rPr>
        <w:t xml:space="preserve">IA</w:t>
      </w:r>
      <w:r>
        <w:t xml:space="preserve"> depende de la plataforma de datos (lakehouse/feature store) y de meses de datos capturados — por eso llega en Fase 3, no antes.</w:t>
      </w:r>
    </w:p>
    <w:p>
      <w:pPr>
        <w:pStyle w:val="ListParagraph"/>
        <w:numPr>
          <w:ilvl w:val="0"/>
          <w:numId w:val="2"/>
        </w:numPr>
        <w:spacing w:after="60"/>
      </w:pPr>
      <w:r>
        <w:t xml:space="preserve">El </w:t>
      </w:r>
      <w:r>
        <w:rPr>
          <w:b/>
          <w:bCs/>
        </w:rPr>
        <w:t xml:space="preserve">Gemelo Digital</w:t>
      </w:r>
      <w:r>
        <w:t xml:space="preserve"> y los </w:t>
      </w:r>
      <w:r>
        <w:rPr>
          <w:b/>
          <w:bCs/>
        </w:rPr>
        <w:t xml:space="preserve">drones</w:t>
      </w:r>
      <w:r>
        <w:t xml:space="preserve"> dependen de los mapas/GPS y del IoT; llegan en Fase 4.</w:t>
      </w:r>
    </w:p>
    <w:p>
      <w:pPr>
        <w:pStyle w:val="ListParagraph"/>
        <w:numPr>
          <w:ilvl w:val="0"/>
          <w:numId w:val="2"/>
        </w:numPr>
        <w:spacing w:after="60"/>
      </w:pPr>
      <w:r>
        <w:t xml:space="preserve">La </w:t>
      </w:r>
      <w:r>
        <w:rPr>
          <w:b/>
          <w:bCs/>
        </w:rPr>
        <w:t xml:space="preserve">API pública</w:t>
      </w:r>
      <w:r>
        <w:t xml:space="preserve"> se abre cuando el modelo de datos está estable (Fase 2) para no romper integradores.</w:t>
      </w:r>
    </w:p>
    <w:p>
      <w:pPr>
        <w:pStyle w:val="Heading1"/>
        <w:pageBreakBefore/>
      </w:pPr>
      <w:r>
        <w:t xml:space="preserve">11. Métricas de éxito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w:t>
            </w:r>
          </w:p>
        </w:tc>
        <w:tc>
          <w:tcPr>
            <w:tcW w:type="dxa" w:w="383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Métrica de producto</w:t>
            </w:r>
          </w:p>
        </w:tc>
        <w:tc>
          <w:tcPr>
            <w:tcW w:type="dxa" w:w="383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Métrica de negocio</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Convergencia de sync &gt;99% en la suite</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Equipo y plataforma listos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Tiempo-a-primer-registro &lt;5 min; retención semanal</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10-15 betas activas; primer cobro SaaS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NPS positivo; módulos activados por tenant</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ARR objetivo; expansión de cuentas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Alertas tempranas acertadas; adopción de IA/IoT</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Mejora de indicadores; upsell de planes superiores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Uso de marketplace/benchmarking (efecto de red)</w:t>
            </w:r>
          </w:p>
        </w:tc>
        <w:tc>
          <w:tcPr>
            <w:tcW w:type="dxa" w:w="383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Presencia en 4 regiones; ecosistema de partners</w:t>
            </w:r>
          </w:p>
        </w:tc>
      </w:tr>
    </w:tbl>
    <w:p>
      <w:pPr>
        <w:spacing w:after="140"/>
      </w:pPr>
    </w:p>
    <w:p>
      <w:pPr>
        <w:spacing w:after="140"/>
      </w:pPr>
      <w:r>
        <w:t xml:space="preserve">Se gestiona con error budgets (SRE) y con una estrella polar por fase: en Fase 1 es "registros capturados en el campo"; en Fase 2, "operación completa gestionada en Cowinance"; en Fase 3, "decisiones asistidas por IA"; en Fase 4, "valor de red".</w:t>
      </w:r>
    </w:p>
    <w:p>
      <w:pPr>
        <w:pStyle w:val="Heading1"/>
        <w:pageBreakBefore/>
      </w:pPr>
      <w:r>
        <w:t xml:space="preserve">12.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tblHeader/>
        </w:trPr>
        <w:tc>
          <w:tcPr>
            <w:tcW w:type="dxa" w:w="31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Riesgo</w:t>
            </w:r>
          </w:p>
        </w:tc>
        <w:tc>
          <w:tcPr>
            <w:tcW w:type="dxa" w:w="13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w:t>
            </w:r>
          </w:p>
        </w:tc>
        <w:tc>
          <w:tcPr>
            <w:tcW w:type="dxa" w:w="49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Mitigación</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Complejidad del sync offline</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0-1</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Se construye y prueba primero; suite de simulación; equipo dedicado</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Sobre-ingeniería temprana</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0-2</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Monolito modular + 1 célula; extraer solo con evidencia de escala</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Adopción de usuarios poco digitalizados</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UX de manga, voz, WhatsApp; importadores desde Excel/competidores</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Fragmentación normativa por país</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2-3</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Motor de cumplimiento configurable; partners regulatorios</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Datos insuficientes para IA</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La IA llega tras meses de captura; modelos por región; empezar simple</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Costos cloud con bajo ARPU</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2-4</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Arquitectura pool eficiente; FinOps; tiering por plan</w:t>
            </w:r>
          </w:p>
        </w:tc>
      </w:tr>
      <w:tr>
        <w:tc>
          <w:tcPr>
            <w:tcW w:type="dxa" w:w="31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Integraciones de hardware heterogéneo</w:t>
            </w:r>
          </w:p>
        </w:tc>
        <w:tc>
          <w:tcPr>
            <w:tcW w:type="dxa" w:w="13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w:t>
            </w:r>
          </w:p>
        </w:tc>
        <w:tc>
          <w:tcPr>
            <w:tcW w:type="dxa" w:w="49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Capa de abstracción + programa de certificación de partners</w:t>
            </w:r>
          </w:p>
        </w:tc>
      </w:tr>
    </w:tbl>
    <w:p>
      <w:pPr>
        <w:spacing w:after="140"/>
      </w:pPr>
    </w:p>
    <w:p>
      <w:pPr>
        <w:pStyle w:val="Heading1"/>
        <w:pageBreakBefore/>
      </w:pPr>
      <w:r>
        <w:t xml:space="preserve">13. Presupuesto orientativo</w:t>
      </w:r>
    </w:p>
    <w:p>
      <w:pPr>
        <w:spacing w:after="140"/>
      </w:pPr>
      <w:r>
        <w:t xml:space="preserve">Estimación de orden de magnitud, dominada por el costo de equipo; varía según región y seniority. Sirve para planificar rondas de financiamiento, no como cifra contractual.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000"/>
        <w:gridCol w:w="4060"/>
      </w:tblGrid>
      <w:tr>
        <w:trPr>
          <w:tblHeader/>
        </w:trPr>
        <w:tc>
          <w:tcPr>
            <w:tcW w:type="dxa" w:w="17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Fase</w:t>
            </w:r>
          </w:p>
        </w:tc>
        <w:tc>
          <w:tcPr>
            <w:tcW w:type="dxa" w:w="16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Duración</w:t>
            </w:r>
          </w:p>
        </w:tc>
        <w:tc>
          <w:tcPr>
            <w:tcW w:type="dxa" w:w="200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Equipo (prom.)</w:t>
            </w:r>
          </w:p>
        </w:tc>
        <w:tc>
          <w:tcPr>
            <w:tcW w:type="dxa" w:w="4060"/>
            <w:tcBorders>
              <w:top w:val="single" w:color="CCCCCC" w:sz="1"/>
              <w:left w:val="single" w:color="CCCCCC" w:sz="1"/>
              <w:bottom w:val="single" w:color="CCCCCC" w:sz="1"/>
              <w:right w:val="single" w:color="CCCCCC" w:sz="1"/>
            </w:tcBorders>
            <w:shd w:fill="1F4E3D" w:val="clear"/>
            <w:tcMar>
              <w:top w:type="dxa" w:w="56"/>
              <w:left w:type="dxa" w:w="100"/>
              <w:bottom w:type="dxa" w:w="56"/>
              <w:right w:type="dxa" w:w="100"/>
            </w:tcMar>
          </w:tcPr>
          <w:p>
            <w:r>
              <w:rPr>
                <w:b/>
                <w:bCs/>
                <w:color w:val="FFFFFF"/>
                <w:sz w:val="17"/>
                <w:szCs w:val="17"/>
              </w:rPr>
              <w:t xml:space="preserve">Inversión orientativa</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0</w:t>
            </w:r>
          </w:p>
        </w:tc>
        <w:tc>
          <w:tcPr>
            <w:tcW w:type="dxa" w:w="1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 meses</w:t>
            </w:r>
          </w:p>
        </w:tc>
        <w:tc>
          <w:tcPr>
            <w:tcW w:type="dxa" w:w="2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~10</w:t>
            </w:r>
          </w:p>
        </w:tc>
        <w:tc>
          <w:tcPr>
            <w:tcW w:type="dxa" w:w="4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Baja — cimientos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w:t>
            </w:r>
          </w:p>
        </w:tc>
        <w:tc>
          <w:tcPr>
            <w:tcW w:type="dxa" w:w="1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6 meses</w:t>
            </w:r>
          </w:p>
        </w:tc>
        <w:tc>
          <w:tcPr>
            <w:tcW w:type="dxa" w:w="2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~14</w:t>
            </w:r>
          </w:p>
        </w:tc>
        <w:tc>
          <w:tcPr>
            <w:tcW w:type="dxa" w:w="4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Media — MVP y beta</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w:t>
            </w:r>
          </w:p>
        </w:tc>
        <w:tc>
          <w:tcPr>
            <w:tcW w:type="dxa" w:w="1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9 meses</w:t>
            </w:r>
          </w:p>
        </w:tc>
        <w:tc>
          <w:tcPr>
            <w:tcW w:type="dxa" w:w="2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~24</w:t>
            </w:r>
          </w:p>
        </w:tc>
        <w:tc>
          <w:tcPr>
            <w:tcW w:type="dxa" w:w="4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Alta — mayor esfuerzo de construcción</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w:t>
            </w:r>
          </w:p>
        </w:tc>
        <w:tc>
          <w:tcPr>
            <w:tcW w:type="dxa" w:w="1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9 meses</w:t>
            </w:r>
          </w:p>
        </w:tc>
        <w:tc>
          <w:tcPr>
            <w:tcW w:type="dxa" w:w="2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~35</w:t>
            </w:r>
          </w:p>
        </w:tc>
        <w:tc>
          <w:tcPr>
            <w:tcW w:type="dxa" w:w="4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Alta — datos, IA, IoT, certificaciones</w:t>
            </w:r>
          </w:p>
        </w:tc>
      </w:tr>
      <w:tr>
        <w:tc>
          <w:tcPr>
            <w:tcW w:type="dxa" w:w="17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w:t>
            </w:r>
          </w:p>
        </w:tc>
        <w:tc>
          <w:tcPr>
            <w:tcW w:type="dxa" w:w="16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9 meses</w:t>
            </w:r>
          </w:p>
        </w:tc>
        <w:tc>
          <w:tcPr>
            <w:tcW w:type="dxa" w:w="200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~45</w:t>
            </w:r>
          </w:p>
        </w:tc>
        <w:tc>
          <w:tcPr>
            <w:tcW w:type="dxa" w:w="4060"/>
            <w:tcBorders>
              <w:top w:val="single" w:color="CCCCCC" w:sz="1"/>
              <w:left w:val="single" w:color="CCCCCC" w:sz="1"/>
              <w:bottom w:val="single" w:color="CCCCCC" w:sz="1"/>
              <w:right w:val="single" w:color="CCCCCC" w:sz="1"/>
            </w:tcBorders>
            <w:tcMar>
              <w:top w:type="dxa" w:w="56"/>
              <w:left w:type="dxa" w:w="100"/>
              <w:bottom w:type="dxa" w:w="56"/>
              <w:right w:type="dxa" w:w="100"/>
            </w:tcMar>
          </w:tcPr>
          <w:p>
            <w:r>
              <w:rPr>
                <w:sz w:val="17"/>
                <w:szCs w:val="17"/>
              </w:rPr>
              <w:t xml:space="preserve">Alta — expansión y ecosistema</w:t>
            </w:r>
          </w:p>
        </w:tc>
      </w:tr>
    </w:tbl>
    <w:p>
      <w:pPr>
        <w:spacing w:after="140"/>
      </w:pPr>
    </w:p>
    <w:p>
      <w:pPr>
        <w:spacing w:after="140"/>
      </w:pPr>
      <w:r>
        <w:t xml:space="preserve">Además del equipo: infraestructura cloud (crece con los tenants, gestionada con FinOps), certificaciones (SOC 2/ISO), licencias y partners de hardware, y marketing/ventas por región. La financiación se alinea a las fases: capital semilla para 0-1, Serie A para 2, Serie B para 3-4.</w:t>
      </w:r>
    </w:p>
    <w:p>
      <w:pPr>
        <w:pStyle w:val="Heading1"/>
        <w:pageBreakBefore/>
      </w:pPr>
      <w:r>
        <w:t xml:space="preserve">14. Estrategia de lanzamiento por mercado</w:t>
      </w:r>
    </w:p>
    <w:p>
      <w:pPr>
        <w:pStyle w:val="ListParagraph"/>
        <w:numPr>
          <w:ilvl w:val="0"/>
          <w:numId w:val="2"/>
        </w:numPr>
        <w:spacing w:after="60"/>
      </w:pPr>
      <w:r>
        <w:t xml:space="preserve"/>
      </w:r>
      <w:r>
        <w:rPr>
          <w:b/>
          <w:bCs/>
        </w:rPr>
        <w:t xml:space="preserve">Fase 1:</w:t>
      </w:r>
      <w:r>
        <w:t xml:space="preserve"> 2 países piloto (uno de LatAm por su offline-first agresivo, uno anglófono para validar el mercado premium).</w:t>
      </w:r>
    </w:p>
    <w:p>
      <w:pPr>
        <w:pStyle w:val="ListParagraph"/>
        <w:numPr>
          <w:ilvl w:val="0"/>
          <w:numId w:val="2"/>
        </w:numPr>
        <w:spacing w:after="60"/>
      </w:pPr>
      <w:r>
        <w:t xml:space="preserve"/>
      </w:r>
      <w:r>
        <w:rPr>
          <w:b/>
          <w:bCs/>
        </w:rPr>
        <w:t xml:space="preserve">Fase 2:</w:t>
      </w:r>
      <w:r>
        <w:t xml:space="preserve"> expansión regional (célula LatAm) con la normativa y las pasarelas locales.</w:t>
      </w:r>
    </w:p>
    <w:p>
      <w:pPr>
        <w:pStyle w:val="ListParagraph"/>
        <w:numPr>
          <w:ilvl w:val="0"/>
          <w:numId w:val="2"/>
        </w:numPr>
        <w:spacing w:after="60"/>
      </w:pPr>
      <w:r>
        <w:t xml:space="preserve"/>
      </w:r>
      <w:r>
        <w:rPr>
          <w:b/>
          <w:bCs/>
        </w:rPr>
        <w:t xml:space="preserve">Fase 3:</w:t>
      </w:r>
      <w:r>
        <w:t xml:space="preserve"> segunda región (Norteamérica), certificaciones que habilitan cuentas enterprise.</w:t>
      </w:r>
    </w:p>
    <w:p>
      <w:pPr>
        <w:pStyle w:val="ListParagraph"/>
        <w:numPr>
          <w:ilvl w:val="0"/>
          <w:numId w:val="2"/>
        </w:numPr>
        <w:spacing w:after="60"/>
      </w:pPr>
      <w:r>
        <w:t xml:space="preserve"/>
      </w:r>
      <w:r>
        <w:rPr>
          <w:b/>
          <w:bCs/>
        </w:rPr>
        <w:t xml:space="preserve">Fase 4:</w:t>
      </w:r>
      <w:r>
        <w:t xml:space="preserve"> Europa y Oceanía (células 3 y 4), compitiendo de frente con AgriWebb/CattleMax en sus mercados.</w:t>
      </w:r>
    </w:p>
    <w:p>
      <w:pPr>
        <w:pStyle w:val="ListParagraph"/>
        <w:numPr>
          <w:ilvl w:val="0"/>
          <w:numId w:val="2"/>
        </w:numPr>
        <w:spacing w:after="60"/>
      </w:pPr>
      <w:r>
        <w:t xml:space="preserve">En todos: entrada por el productor individual y la cooperativa (white-label), y crecimiento hacia el grupo agroindustrial.</w:t>
      </w:r>
    </w:p>
    <w:p>
      <w:pPr>
        <w:pStyle w:val="Heading1"/>
        <w:pageBreakBefore/>
      </w:pPr>
      <w:r>
        <w:t xml:space="preserve">15. Resumen</w:t>
      </w:r>
    </w:p>
    <w:p>
      <w:pPr>
        <w:spacing w:after="140"/>
      </w:pPr>
      <w:r>
        <w:t xml:space="preserve">El roadmap construye Cowinance en cinco fases y ~36 meses, atacando el riesgo técnico primero (la sincronización offline en la Fase 0), entregando valor en el campo temprano (un MVP usable en manga en la Fase 1), y expandiéndose luego a un ERP completo (Fase 2), a la inteligencia y el IoT (Fase 3) y al ecosistema global con marketplace, drones y gemelo digital (Fase 4). Los 40 módulos se entregan de forma incremental, el equipo crece de ~10 a ~45 personas alineado a los ingresos, la ruta crítica respeta las dependencias (identidad y sync antes que todo; datos antes que IA), y cada fase tiene métricas de éxito que gobiernan el avance. Se lanza pronto, se mide y se aprende — para que la plataforma gane usuarios y refine su producto mientras se construye, en lugar de un big bang a los tres años. La visión completa se alcanza al mes 36, con presencia en las cuatro regiones ganaderas clave del mundo.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Roadmap de Construcción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6B54"/>
      <w:sz w:val="23"/>
      <w:szCs w:val="23"/>
    </w:rPr>
  </w:style>
  <w:style w:type="paragraph" w:styleId="Heading3">
    <w:name w:val="Heading 3"/>
    <w:basedOn w:val="Normal"/>
    <w:next w:val="Normal"/>
    <w:qFormat/>
    <w:pPr>
      <w:spacing w:after="80" w:before="15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2026-07-03T21:22:30.761Z</dcterms:created>
  <dcterms:modified xsi:type="dcterms:W3CDTF">2026-07-03T21:22:30.761Z</dcterms:modified>
</cp:coreProperties>
</file>

<file path=docProps/custom.xml><?xml version="1.0" encoding="utf-8"?>
<Properties xmlns="http://schemas.openxmlformats.org/officeDocument/2006/custom-properties" xmlns:vt="http://schemas.openxmlformats.org/officeDocument/2006/docPropsVTypes"/>
</file>