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32"/>
          <w:szCs w:val="32"/>
        </w:rPr>
        <w:t xml:space="preserve">Reactive Ground Rover Navigation via Recurrent Reinforcement Learning with 360° Lidar</w:t>
      </w:r>
    </w:p>
    <w:p>
      <w:pPr>
        <w:spacing w:after="60" w:before="0"/>
        <w:jc w:val="center"/>
      </w:pPr>
      <w:r>
        <w:rPr>
          <w:rFonts w:ascii="Arial" w:cs="Arial" w:eastAsia="Arial" w:hAnsi="Arial"/>
          <w:sz w:val="20"/>
          <w:szCs w:val="20"/>
        </w:rPr>
        <w:t xml:space="preserve">Yusuf Saib  ·  Astral</w:t>
      </w:r>
    </w:p>
    <w:p>
      <w:pPr>
        <w:pBdr>
          <w:bottom w:val="single" w:color="1F3864" w:sz="6" w:space="1"/>
        </w:pBdr>
        <w:spacing w:after="120" w:before="120"/>
      </w:pPr>
      <w:r>
        <w:t xml:space="preserve"/>
      </w:r>
    </w:p>
    <w:p>
      <w:pPr>
        <w:spacing w:after="60" w:before="140"/>
      </w:pPr>
      <w:r>
        <w:rPr>
          <w:rFonts w:ascii="Arial" w:cs="Arial" w:eastAsia="Arial" w:hAnsi="Arial"/>
          <w:b/>
          <w:bCs/>
          <w:sz w:val="20"/>
          <w:szCs w:val="20"/>
        </w:rPr>
        <w:t xml:space="preserve">Abstract — </w:t>
      </w:r>
      <w:r>
        <w:rPr>
          <w:rFonts w:ascii="Arial" w:cs="Arial" w:eastAsia="Arial" w:hAnsi="Arial"/>
          <w:sz w:val="20"/>
          <w:szCs w:val="20"/>
        </w:rPr>
        <w:t xml:space="preserve">We present a learned reactive navigation policy for differential-drive ground robots that achieves zero-collision traversal of cluttered environments and multi-wall mazes using only 360° lidar and odometry — no map, no global planner, no demonstrations. The policy is a recurrent actor-critic (GRU, hidden size 256) trained with Proximal Policy Optimisation (PPO) across 512 parallel GPU-vectorised environments. A four-stage curriculum advances from open-field goal-seeking to dense obstacle fields and tight slalom gauntlets, with domain randomisation covering wheel lag, control latency, sensor noise, and heading drift throughout. Training from scratch requires approximately 30 minutes on a dual-RTX-5090 workstation. The exported ONNX policy weighs 4.6 KB and runs in carry-state step-mode — a single 83-dimensional observation plus a 256-float GRU hidden state per call — enabling 10 Hz deployment on a Jetson Orin Nano with negligible compute overhead. Evaluated on six named courses across 20 noisy trials each (RPLidar noise σ=0.05 m, odometry σ=0.10 m), the policy achieves 100% goal-reach with zero collisions across 120 trials. A Vector Field Histogram (VFH) baseline run on identical conditions achieves 83% reach (100/120) and fails entirely on cluttered fields (0/20 reach, 20/20 collisions), demonstrating a qualitative capability gap in dense, unstructured environments. We report the full reward formulation, curriculum schedule, architecture, and training dynamics, and release all code for reproducibility.</w:t>
      </w:r>
    </w:p>
    <w:p>
      <w:pPr>
        <w:spacing w:after="140" w:before="60"/>
      </w:pPr>
      <w:r>
        <w:rPr>
          <w:rFonts w:ascii="Arial" w:cs="Arial" w:eastAsia="Arial" w:hAnsi="Arial"/>
          <w:b/>
          <w:bCs/>
          <w:sz w:val="20"/>
          <w:szCs w:val="20"/>
        </w:rPr>
        <w:t xml:space="preserve">Keywords — </w:t>
      </w:r>
      <w:r>
        <w:rPr>
          <w:rFonts w:ascii="Arial" w:cs="Arial" w:eastAsia="Arial" w:hAnsi="Arial"/>
          <w:sz w:val="20"/>
          <w:szCs w:val="20"/>
        </w:rPr>
        <w:t xml:space="preserve">mobile robot navigation, reinforcement learning, recurrent policy, lidar, obstacle avoidance, sim-to-real, curriculum learning</w:t>
      </w:r>
    </w:p>
    <w:p>
      <w:pPr>
        <w:pBdr>
          <w:bottom w:val="single" w:color="1F3864" w:sz="6" w:space="1"/>
        </w:pBdr>
        <w:spacing w:after="120" w:before="120"/>
      </w:pPr>
      <w:r>
        <w:t xml:space="preserve"/>
      </w:r>
    </w:p>
    <w:p>
      <w:pPr>
        <w:spacing w:after="80" w:before="200"/>
      </w:pPr>
      <w:r>
        <w:rPr>
          <w:rFonts w:ascii="Arial" w:cs="Arial" w:eastAsia="Arial" w:hAnsi="Arial"/>
          <w:b/>
          <w:bCs/>
          <w:caps/>
          <w:color w:val="1F3864"/>
          <w:sz w:val="22"/>
          <w:szCs w:val="22"/>
        </w:rPr>
        <w:t xml:space="preserve">I. Introduction</w:t>
      </w:r>
    </w:p>
    <w:p>
      <w:pPr>
        <w:spacing w:after="60" w:before="60" w:line="276"/>
      </w:pPr>
      <w:r>
        <w:rPr>
          <w:rFonts w:ascii="Arial" w:cs="Arial" w:eastAsia="Arial" w:hAnsi="Arial"/>
          <w:sz w:val="20"/>
          <w:szCs w:val="20"/>
        </w:rPr>
        <w:t xml:space="preserve">Reactive obstacle avoidance for ground robots is a fundamental problem in mobile robotics: given only onboard sensors, navigate from a start pose to a goal without hitting anything. Classical approaches — Vector Field Histogram [1], Dynamic Window Approach [2], and their descendants — build explicit local representations of free space and select actions by optimising hand-crafted cost functions. They are interpretable and fast, but their performance degrades in dense, cluttered environments where the histogram is ambiguous and local minima are common.</w:t>
      </w:r>
    </w:p>
    <w:p>
      <w:pPr>
        <w:spacing w:after="60" w:before="60" w:line="276"/>
      </w:pPr>
      <w:r>
        <w:rPr>
          <w:rFonts w:ascii="Arial" w:cs="Arial" w:eastAsia="Arial" w:hAnsi="Arial"/>
          <w:sz w:val="20"/>
          <w:szCs w:val="20"/>
        </w:rPr>
        <w:t xml:space="preserve">Learning-based methods offer an alternative: replace the hand-crafted planner with a policy trained to maximise cumulative reward, letting the agent discover avoidance strategies without requiring a closed-form model of the environment. Recent work has demonstrated effective learned navigation from cameras [3], lidar [4, 5], and fused representations [6], but often requires large offline datasets, human demonstrations, or map-based auxiliary objectives.</w:t>
      </w:r>
    </w:p>
    <w:p>
      <w:pPr>
        <w:spacing w:after="60" w:before="60" w:line="276"/>
      </w:pPr>
      <w:r>
        <w:rPr>
          <w:rFonts w:ascii="Arial" w:cs="Arial" w:eastAsia="Arial" w:hAnsi="Arial"/>
          <w:sz w:val="20"/>
          <w:szCs w:val="20"/>
        </w:rPr>
        <w:t xml:space="preserve">This paper asks: how far can a purely reactive policy go — one that sees only lidar ranges and a body-frame goal vector, carries no map, and was trained with no demonstrations? Our answer is: surprisingly far. We present a lightweight recurrent PPO agent that trains end-to-end in 30 minutes and navigates six qualitatively distinct 2D obstacle courses, including tight-gap traversal and four-room maze exploration, with 100% success and zero collisions under realistic sensor noise.</w:t>
      </w:r>
    </w:p>
    <w:p>
      <w:pPr>
        <w:spacing w:after="40" w:before="100" w:line="276"/>
        <w:jc w:val="left"/>
      </w:pPr>
      <w:r>
        <w:rPr>
          <w:rFonts w:ascii="Arial" w:cs="Arial" w:eastAsia="Arial" w:hAnsi="Arial"/>
          <w:b/>
          <w:bCs/>
          <w:sz w:val="20"/>
          <w:szCs w:val="20"/>
        </w:rPr>
        <w:t xml:space="preserve">Contributions:</w:t>
      </w:r>
    </w:p>
    <w:p>
      <w:pPr>
        <w:pStyle w:val="ListParagraph"/>
        <w:numPr>
          <w:ilvl w:val="0"/>
          <w:numId w:val="2"/>
        </w:numPr>
        <w:spacing w:after="40" w:before="40" w:line="276"/>
      </w:pPr>
      <w:r>
        <w:rPr>
          <w:rFonts w:ascii="Arial" w:cs="Arial" w:eastAsia="Arial" w:hAnsi="Arial"/>
          <w:sz w:val="20"/>
          <w:szCs w:val="20"/>
        </w:rPr>
        <w:t xml:space="preserve">A complete, reproducible training recipe for reactive ground rover navigation: reward formulation, four-stage curriculum, domain randomisation schedule, architecture, and ONNX deployment format.</w:t>
      </w:r>
    </w:p>
    <w:p>
      <w:pPr>
        <w:pStyle w:val="ListParagraph"/>
        <w:numPr>
          <w:ilvl w:val="0"/>
          <w:numId w:val="2"/>
        </w:numPr>
        <w:spacing w:after="40" w:before="40" w:line="276"/>
      </w:pPr>
      <w:r>
        <w:rPr>
          <w:rFonts w:ascii="Arial" w:cs="Arial" w:eastAsia="Arial" w:hAnsi="Arial"/>
          <w:sz w:val="20"/>
          <w:szCs w:val="20"/>
        </w:rPr>
        <w:t xml:space="preserve">Empirical demonstration that a recurrent policy (GRU) substantially outperforms a reactive analytic baseline (VFH) on dense obstacle fields, while matching it on structured courses — with a 4.6 KB policy that runs at 10 Hz on edge hardware.</w:t>
      </w:r>
    </w:p>
    <w:p>
      <w:pPr>
        <w:pStyle w:val="ListParagraph"/>
        <w:numPr>
          <w:ilvl w:val="0"/>
          <w:numId w:val="2"/>
        </w:numPr>
        <w:spacing w:after="40" w:before="40" w:line="276"/>
      </w:pPr>
      <w:r>
        <w:rPr>
          <w:rFonts w:ascii="Arial" w:cs="Arial" w:eastAsia="Arial" w:hAnsi="Arial"/>
          <w:sz w:val="20"/>
          <w:szCs w:val="20"/>
        </w:rPr>
        <w:t xml:space="preserve">Analysis of the training dynamics: the policy reaches 100% success at deployment despite training-time reach of only 45–56% on the hardest curriculum stage, suggesting that hard-stage curriculum training builds robustness beyond what in-training metrics reveal.</w:t>
      </w:r>
    </w:p>
    <w:p>
      <w:pPr>
        <w:pStyle w:val="ListParagraph"/>
        <w:numPr>
          <w:ilvl w:val="0"/>
          <w:numId w:val="2"/>
        </w:numPr>
        <w:spacing w:after="40" w:before="40" w:line="276"/>
      </w:pPr>
      <w:r>
        <w:rPr>
          <w:rFonts w:ascii="Arial" w:cs="Arial" w:eastAsia="Arial" w:hAnsi="Arial"/>
          <w:sz w:val="20"/>
          <w:szCs w:val="20"/>
        </w:rPr>
        <w:t xml:space="preserve">A characterisation of key design decisions — 360° vs. forward lidar, GRU vs. MLP, separate actor/critic recurrent states — with qualitative evidence for each.</w:t>
      </w:r>
    </w:p>
    <w:p>
      <w:pPr>
        <w:spacing w:after="80" w:before="200"/>
      </w:pPr>
      <w:r>
        <w:rPr>
          <w:rFonts w:ascii="Arial" w:cs="Arial" w:eastAsia="Arial" w:hAnsi="Arial"/>
          <w:b/>
          <w:bCs/>
          <w:caps/>
          <w:color w:val="1F3864"/>
          <w:sz w:val="22"/>
          <w:szCs w:val="22"/>
        </w:rPr>
        <w:t xml:space="preserve">II. Related Work</w:t>
      </w:r>
    </w:p>
    <w:p>
      <w:pPr>
        <w:spacing w:after="60" w:before="140"/>
        <w:ind w:left="0"/>
      </w:pPr>
      <w:r>
        <w:rPr>
          <w:rFonts w:ascii="Arial" w:cs="Arial" w:eastAsia="Arial" w:hAnsi="Arial"/>
          <w:b/>
          <w:bCs/>
          <w:sz w:val="20"/>
          <w:szCs w:val="20"/>
        </w:rPr>
        <w:t xml:space="preserve">A. Classical Reactive Navigation</w:t>
      </w:r>
    </w:p>
    <w:p>
      <w:pPr>
        <w:spacing w:after="60" w:before="60" w:line="276"/>
      </w:pPr>
      <w:r>
        <w:rPr>
          <w:rFonts w:ascii="Arial" w:cs="Arial" w:eastAsia="Arial" w:hAnsi="Arial"/>
          <w:sz w:val="20"/>
          <w:szCs w:val="20"/>
        </w:rPr>
        <w:t xml:space="preserve">The Vector Field Histogram [1] and its successor VFH+ [7] represent the dominant analytic reactive planning family: a polar obstacle-density histogram is built from sonar or lidar data, free sectors are identified by thresholding, and the planner steers toward the sector nearest the goal direction. The Dynamic Window Approach [2] instead samples feasible velocity commands and selects those maximising a composite score of goal alignment, clearance, and speed. Both methods are memoryless — they act on the current sensor snapshot — and are susceptible to local minima in dense or symmetric environments.</w:t>
      </w:r>
    </w:p>
    <w:p>
      <w:pPr>
        <w:spacing w:after="60" w:before="140"/>
        <w:ind w:left="0"/>
      </w:pPr>
      <w:r>
        <w:rPr>
          <w:rFonts w:ascii="Arial" w:cs="Arial" w:eastAsia="Arial" w:hAnsi="Arial"/>
          <w:b/>
          <w:bCs/>
          <w:sz w:val="20"/>
          <w:szCs w:val="20"/>
        </w:rPr>
        <w:t xml:space="preserve">B. Learned Navigation with Lidar</w:t>
      </w:r>
    </w:p>
    <w:p>
      <w:pPr>
        <w:spacing w:after="60" w:before="60" w:line="276"/>
      </w:pPr>
      <w:r>
        <w:rPr>
          <w:rFonts w:ascii="Arial" w:cs="Arial" w:eastAsia="Arial" w:hAnsi="Arial"/>
          <w:sz w:val="20"/>
          <w:szCs w:val="20"/>
        </w:rPr>
        <w:t xml:space="preserve">Tai et al. [4] demonstrated sim-to-real transfer of a lidar-conditioned policy for hallway navigation using an asynchronous deep RL framework. Zhelo et al. [5] combined intrinsic curiosity with a lidar-based policy for exploration. Neither work evaluates against analytic baselines on identical courses, nor reports systematic noise stress-tests. Our work contributes a direct comparison with VFH on shared, reproducible courses under matched noise.</w:t>
      </w:r>
    </w:p>
    <w:p>
      <w:pPr>
        <w:spacing w:after="60" w:before="140"/>
        <w:ind w:left="0"/>
      </w:pPr>
      <w:r>
        <w:rPr>
          <w:rFonts w:ascii="Arial" w:cs="Arial" w:eastAsia="Arial" w:hAnsi="Arial"/>
          <w:b/>
          <w:bCs/>
          <w:sz w:val="20"/>
          <w:szCs w:val="20"/>
        </w:rPr>
        <w:t xml:space="preserve">C. Recurrent Policies for Partial Observability</w:t>
      </w:r>
    </w:p>
    <w:p>
      <w:pPr>
        <w:spacing w:after="60" w:before="60" w:line="276"/>
      </w:pPr>
      <w:r>
        <w:rPr>
          <w:rFonts w:ascii="Arial" w:cs="Arial" w:eastAsia="Arial" w:hAnsi="Arial"/>
          <w:sz w:val="20"/>
          <w:szCs w:val="20"/>
        </w:rPr>
        <w:t xml:space="preserve">The benefits of recurrent policies for partially observable navigation have been established in simulation [8, 9] and increasingly on physical hardware [10]. Our work confirms that GRU memory is beneficial even for a ground rover with 360° sensing: the history encodes velocity integration and past heading choices, enabling the policy to break symmetry in locally ambiguous scenes and recover from near-miss states.</w:t>
      </w:r>
    </w:p>
    <w:p>
      <w:pPr>
        <w:spacing w:after="60" w:before="140"/>
        <w:ind w:left="0"/>
      </w:pPr>
      <w:r>
        <w:rPr>
          <w:rFonts w:ascii="Arial" w:cs="Arial" w:eastAsia="Arial" w:hAnsi="Arial"/>
          <w:b/>
          <w:bCs/>
          <w:sz w:val="20"/>
          <w:szCs w:val="20"/>
        </w:rPr>
        <w:t xml:space="preserve">D. Curriculum and Domain Randomisation for Sim-to-Real</w:t>
      </w:r>
    </w:p>
    <w:p>
      <w:pPr>
        <w:spacing w:after="60" w:before="60" w:line="276"/>
      </w:pPr>
      <w:r>
        <w:rPr>
          <w:rFonts w:ascii="Arial" w:cs="Arial" w:eastAsia="Arial" w:hAnsi="Arial"/>
          <w:sz w:val="20"/>
          <w:szCs w:val="20"/>
        </w:rPr>
        <w:t xml:space="preserve">Curriculum learning [11] and domain randomisation [12] are now standard ingredients in robot learning. We apply both principles to reactive navigation, scheduling domain randomisation to activate only after the base policy is stable, and advancing curriculum stages at fixed fractional milestones rather than adaptive thresholds.</w:t>
      </w:r>
    </w:p>
    <w:p>
      <w:pPr>
        <w:spacing w:after="80" w:before="200"/>
      </w:pPr>
      <w:r>
        <w:rPr>
          <w:rFonts w:ascii="Arial" w:cs="Arial" w:eastAsia="Arial" w:hAnsi="Arial"/>
          <w:b/>
          <w:bCs/>
          <w:caps/>
          <w:color w:val="1F3864"/>
          <w:sz w:val="22"/>
          <w:szCs w:val="22"/>
        </w:rPr>
        <w:t xml:space="preserve">III. Problem Formulation</w:t>
      </w:r>
    </w:p>
    <w:p>
      <w:pPr>
        <w:spacing w:after="60" w:before="60" w:line="276"/>
      </w:pPr>
      <w:r>
        <w:rPr>
          <w:rFonts w:ascii="Arial" w:cs="Arial" w:eastAsia="Arial" w:hAnsi="Arial"/>
          <w:sz w:val="20"/>
          <w:szCs w:val="20"/>
        </w:rPr>
        <w:t xml:space="preserve">We consider a differential-drive ground robot (the "rover") operating in a 2D planar environment cluttered with axis-aligned box obstacles. At each timestep t, the rover receives a 360° lidar scan l_t ∈ ℝ⁷², body-frame odometry (v_t, ω_t), and a body-frame vector to a fixed goal g_t ∈ ℝ². It outputs a velocity command a_t = [v_cmd, ω_cmd] that is applied via unicycle integration.</w:t>
      </w:r>
    </w:p>
    <w:p>
      <w:pPr>
        <w:spacing w:after="60" w:before="60" w:line="276"/>
      </w:pPr>
      <w:r>
        <w:rPr>
          <w:rFonts w:ascii="Arial" w:cs="Arial" w:eastAsia="Arial" w:hAnsi="Arial"/>
          <w:sz w:val="20"/>
          <w:szCs w:val="20"/>
        </w:rPr>
        <w:t xml:space="preserve">The goal is to find a policy π that navigates from any start pose within a training distribution to the goal within a time budget, while maintaining a minimum clearance d_min &gt; r_body from all obstacles. The policy must be purely reactive: it has no access to a map, no prior knowledge of obstacle geometry, and no global planner. At deployment, the full observation history is summarised in the GRU hidden state h_t carried across calls.</w:t>
      </w:r>
    </w:p>
    <w:p>
      <w:pPr>
        <w:spacing w:after="80" w:before="200"/>
      </w:pPr>
      <w:r>
        <w:rPr>
          <w:rFonts w:ascii="Arial" w:cs="Arial" w:eastAsia="Arial" w:hAnsi="Arial"/>
          <w:b/>
          <w:bCs/>
          <w:caps/>
          <w:color w:val="1F3864"/>
          <w:sz w:val="22"/>
          <w:szCs w:val="22"/>
        </w:rPr>
        <w:t xml:space="preserve">IV. Method</w:t>
      </w:r>
    </w:p>
    <w:p>
      <w:pPr>
        <w:spacing w:after="60" w:before="140"/>
        <w:ind w:left="0"/>
      </w:pPr>
      <w:r>
        <w:rPr>
          <w:rFonts w:ascii="Arial" w:cs="Arial" w:eastAsia="Arial" w:hAnsi="Arial"/>
          <w:b/>
          <w:bCs/>
          <w:sz w:val="20"/>
          <w:szCs w:val="20"/>
        </w:rPr>
        <w:t xml:space="preserve">A. Observation Space</w:t>
      </w:r>
    </w:p>
    <w:p>
      <w:pPr>
        <w:spacing w:after="60" w:before="60" w:line="276"/>
      </w:pPr>
      <w:r>
        <w:rPr>
          <w:rFonts w:ascii="Arial" w:cs="Arial" w:eastAsia="Arial" w:hAnsi="Arial"/>
          <w:sz w:val="20"/>
          <w:szCs w:val="20"/>
        </w:rPr>
        <w:t xml:space="preserve">The 83-dimensional observation vector (body frame) is:</w:t>
      </w:r>
    </w:p>
    <w:p>
      <w:pPr>
        <w:spacing w:after="40" w:before="40"/>
        <w:ind w:left="560"/>
      </w:pPr>
      <w:r>
        <w:rPr>
          <w:rFonts w:ascii="Courier New" w:cs="Courier New" w:eastAsia="Courier New" w:hAnsi="Courier New"/>
          <w:sz w:val="18"/>
          <w:szCs w:val="18"/>
        </w:rPr>
        <w:t xml:space="preserve">s_t = [ g_fwd, g_left, 0, ‖g_t‖, v_t, 0, 0, ψ_err, ω_t, 0, 1.0, l_t[0], …, l_t[71] ]</w:t>
      </w:r>
    </w:p>
    <w:p>
      <w:pPr>
        <w:spacing w:after="60" w:before="60" w:line="276"/>
      </w:pPr>
      <w:r>
        <w:rPr>
          <w:rFonts w:ascii="Arial" w:cs="Arial" w:eastAsia="Arial" w:hAnsi="Arial"/>
          <w:sz w:val="20"/>
          <w:szCs w:val="20"/>
        </w:rPr>
        <w:t xml:space="preserve">where g_fwd and g_left are body-frame goal components, ψ_err ∈ (−π, π] is the heading error to the goal, and l_t[i] is the range of the i-th lidar ray (72 rays at 5° spacing, capped at 10 m). Mean/std normalisation constants are baked into the ONNX graph at export so callers pass raw unnormalised observations.</w:t>
      </w:r>
    </w:p>
    <w:p>
      <w:pPr>
        <w:spacing w:after="60" w:before="140"/>
        <w:ind w:left="0"/>
      </w:pPr>
      <w:r>
        <w:rPr>
          <w:rFonts w:ascii="Arial" w:cs="Arial" w:eastAsia="Arial" w:hAnsi="Arial"/>
          <w:b/>
          <w:bCs/>
          <w:sz w:val="20"/>
          <w:szCs w:val="20"/>
        </w:rPr>
        <w:t xml:space="preserve">B. Action Space</w:t>
      </w:r>
    </w:p>
    <w:p>
      <w:pPr>
        <w:spacing w:after="60" w:before="60" w:line="276"/>
      </w:pPr>
      <w:r>
        <w:rPr>
          <w:rFonts w:ascii="Arial" w:cs="Arial" w:eastAsia="Arial" w:hAnsi="Arial"/>
          <w:sz w:val="20"/>
          <w:szCs w:val="20"/>
        </w:rPr>
        <w:t xml:space="preserve">The two-dimensional continuous action a_t = [v_cmd, ω_cmd] maps directly to a ROS2 /cmd_vel Twist message, clipped to v ∈ [−2.0, 2.0] m/s and ω ∈ [−2.0, 2.0] rad/s. This matches unicycle kinematics exactly — no lateral velocity, no altitude — reducing exploration dimensionality and eliminating the need for a kinematic projection layer.</w:t>
      </w:r>
    </w:p>
    <w:p>
      <w:pPr>
        <w:spacing w:after="60" w:before="140"/>
        <w:ind w:left="0"/>
      </w:pPr>
      <w:r>
        <w:rPr>
          <w:rFonts w:ascii="Arial" w:cs="Arial" w:eastAsia="Arial" w:hAnsi="Arial"/>
          <w:b/>
          <w:bCs/>
          <w:sz w:val="20"/>
          <w:szCs w:val="20"/>
        </w:rPr>
        <w:t xml:space="preserve">C. Reward Function</w:t>
      </w:r>
    </w:p>
    <w:p>
      <w:pPr>
        <w:spacing w:after="60" w:before="60" w:line="276"/>
      </w:pPr>
      <w:r>
        <w:rPr>
          <w:rFonts w:ascii="Arial" w:cs="Arial" w:eastAsia="Arial" w:hAnsi="Arial"/>
          <w:sz w:val="20"/>
          <w:szCs w:val="20"/>
        </w:rPr>
        <w:t xml:space="preserve">The per-timestep reward is:</w:t>
      </w:r>
    </w:p>
    <w:p>
      <w:pPr>
        <w:spacing w:after="40" w:before="40"/>
        <w:ind w:left="560"/>
      </w:pPr>
      <w:r>
        <w:rPr>
          <w:rFonts w:ascii="Courier New" w:cs="Courier New" w:eastAsia="Courier New" w:hAnsi="Courier New"/>
          <w:sz w:val="18"/>
          <w:szCs w:val="18"/>
        </w:rPr>
        <w:t xml:space="preserve">r_t = k_prog·Δd − k_time − k_jerk·‖Δa‖ − k_stall·1[v&lt;0.2]</w:t>
      </w:r>
    </w:p>
    <w:p>
      <w:pPr>
        <w:spacing w:after="40" w:before="40"/>
        <w:ind w:left="560"/>
      </w:pPr>
      <w:r>
        <w:rPr>
          <w:rFonts w:ascii="Courier New" w:cs="Courier New" w:eastAsia="Courier New" w:hAnsi="Courier New"/>
          <w:sz w:val="18"/>
          <w:szCs w:val="18"/>
        </w:rPr>
        <w:t xml:space="preserve">    − k_clear·max(0, m−d_min) + k_goal·1[reached]</w:t>
      </w:r>
    </w:p>
    <w:p>
      <w:pPr>
        <w:spacing w:after="40" w:before="40"/>
        <w:ind w:left="560"/>
      </w:pPr>
      <w:r>
        <w:rPr>
          <w:rFonts w:ascii="Courier New" w:cs="Courier New" w:eastAsia="Courier New" w:hAnsi="Courier New"/>
          <w:sz w:val="18"/>
          <w:szCs w:val="18"/>
        </w:rPr>
        <w:t xml:space="preserve">    − k_coll·1[collision]     − k_to·1[timeout]</w:t>
      </w:r>
    </w:p>
    <w:p>
      <w:pPr>
        <w:spacing w:after="60" w:before="60" w:line="276"/>
      </w:pPr>
      <w:r>
        <w:rPr>
          <w:rFonts w:ascii="Arial" w:cs="Arial" w:eastAsia="Arial" w:hAnsi="Arial"/>
          <w:sz w:val="20"/>
          <w:szCs w:val="20"/>
        </w:rPr>
        <w:t xml:space="preserve">Weights: k_prog=1.5, k_time=0.03, k_jerk=0.003, k_stall=0.3, k_clear=0.6, margin m=0.5 m, k_goal=40, k_coll=25, k_to=10.</w:t>
      </w:r>
    </w:p>
    <w:p>
      <w:pPr>
        <w:spacing w:after="60" w:before="60" w:line="276"/>
      </w:pPr>
      <w:r>
        <w:rPr>
          <w:rFonts w:ascii="Arial" w:cs="Arial" w:eastAsia="Arial" w:hAnsi="Arial"/>
          <w:sz w:val="20"/>
          <w:szCs w:val="20"/>
        </w:rPr>
        <w:t xml:space="preserve">The proximity penalty (k_clear) is the critical term for clearance behaviour: it fires a running per-tick cost whenever minimum obstacle clearance drops below m=0.5 m, well before the collision threshold of 0.3 m. Without it the policy learns to graze obstacles (collision only fires at contact). With it, the policy maintains buffer distances as a systematic strategy, visible in the minimum clearances of Table II.</w:t>
      </w:r>
    </w:p>
    <w:p>
      <w:pPr>
        <w:spacing w:after="60" w:before="140"/>
        <w:ind w:left="0"/>
      </w:pPr>
      <w:r>
        <w:rPr>
          <w:rFonts w:ascii="Arial" w:cs="Arial" w:eastAsia="Arial" w:hAnsi="Arial"/>
          <w:b/>
          <w:bCs/>
          <w:sz w:val="20"/>
          <w:szCs w:val="20"/>
        </w:rPr>
        <w:t xml:space="preserve">D. Architecture</w:t>
      </w:r>
    </w:p>
    <w:p>
      <w:pPr>
        <w:spacing w:after="60" w:before="60" w:line="276"/>
      </w:pPr>
      <w:r>
        <w:rPr>
          <w:rFonts w:ascii="Arial" w:cs="Arial" w:eastAsia="Arial" w:hAnsi="Arial"/>
          <w:sz w:val="20"/>
          <w:szCs w:val="20"/>
        </w:rPr>
        <w:t xml:space="preserve">The policy is a separate actor-critic recurrent network. Each branch has a GRU (hidden size 256) feeding a two-layer MLP (256→256→out). The action distribution is Gaussian with a learned (state-independent) log-std. Total parameters: 656,133. Separate actor and critic GRU states are critical: shared trunks allow value-function gradients to corrupt policy obstacle representations, causing training instability across seeds.</w:t>
      </w:r>
    </w:p>
    <w:p>
      <w:pPr>
        <w:spacing w:after="60" w:before="140"/>
        <w:ind w:left="0"/>
      </w:pPr>
      <w:r>
        <w:rPr>
          <w:rFonts w:ascii="Arial" w:cs="Arial" w:eastAsia="Arial" w:hAnsi="Arial"/>
          <w:b/>
          <w:bCs/>
          <w:sz w:val="20"/>
          <w:szCs w:val="20"/>
        </w:rPr>
        <w:t xml:space="preserve">E. Curriculum and Domain Randomisation</w:t>
      </w:r>
    </w:p>
    <w:p>
      <w:pPr>
        <w:spacing w:after="60" w:before="60" w:line="276"/>
      </w:pPr>
      <w:r>
        <w:rPr>
          <w:rFonts w:ascii="Arial" w:cs="Arial" w:eastAsia="Arial" w:hAnsi="Arial"/>
          <w:sz w:val="20"/>
          <w:szCs w:val="20"/>
        </w:rPr>
        <w:t xml:space="preserve">Training uses a four-stage curriculum keyed to training progress (Table I). Domain randomisation (DR) is withheld until Stage 2 is stable and ramped to full scale by 70% of total iterations. DR parameters: wheel lag (τ ∈ [0.1, 0.3] s first-order filter), control latency (1–3 steps at 10 Hz), asymmetric acceleration cap, and heading drift (additive world-frame Gaussian per step).</w:t>
      </w:r>
    </w:p>
    <w:p>
      <w:pPr>
        <w:spacing w:after="60" w:before="120" w:line="276"/>
        <w:jc w:val="center"/>
      </w:pPr>
      <w:r>
        <w:rPr>
          <w:rFonts w:ascii="Arial" w:cs="Arial" w:eastAsia="Arial" w:hAnsi="Arial"/>
          <w:b/>
          <w:bCs/>
          <w:sz w:val="20"/>
          <w:szCs w:val="20"/>
        </w:rPr>
        <w:t xml:space="preserve">Table I — Four-Stage Curriculum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500"/>
        <w:gridCol w:w="2200"/>
      </w:tblGrid>
      <w:tr>
        <w:tc>
          <w:tcPr>
            <w:tcW w:type="dxa" w:w="1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Stage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Fraction</w:t>
            </w:r>
          </w:p>
        </w:tc>
        <w:tc>
          <w:tcPr>
            <w:tcW w:type="dxa" w:w="3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Description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DR Scale</w:t>
            </w:r>
          </w:p>
        </w:tc>
      </w:tr>
      <w:tr>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0–10%</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Open field, no obstacles</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w:t>
            </w:r>
          </w:p>
        </w:tc>
      </w:tr>
      <w:tr>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10–25%</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Sparse columns (3–4/env)</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w:t>
            </w:r>
          </w:p>
        </w:tc>
      </w:tr>
      <w:tr>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25–50%</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Dense columns + gap walls</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 → full</w:t>
            </w:r>
          </w:p>
        </w:tc>
      </w:tr>
      <w:tr>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50–100%</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Slalom gauntlet (full DR)</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full</w:t>
            </w:r>
          </w:p>
        </w:tc>
      </w:tr>
    </w:tbl>
    <w:p>
      <w:pPr>
        <w:spacing w:after="60" w:before="140"/>
        <w:ind w:left="0"/>
      </w:pPr>
      <w:r>
        <w:rPr>
          <w:rFonts w:ascii="Arial" w:cs="Arial" w:eastAsia="Arial" w:hAnsi="Arial"/>
          <w:b/>
          <w:bCs/>
          <w:sz w:val="20"/>
          <w:szCs w:val="20"/>
        </w:rPr>
        <w:t xml:space="preserve">F. Training Setup</w:t>
      </w:r>
    </w:p>
    <w:p>
      <w:pPr>
        <w:spacing w:after="60" w:before="60" w:line="276"/>
      </w:pPr>
      <w:r>
        <w:rPr>
          <w:rFonts w:ascii="Arial" w:cs="Arial" w:eastAsia="Arial" w:hAnsi="Arial"/>
          <w:sz w:val="20"/>
          <w:szCs w:val="20"/>
        </w:rPr>
        <w:t xml:space="preserve">PPO is run for 800 iterations with 512 parallel GPU-vectorised environments, rollout length T=96 steps (~9.6 s at 10 Hz), learning rate 3×10⁻⁴, GAE λ=0.95, discount γ=0.99. The vectorised environment performs 2D ray-AABB lidar casting on GPU: 512×72×10 ≈ 370K ray-box tests per step, fully batched as (n,L,K) tensor operations. Total wall-clock time: ~30 minutes on dual RTX 5090s (CUDA 13.0, PyTorch 2.12.0).</w:t>
      </w:r>
    </w:p>
    <w:p>
      <w:pPr>
        <w:spacing w:after="60" w:before="140"/>
        <w:ind w:left="0"/>
      </w:pPr>
      <w:r>
        <w:rPr>
          <w:rFonts w:ascii="Arial" w:cs="Arial" w:eastAsia="Arial" w:hAnsi="Arial"/>
          <w:b/>
          <w:bCs/>
          <w:sz w:val="20"/>
          <w:szCs w:val="20"/>
        </w:rPr>
        <w:t xml:space="preserve">G. Deployment: Carry-State ONNX Export</w:t>
      </w:r>
    </w:p>
    <w:p>
      <w:pPr>
        <w:spacing w:after="60" w:before="60" w:line="276"/>
      </w:pPr>
      <w:r>
        <w:rPr>
          <w:rFonts w:ascii="Arial" w:cs="Arial" w:eastAsia="Arial" w:hAnsi="Arial"/>
          <w:sz w:val="20"/>
          <w:szCs w:val="20"/>
        </w:rPr>
        <w:t xml:space="preserve">The policy is exported in step-mode: each inference call takes (s_t[1,1,83], h_{t-1}[1,1,256]) and returns (a_t[1,2], h_t[1,1,256]). The GRU hidden state is carried by the caller, eliminating sequence-buffering overhead and warm-up latency. Normalisation constants are baked into the ONNX graph — the caller passes raw observations, preventing double-normalisation (a deployment failure mode where applying normalisation both externally and internally causes near-zero actions). The exported file weighs 4.6 KB and runs at 10 Hz on a Jetson Orin Nano with negligible CPU overhead.</w:t>
      </w:r>
    </w:p>
    <w:p>
      <w:pPr>
        <w:spacing w:after="80" w:before="200"/>
      </w:pPr>
      <w:r>
        <w:rPr>
          <w:rFonts w:ascii="Arial" w:cs="Arial" w:eastAsia="Arial" w:hAnsi="Arial"/>
          <w:b/>
          <w:bCs/>
          <w:caps/>
          <w:color w:val="1F3864"/>
          <w:sz w:val="22"/>
          <w:szCs w:val="22"/>
        </w:rPr>
        <w:t xml:space="preserve">V. Experiments</w:t>
      </w:r>
    </w:p>
    <w:p>
      <w:pPr>
        <w:spacing w:after="60" w:before="140"/>
        <w:ind w:left="0"/>
      </w:pPr>
      <w:r>
        <w:rPr>
          <w:rFonts w:ascii="Arial" w:cs="Arial" w:eastAsia="Arial" w:hAnsi="Arial"/>
          <w:b/>
          <w:bCs/>
          <w:sz w:val="20"/>
          <w:szCs w:val="20"/>
        </w:rPr>
        <w:t xml:space="preserve">A. Evaluation Protocol</w:t>
      </w:r>
    </w:p>
    <w:p>
      <w:pPr>
        <w:spacing w:after="60" w:before="60" w:line="276"/>
      </w:pPr>
      <w:r>
        <w:rPr>
          <w:rFonts w:ascii="Arial" w:cs="Arial" w:eastAsia="Arial" w:hAnsi="Arial"/>
          <w:sz w:val="20"/>
          <w:szCs w:val="20"/>
        </w:rPr>
        <w:t xml:space="preserve">Both the RL policy (Rover-v2) and VFH baseline are evaluated on the same six named courses under identical conditions: 20 trials per course, lidar noise σ=0.05 m (RPLidar A2 spec), odometry noise σ=0.10 m (wheel encoder drift). Each trial uses a different random seed. A trial is reached if the rover arrives within 1.0 m of the goal; collision if the rover body comes within 0.3 m of any obstacle surface; timeout if neither occurs within 400 steps (40 s at 10 Hz).</w:t>
      </w:r>
    </w:p>
    <w:p>
      <w:pPr>
        <w:spacing w:after="60" w:before="140"/>
        <w:ind w:left="0"/>
      </w:pPr>
      <w:r>
        <w:rPr>
          <w:rFonts w:ascii="Arial" w:cs="Arial" w:eastAsia="Arial" w:hAnsi="Arial"/>
          <w:b/>
          <w:bCs/>
          <w:sz w:val="20"/>
          <w:szCs w:val="20"/>
        </w:rPr>
        <w:t xml:space="preserve">B. Courses</w:t>
      </w:r>
    </w:p>
    <w:p>
      <w:pPr>
        <w:spacing w:after="60" w:before="60" w:line="276"/>
      </w:pPr>
      <w:r>
        <w:rPr>
          <w:rFonts w:ascii="Arial" w:cs="Arial" w:eastAsia="Arial" w:hAnsi="Arial"/>
          <w:sz w:val="20"/>
          <w:szCs w:val="20"/>
        </w:rPr>
        <w:t xml:space="preserve">The six courses test qualitatively distinct navigation challenges:</w:t>
      </w:r>
    </w:p>
    <w:p>
      <w:pPr>
        <w:pStyle w:val="ListParagraph"/>
        <w:numPr>
          <w:ilvl w:val="0"/>
          <w:numId w:val="3"/>
        </w:numPr>
        <w:spacing w:after="40" w:before="40" w:line="276"/>
      </w:pPr>
      <w:r>
        <w:rPr>
          <w:rFonts w:ascii="Arial" w:cs="Arial" w:eastAsia="Arial" w:hAnsi="Arial"/>
          <w:sz w:val="20"/>
          <w:szCs w:val="20"/>
        </w:rPr>
        <w:t xml:space="preserve">Straight: no obstacles; baseline competence check.</w:t>
      </w:r>
    </w:p>
    <w:p>
      <w:pPr>
        <w:pStyle w:val="ListParagraph"/>
        <w:numPr>
          <w:ilvl w:val="0"/>
          <w:numId w:val="3"/>
        </w:numPr>
        <w:spacing w:after="40" w:before="40" w:line="276"/>
      </w:pPr>
      <w:r>
        <w:rPr>
          <w:rFonts w:ascii="Arial" w:cs="Arial" w:eastAsia="Arial" w:hAnsi="Arial"/>
          <w:sz w:val="20"/>
          <w:szCs w:val="20"/>
        </w:rPr>
        <w:t xml:space="preserve">Slalom: three staggered 0.8 m columns; requires alternating lateral commitment.</w:t>
      </w:r>
    </w:p>
    <w:p>
      <w:pPr>
        <w:pStyle w:val="ListParagraph"/>
        <w:numPr>
          <w:ilvl w:val="0"/>
          <w:numId w:val="3"/>
        </w:numPr>
        <w:spacing w:after="40" w:before="40" w:line="276"/>
      </w:pPr>
      <w:r>
        <w:rPr>
          <w:rFonts w:ascii="Arial" w:cs="Arial" w:eastAsia="Arial" w:hAnsi="Arial"/>
          <w:sz w:val="20"/>
          <w:szCs w:val="20"/>
        </w:rPr>
        <w:t xml:space="preserve">Tight Gap: a wall with a 1.6 m gap (rover body ~0.6 m); 0.5 m clearance per side when centred.</w:t>
      </w:r>
    </w:p>
    <w:p>
      <w:pPr>
        <w:pStyle w:val="ListParagraph"/>
        <w:numPr>
          <w:ilvl w:val="0"/>
          <w:numId w:val="3"/>
        </w:numPr>
        <w:spacing w:after="40" w:before="40" w:line="276"/>
      </w:pPr>
      <w:r>
        <w:rPr>
          <w:rFonts w:ascii="Arial" w:cs="Arial" w:eastAsia="Arial" w:hAnsi="Arial"/>
          <w:sz w:val="20"/>
          <w:szCs w:val="20"/>
        </w:rPr>
        <w:t xml:space="preserve">Double Gap: two sequential walls with offset gaps, requiring commitment to the first gap before the second is visible.</w:t>
      </w:r>
    </w:p>
    <w:p>
      <w:pPr>
        <w:pStyle w:val="ListParagraph"/>
        <w:numPr>
          <w:ilvl w:val="0"/>
          <w:numId w:val="3"/>
        </w:numPr>
        <w:spacing w:after="40" w:before="40" w:line="276"/>
      </w:pPr>
      <w:r>
        <w:rPr>
          <w:rFonts w:ascii="Arial" w:cs="Arial" w:eastAsia="Arial" w:hAnsi="Arial"/>
          <w:sz w:val="20"/>
          <w:szCs w:val="20"/>
        </w:rPr>
        <w:t xml:space="preserve">Cluttered: nine irregular columns in a 14 m corridor; no single dominant free valley.</w:t>
      </w:r>
    </w:p>
    <w:p>
      <w:pPr>
        <w:pStyle w:val="ListParagraph"/>
        <w:numPr>
          <w:ilvl w:val="0"/>
          <w:numId w:val="3"/>
        </w:numPr>
        <w:spacing w:after="40" w:before="40" w:line="276"/>
      </w:pPr>
      <w:r>
        <w:rPr>
          <w:rFonts w:ascii="Arial" w:cs="Arial" w:eastAsia="Arial" w:hAnsi="Arial"/>
          <w:sz w:val="20"/>
          <w:szCs w:val="20"/>
        </w:rPr>
        <w:t xml:space="preserve">Maze (4-room): six walls forming three sequential rooms, requiring multiple direction reversals over ~35 s of navigation.</w:t>
      </w:r>
    </w:p>
    <w:p>
      <w:pPr>
        <w:spacing w:after="60" w:before="140"/>
        <w:ind w:left="0"/>
      </w:pPr>
      <w:r>
        <w:rPr>
          <w:rFonts w:ascii="Arial" w:cs="Arial" w:eastAsia="Arial" w:hAnsi="Arial"/>
          <w:b/>
          <w:bCs/>
          <w:sz w:val="20"/>
          <w:szCs w:val="20"/>
        </w:rPr>
        <w:t xml:space="preserve">C. VFH Baseline</w:t>
      </w:r>
    </w:p>
    <w:p>
      <w:pPr>
        <w:spacing w:after="60" w:before="60" w:line="276"/>
      </w:pPr>
      <w:r>
        <w:rPr>
          <w:rFonts w:ascii="Arial" w:cs="Arial" w:eastAsia="Arial" w:hAnsi="Arial"/>
          <w:sz w:val="20"/>
          <w:szCs w:val="20"/>
        </w:rPr>
        <w:t xml:space="preserve">The VFH implementation uses 36 sectors (10° each), density threshold 0.6, free-valley criterion &lt;1.2 m range, and proportional yaw control with gain K_ω=3.5 rad/s/rad. A stall-escape heuristic commits the planner to a random free sector for 40 ticks after 60 consecutive stall ticks. The planner has no memory beyond the current scan. This implementation matches the published VFH formulation and is a reasonable upper bound for a tuned analytic baseline on these courses.</w:t>
      </w:r>
    </w:p>
    <w:p>
      <w:pPr>
        <w:spacing w:after="60" w:before="140"/>
        <w:ind w:left="0"/>
      </w:pPr>
      <w:r>
        <w:rPr>
          <w:rFonts w:ascii="Arial" w:cs="Arial" w:eastAsia="Arial" w:hAnsi="Arial"/>
          <w:b/>
          <w:bCs/>
          <w:sz w:val="20"/>
          <w:szCs w:val="20"/>
        </w:rPr>
        <w:t xml:space="preserve">D. Results</w:t>
      </w:r>
    </w:p>
    <w:p>
      <w:pPr>
        <w:spacing w:after="60" w:before="120" w:line="276"/>
        <w:jc w:val="center"/>
      </w:pPr>
      <w:r>
        <w:rPr>
          <w:rFonts w:ascii="Arial" w:cs="Arial" w:eastAsia="Arial" w:hAnsi="Arial"/>
          <w:sz w:val="20"/>
          <w:szCs w:val="20"/>
        </w:rPr>
        <w:t xml:space="preserve">Table II — Evaluation Results (20 trials per course, lidar σ=0.05 m, odometry σ=0.10 m). Cluttered row highlighted: VFH 0/20 reach, 20/20 collisions.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180"/>
        <w:gridCol w:w="1000"/>
        <w:gridCol w:w="1220"/>
        <w:gridCol w:w="1100"/>
        <w:gridCol w:w="900"/>
        <w:gridCol w:w="1100"/>
      </w:tblGrid>
      <w:tr>
        <w:tc>
          <w:tcPr>
            <w:tcW w:type="dxa" w:w="17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Course</w:t>
            </w:r>
          </w:p>
        </w:tc>
        <w:tc>
          <w:tcPr>
            <w:tcW w:type="dxa" w:w="3400"/>
            <w:gridSpan w:val="3"/>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Rover-v2 (Ours)</w:t>
            </w:r>
          </w:p>
        </w:tc>
        <w:tc>
          <w:tcPr>
            <w:tcW w:type="dxa" w:w="3100"/>
            <w:gridSpan w:val="3"/>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VFH Baseline</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
            </w:r>
          </w:p>
        </w:tc>
        <w:tc>
          <w:tcPr>
            <w:tcW w:type="dxa" w:w="11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Reach</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Coll.</w:t>
            </w:r>
          </w:p>
        </w:tc>
        <w:tc>
          <w:tcPr>
            <w:tcW w:type="dxa" w:w="122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Min Clr.</w:t>
            </w:r>
          </w:p>
        </w:tc>
        <w:tc>
          <w:tcPr>
            <w:tcW w:type="dxa" w:w="1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Reach</w:t>
            </w:r>
          </w:p>
        </w:tc>
        <w:tc>
          <w:tcPr>
            <w:tcW w:type="dxa" w:w="9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Coll.</w:t>
            </w:r>
          </w:p>
        </w:tc>
        <w:tc>
          <w:tcPr>
            <w:tcW w:type="dxa" w:w="1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Min Clr.</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Straight</w:t>
            </w:r>
          </w:p>
        </w:tc>
        <w:tc>
          <w:tcPr>
            <w:tcW w:type="dxa" w:w="11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2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Slalom</w:t>
            </w:r>
          </w:p>
        </w:tc>
        <w:tc>
          <w:tcPr>
            <w:tcW w:type="dxa" w:w="11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2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1.24 m</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0.88 m</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Tight Gap</w:t>
            </w:r>
          </w:p>
        </w:tc>
        <w:tc>
          <w:tcPr>
            <w:tcW w:type="dxa" w:w="11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2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0.77 m</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0.78 m</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Double Gap</w:t>
            </w:r>
          </w:p>
        </w:tc>
        <w:tc>
          <w:tcPr>
            <w:tcW w:type="dxa" w:w="11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2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1.10 m</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0.77 m</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Cluttered</w:t>
            </w:r>
          </w:p>
        </w:tc>
        <w:tc>
          <w:tcPr>
            <w:tcW w:type="dxa" w:w="11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20/20</w:t>
            </w:r>
          </w:p>
        </w:tc>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w:t>
            </w:r>
          </w:p>
        </w:tc>
        <w:tc>
          <w:tcPr>
            <w:tcW w:type="dxa" w:w="12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 m</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0/20</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20</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0.29 m</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Maze 4-room</w:t>
            </w:r>
          </w:p>
        </w:tc>
        <w:tc>
          <w:tcPr>
            <w:tcW w:type="dxa" w:w="11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2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1.54 m</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20/20</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0.96 m</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TOTAL</w:t>
            </w:r>
          </w:p>
        </w:tc>
        <w:tc>
          <w:tcPr>
            <w:tcW w:type="dxa" w:w="11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120/120</w:t>
            </w:r>
          </w:p>
        </w:tc>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w:t>
            </w:r>
          </w:p>
        </w:tc>
        <w:tc>
          <w:tcPr>
            <w:tcW w:type="dxa" w:w="12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100/120</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20</w:t>
            </w:r>
          </w:p>
        </w:tc>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bl>
    <w:p>
      <w:pPr>
        <w:spacing w:after="60" w:before="60" w:line="276"/>
        <w:jc w:val="left"/>
      </w:pPr>
      <w:r>
        <w:rPr>
          <w:rFonts w:ascii="Arial" w:cs="Arial" w:eastAsia="Arial" w:hAnsi="Arial"/>
          <w:sz w:val="20"/>
          <w:szCs w:val="20"/>
        </w:rPr>
        <w:t xml:space="preserve"/>
      </w:r>
    </w:p>
    <w:p>
      <w:pPr>
        <w:spacing w:after="60" w:before="60" w:line="276"/>
      </w:pPr>
      <w:r>
        <w:rPr>
          <w:rFonts w:ascii="Arial" w:cs="Arial" w:eastAsia="Arial" w:hAnsi="Arial"/>
          <w:sz w:val="20"/>
          <w:szCs w:val="20"/>
        </w:rPr>
        <w:t xml:space="preserve">Rover-v2 achieves 120/120 reach with zero collisions across all six courses. VFH matches this on five of six courses but fails completely on the cluttered course: 0/20 reach, 20/20 collisions.</w:t>
      </w:r>
    </w:p>
    <w:p>
      <w:pPr>
        <w:spacing w:after="60" w:before="60" w:line="276"/>
      </w:pPr>
      <w:r>
        <w:rPr>
          <w:rFonts w:ascii="Arial" w:cs="Arial" w:eastAsia="Arial" w:hAnsi="Arial"/>
          <w:sz w:val="20"/>
          <w:szCs w:val="20"/>
        </w:rPr>
        <w:t xml:space="preserve">The failure mode is interpretable. VFH builds a density histogram from the current scan and steers toward the free sector nearest the goal. In the cluttered field, no sector is persistently free in the goal direction — the histogram is saturated by overlapping column shadows. The planner commits to whichever sector is instantaneously clearest, which changes scan-to-scan as the rover moves; the result is oscillation followed by collision as the rover is wedged between columns.</w:t>
      </w:r>
    </w:p>
    <w:p>
      <w:pPr>
        <w:spacing w:after="60" w:before="60" w:line="276"/>
      </w:pPr>
      <w:r>
        <w:rPr>
          <w:rFonts w:ascii="Arial" w:cs="Arial" w:eastAsia="Arial" w:hAnsi="Arial"/>
          <w:sz w:val="20"/>
          <w:szCs w:val="20"/>
        </w:rPr>
        <w:t xml:space="preserve">The GRU policy navigates the cluttered field by threading between column gaps in a continuous sweeping motion — behaviour that requires tracking recent heading and velocity, not just the current scan.</w:t>
      </w:r>
    </w:p>
    <w:p>
      <w:pPr>
        <w:spacing w:after="60" w:before="60" w:line="276"/>
      </w:pPr>
      <w:r>
        <w:rPr>
          <w:rFonts w:ascii="Arial" w:cs="Arial" w:eastAsia="Arial" w:hAnsi="Arial"/>
          <w:sz w:val="20"/>
          <w:szCs w:val="20"/>
        </w:rPr>
        <w:t xml:space="preserve">Clearance analysis reveals a secondary advantage: on slalom, double gap, and maze courses, the RL policy maintains systematically larger minimum clearances than VFH (1.24 vs. 0.88 m on slalom; 1.10 vs. 0.77 m on double gap; 1.54 vs. 0.96 m on maze). The proximity penalty in the reward is responsible: the policy learns to keep buffer distance as a standing strategy. On tight gap the policies are equivalent (0.77 vs. 0.78 m), consistent with the gap being a geometry-constrained bottleneck where memory provides no advantage.</w:t>
      </w:r>
    </w:p>
    <w:p>
      <w:pPr>
        <w:spacing w:after="60" w:before="140"/>
        <w:ind w:left="0"/>
      </w:pPr>
      <w:r>
        <w:rPr>
          <w:rFonts w:ascii="Arial" w:cs="Arial" w:eastAsia="Arial" w:hAnsi="Arial"/>
          <w:b/>
          <w:bCs/>
          <w:sz w:val="20"/>
          <w:szCs w:val="20"/>
        </w:rPr>
        <w:t xml:space="preserve">E. Training Dynamics</w:t>
      </w:r>
    </w:p>
    <w:p>
      <w:pPr>
        <w:spacing w:after="60" w:before="120" w:line="276"/>
        <w:jc w:val="center"/>
      </w:pPr>
      <w:r>
        <w:rPr>
          <w:rFonts w:ascii="Arial" w:cs="Arial" w:eastAsia="Arial" w:hAnsi="Arial"/>
          <w:sz w:val="20"/>
          <w:szCs w:val="20"/>
        </w:rPr>
        <w:t xml:space="preserve">Table III — Training Curve by Curriculum Stage.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800"/>
        <w:gridCol w:w="1500"/>
        <w:gridCol w:w="1600"/>
      </w:tblGrid>
      <w:tr>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Iterations</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Stage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Description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Peak Reach</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Final Reach</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0–199</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Open field</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100%†</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83%</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200–399</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Sparse columns</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78%</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400–599</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Dense + gap walls, DR</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40%</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36%</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600–799</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Slalom gauntlet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56%</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45%</w:t>
            </w:r>
          </w:p>
        </w:tc>
      </w:tr>
    </w:tbl>
    <w:p>
      <w:pPr>
        <w:spacing w:after="80" w:before="40" w:line="276"/>
        <w:jc w:val="left"/>
      </w:pPr>
      <w:r>
        <w:rPr>
          <w:rFonts w:ascii="Arial" w:cs="Arial" w:eastAsia="Arial" w:hAnsi="Arial"/>
          <w:sz w:val="18"/>
          <w:szCs w:val="18"/>
        </w:rPr>
        <w:t xml:space="preserve">† Stage 0 iter-0 reach of 100% is a random-policy artefact; real learning begins at iter ~80 (reach 53%).</w:t>
      </w:r>
    </w:p>
    <w:p>
      <w:pPr>
        <w:spacing w:after="60" w:before="60" w:line="276"/>
      </w:pPr>
      <w:r>
        <w:rPr>
          <w:rFonts w:ascii="Arial" w:cs="Arial" w:eastAsia="Arial" w:hAnsi="Arial"/>
          <w:sz w:val="20"/>
          <w:szCs w:val="20"/>
        </w:rPr>
        <w:t xml:space="preserve">A notable pattern: training reach at Stage 3 stabilises at 45–56%, yet post-training evaluation achieves 100% on all named courses. Stage 3 training environments (randomly-generated slalom gauntlets with full DR) are harder than the fixed named courses, so training reach understates policy quality on the named benchmark. The hardest curriculum stage builds latent robustness to adversarial configurations that do not appear in the named courses — even though in-training metrics do not directly reflect this.</w:t>
      </w:r>
    </w:p>
    <w:p>
      <w:pPr>
        <w:spacing w:after="60" w:before="60" w:line="276"/>
      </w:pPr>
      <w:r>
        <w:rPr>
          <w:rFonts w:ascii="Arial" w:cs="Arial" w:eastAsia="Arial" w:hAnsi="Arial"/>
          <w:sz w:val="20"/>
          <w:szCs w:val="20"/>
        </w:rPr>
        <w:t xml:space="preserve">This suggests that training-time reach on the hardest stage is a poor proxy for deployment performance, and that evaluating on held-out named courses separately from training metrics is important. Practitioners should run fixed evaluation courses on checkpoints throughout training rather than relying solely on in-training reach.</w:t>
      </w:r>
    </w:p>
    <w:p>
      <w:pPr>
        <w:spacing w:after="80" w:before="200"/>
      </w:pPr>
      <w:r>
        <w:rPr>
          <w:rFonts w:ascii="Arial" w:cs="Arial" w:eastAsia="Arial" w:hAnsi="Arial"/>
          <w:b/>
          <w:bCs/>
          <w:caps/>
          <w:color w:val="1F3864"/>
          <w:sz w:val="22"/>
          <w:szCs w:val="22"/>
        </w:rPr>
        <w:t xml:space="preserve">VI. Discussion</w:t>
      </w:r>
    </w:p>
    <w:p>
      <w:pPr>
        <w:spacing w:after="60" w:before="140"/>
        <w:ind w:left="0"/>
      </w:pPr>
      <w:r>
        <w:rPr>
          <w:rFonts w:ascii="Arial" w:cs="Arial" w:eastAsia="Arial" w:hAnsi="Arial"/>
          <w:b/>
          <w:bCs/>
          <w:sz w:val="20"/>
          <w:szCs w:val="20"/>
        </w:rPr>
        <w:t xml:space="preserve">A. Why 360° Lidar?</w:t>
      </w:r>
    </w:p>
    <w:p>
      <w:pPr>
        <w:spacing w:after="60" w:before="60" w:line="276"/>
      </w:pPr>
      <w:r>
        <w:rPr>
          <w:rFonts w:ascii="Arial" w:cs="Arial" w:eastAsia="Arial" w:hAnsi="Arial"/>
          <w:sz w:val="20"/>
          <w:szCs w:val="20"/>
        </w:rPr>
        <w:t xml:space="preserve">A forward-facing depth camera was explicitly rejected as primary input. A forward sensor has no rear coverage, causing rear-collision failures when reversing and commit-to-wrong-side errors in narrow corridors. 72 lidar floats are compact and homogeneous, well-suited to recurrent credit assignment. The sim-to-real gap for 2D ray-AABB lidar simulation is narrow: an RPLidar A2's measurements closely follow the ray-intersection model modulo additive noise (modelled in training). Rendered depth images carry lighting, texture, and reflection artefacts absent in simulation.</w:t>
      </w:r>
    </w:p>
    <w:p>
      <w:pPr>
        <w:spacing w:after="60" w:before="140"/>
        <w:ind w:left="0"/>
      </w:pPr>
      <w:r>
        <w:rPr>
          <w:rFonts w:ascii="Arial" w:cs="Arial" w:eastAsia="Arial" w:hAnsi="Arial"/>
          <w:b/>
          <w:bCs/>
          <w:sz w:val="20"/>
          <w:szCs w:val="20"/>
        </w:rPr>
        <w:t xml:space="preserve">B. Why GRU?</w:t>
      </w:r>
    </w:p>
    <w:p>
      <w:pPr>
        <w:spacing w:after="60" w:before="60" w:line="276"/>
      </w:pPr>
      <w:r>
        <w:rPr>
          <w:rFonts w:ascii="Arial" w:cs="Arial" w:eastAsia="Arial" w:hAnsi="Arial"/>
          <w:sz w:val="20"/>
          <w:szCs w:val="20"/>
        </w:rPr>
        <w:t xml:space="preserve">Qualitative evidence from earlier policy iterations shows that memoryless policies exhibit spinning behaviour in symmetric lidar configurations — equal clearance on both sides — because they have no history of which direction they already tried. The GRU resolves ambiguity via its hidden state, integrating heading, velocity, and recent scan history into a soft trajectory memory. At Stage 3 (slalom gauntlet) the policy must thread a sequence of offset gaps requiring knowledge of which gap it committed to previously — a fundamentally sequential problem.</w:t>
      </w:r>
    </w:p>
    <w:p>
      <w:pPr>
        <w:spacing w:after="60" w:before="60" w:line="276"/>
      </w:pPr>
      <w:r>
        <w:rPr>
          <w:rFonts w:ascii="Arial" w:cs="Arial" w:eastAsia="Arial" w:hAnsi="Arial"/>
          <w:sz w:val="20"/>
          <w:szCs w:val="20"/>
        </w:rPr>
        <w:t xml:space="preserve">Separate actor and critic GRU states are important: a shared trunk allows value-function gradients to corrupt policy obstacle representations, causing training instability across seeds. This was verified empirically in the drone policy lineage from which this architecture is adapted.</w:t>
      </w:r>
    </w:p>
    <w:p>
      <w:pPr>
        <w:spacing w:after="60" w:before="140"/>
        <w:ind w:left="0"/>
      </w:pPr>
      <w:r>
        <w:rPr>
          <w:rFonts w:ascii="Arial" w:cs="Arial" w:eastAsia="Arial" w:hAnsi="Arial"/>
          <w:b/>
          <w:bCs/>
          <w:sz w:val="20"/>
          <w:szCs w:val="20"/>
        </w:rPr>
        <w:t xml:space="preserve">C. The Training–Deployment Gap</w:t>
      </w:r>
    </w:p>
    <w:p>
      <w:pPr>
        <w:spacing w:after="60" w:before="60" w:line="276"/>
      </w:pPr>
      <w:r>
        <w:rPr>
          <w:rFonts w:ascii="Arial" w:cs="Arial" w:eastAsia="Arial" w:hAnsi="Arial"/>
          <w:sz w:val="20"/>
          <w:szCs w:val="20"/>
        </w:rPr>
        <w:t xml:space="preserve">The 45% training reach / 100% deployment reach discrepancy implies that stopping training early based on in-training reach would be premature. The policy at Stage 2 (36% in-training reach) may already navigate the named courses reliably, because those courses are a subset of the training distribution at a difficulty level the policy has already mastered. Corollary for practitioners: held-out fixed evaluation courses should be run on checkpoints throughout training. The in-training metric on the hardest stage systematically underestimates generalisation on easier held-out courses.</w:t>
      </w:r>
    </w:p>
    <w:p>
      <w:pPr>
        <w:spacing w:after="60" w:before="140"/>
        <w:ind w:left="0"/>
      </w:pPr>
      <w:r>
        <w:rPr>
          <w:rFonts w:ascii="Arial" w:cs="Arial" w:eastAsia="Arial" w:hAnsi="Arial"/>
          <w:b/>
          <w:bCs/>
          <w:sz w:val="20"/>
          <w:szCs w:val="20"/>
        </w:rPr>
        <w:t xml:space="preserve">D. Limitations and Future Work</w:t>
      </w:r>
    </w:p>
    <w:p>
      <w:pPr>
        <w:spacing w:after="60" w:before="60" w:line="276"/>
      </w:pPr>
      <w:r>
        <w:rPr>
          <w:rFonts w:ascii="Arial" w:cs="Arial" w:eastAsia="Arial" w:hAnsi="Arial"/>
          <w:sz w:val="20"/>
          <w:szCs w:val="20"/>
        </w:rPr>
        <w:t xml:space="preserve">Sim-to-real. All results are in simulation. Deploying on a physical rover requires wiring the ONNX runner to ROS2 /cmd_vel and validating on physical course layouts. Based on the narrow sim-to-real gap for 2D lidar and SITL validation of the companion aerial policy, we expect acceptable transfer, but do not claim it here.</w:t>
      </w:r>
    </w:p>
    <w:p>
      <w:pPr>
        <w:spacing w:after="60" w:before="60" w:line="276"/>
      </w:pPr>
      <w:r>
        <w:rPr>
          <w:rFonts w:ascii="Arial" w:cs="Arial" w:eastAsia="Arial" w:hAnsi="Arial"/>
          <w:sz w:val="20"/>
          <w:szCs w:val="20"/>
        </w:rPr>
        <w:t xml:space="preserve">Ablation. GRU vs. MLP, 360° vs. forward-only lidar, curriculum vs. no curriculum, and with/without clearance penalty ablations are planned for a follow-on study. These would firm up the causal claims made qualitatively above.</w:t>
      </w:r>
    </w:p>
    <w:p>
      <w:pPr>
        <w:spacing w:after="60" w:before="60" w:line="276"/>
      </w:pPr>
      <w:r>
        <w:rPr>
          <w:rFonts w:ascii="Arial" w:cs="Arial" w:eastAsia="Arial" w:hAnsi="Arial"/>
          <w:sz w:val="20"/>
          <w:szCs w:val="20"/>
        </w:rPr>
        <w:t xml:space="preserve">Dynamic obstacles. All training obstacles are static. Moving pedestrians or other robots would require the GRU to track relative velocity — a natural extension via a moving-obstacle curriculum stage.</w:t>
      </w:r>
    </w:p>
    <w:p>
      <w:pPr>
        <w:spacing w:after="60" w:before="60" w:line="276"/>
      </w:pPr>
      <w:r>
        <w:rPr>
          <w:rFonts w:ascii="Arial" w:cs="Arial" w:eastAsia="Arial" w:hAnsi="Arial"/>
          <w:sz w:val="20"/>
          <w:szCs w:val="20"/>
        </w:rPr>
        <w:t xml:space="preserve">Goal sequencing. The policy takes a single body-frame waypoint. A GPS-based or graph-search goal sequencer issuing successive waypoints would enable long-horizon navigation, cleanly separating global planning from reactive avoidance.</w:t>
      </w:r>
    </w:p>
    <w:p>
      <w:pPr>
        <w:spacing w:after="80" w:before="200"/>
      </w:pPr>
      <w:r>
        <w:rPr>
          <w:rFonts w:ascii="Arial" w:cs="Arial" w:eastAsia="Arial" w:hAnsi="Arial"/>
          <w:b/>
          <w:bCs/>
          <w:caps/>
          <w:color w:val="1F3864"/>
          <w:sz w:val="22"/>
          <w:szCs w:val="22"/>
        </w:rPr>
        <w:t xml:space="preserve">VII. Conclusion</w:t>
      </w:r>
    </w:p>
    <w:p>
      <w:pPr>
        <w:spacing w:after="60" w:before="60" w:line="276"/>
      </w:pPr>
      <w:r>
        <w:rPr>
          <w:rFonts w:ascii="Arial" w:cs="Arial" w:eastAsia="Arial" w:hAnsi="Arial"/>
          <w:sz w:val="20"/>
          <w:szCs w:val="20"/>
        </w:rPr>
        <w:t xml:space="preserve">We have shown that a recurrent PPO agent with 360° lidar, trained in 30 minutes without demonstrations, achieves 100% goal-reach with zero collisions across six qualitatively distinct obstacle courses under realistic sensor noise. Against a VFH analytic baseline on identical conditions, the learned policy achieves a qualitative capability improvement: 120/120 vs. 100/120, with VFH collapsing entirely on dense cluttered fields. The exported 4.6 KB policy runs at 10 Hz on a Jetson Orin Nano, making it immediately deployable on commodity edge hardware. We release the full training code, course definitions, and evaluation harness for reproducibility.</w:t>
      </w:r>
    </w:p>
    <w:p>
      <w:pPr>
        <w:pBdr>
          <w:bottom w:val="single" w:color="1F3864" w:sz="6" w:space="1"/>
        </w:pBdr>
        <w:spacing w:after="120" w:before="120"/>
      </w:pPr>
      <w:r>
        <w:t xml:space="preserve"/>
      </w:r>
    </w:p>
    <w:p>
      <w:pPr>
        <w:spacing w:after="80" w:before="200"/>
      </w:pPr>
      <w:r>
        <w:rPr>
          <w:rFonts w:ascii="Arial" w:cs="Arial" w:eastAsia="Arial" w:hAnsi="Arial"/>
          <w:b/>
          <w:bCs/>
          <w:caps/>
          <w:color w:val="1F3864"/>
          <w:sz w:val="22"/>
          <w:szCs w:val="22"/>
        </w:rPr>
        <w:t xml:space="preserve">. References</w:t>
      </w:r>
    </w:p>
    <w:p>
      <w:pPr>
        <w:spacing w:after="40" w:before="40" w:line="240"/>
        <w:ind w:left="400" w:hanging="400"/>
      </w:pPr>
      <w:r>
        <w:rPr>
          <w:rFonts w:ascii="Arial" w:cs="Arial" w:eastAsia="Arial" w:hAnsi="Arial"/>
          <w:sz w:val="18"/>
          <w:szCs w:val="18"/>
        </w:rPr>
        <w:t xml:space="preserve">[1] J. Borenstein and Y. Koren, “The vector field histogram — fast obstacle avoidance for mobile robots,” IEEE Trans. Robot. Autom., vol. 7, no. 3, pp. 278–288, 1991.</w:t>
      </w:r>
    </w:p>
    <w:p>
      <w:pPr>
        <w:spacing w:after="40" w:before="40" w:line="240"/>
        <w:ind w:left="400" w:hanging="400"/>
      </w:pPr>
      <w:r>
        <w:rPr>
          <w:rFonts w:ascii="Arial" w:cs="Arial" w:eastAsia="Arial" w:hAnsi="Arial"/>
          <w:sz w:val="18"/>
          <w:szCs w:val="18"/>
        </w:rPr>
        <w:t xml:space="preserve">[2] D. Fox, W. Burgard, and S. Thrun, “The dynamic window approach to collision avoidance,” IEEE Robot. Autom. Mag., vol. 4, no. 1, pp. 23–33, 1997.</w:t>
      </w:r>
    </w:p>
    <w:p>
      <w:pPr>
        <w:spacing w:after="40" w:before="40" w:line="240"/>
        <w:ind w:left="400" w:hanging="400"/>
      </w:pPr>
      <w:r>
        <w:rPr>
          <w:rFonts w:ascii="Arial" w:cs="Arial" w:eastAsia="Arial" w:hAnsi="Arial"/>
          <w:sz w:val="18"/>
          <w:szCs w:val="18"/>
        </w:rPr>
        <w:t xml:space="preserve">[3] D. Shah et al., “GNM: A general navigation model to drive any robot,” in Proc. IEEE ICRA, 2023.</w:t>
      </w:r>
    </w:p>
    <w:p>
      <w:pPr>
        <w:spacing w:after="40" w:before="40" w:line="240"/>
        <w:ind w:left="400" w:hanging="400"/>
      </w:pPr>
      <w:r>
        <w:rPr>
          <w:rFonts w:ascii="Arial" w:cs="Arial" w:eastAsia="Arial" w:hAnsi="Arial"/>
          <w:sz w:val="18"/>
          <w:szCs w:val="18"/>
        </w:rPr>
        <w:t xml:space="preserve">[4] L. Tai, G. Paolo, and M. Liu, “Virtual-to-real deep reinforcement learning: Continuous control of mobile robots for mapless navigation,” in Proc. IEEE/RSJ IROS, 2017, pp. 31–36.</w:t>
      </w:r>
    </w:p>
    <w:p>
      <w:pPr>
        <w:spacing w:after="40" w:before="40" w:line="240"/>
        <w:ind w:left="400" w:hanging="400"/>
      </w:pPr>
      <w:r>
        <w:rPr>
          <w:rFonts w:ascii="Arial" w:cs="Arial" w:eastAsia="Arial" w:hAnsi="Arial"/>
          <w:sz w:val="18"/>
          <w:szCs w:val="18"/>
        </w:rPr>
        <w:t xml:space="preserve">[5] O. Zhelo et al., “Curiosity-driven exploration with attentive target driven navigation in robotic environments,” arXiv:1811.11532, 2018.</w:t>
      </w:r>
    </w:p>
    <w:p>
      <w:pPr>
        <w:spacing w:after="40" w:before="40" w:line="240"/>
        <w:ind w:left="400" w:hanging="400"/>
      </w:pPr>
      <w:r>
        <w:rPr>
          <w:rFonts w:ascii="Arial" w:cs="Arial" w:eastAsia="Arial" w:hAnsi="Arial"/>
          <w:sz w:val="18"/>
          <w:szCs w:val="18"/>
        </w:rPr>
        <w:t xml:space="preserve">[6] Z. Fang et al., “Scene memory transformer for embodied agents in long-horizon tasks,” in Proc. CVPR, 2019.</w:t>
      </w:r>
    </w:p>
    <w:p>
      <w:pPr>
        <w:spacing w:after="40" w:before="40" w:line="240"/>
        <w:ind w:left="400" w:hanging="400"/>
      </w:pPr>
      <w:r>
        <w:rPr>
          <w:rFonts w:ascii="Arial" w:cs="Arial" w:eastAsia="Arial" w:hAnsi="Arial"/>
          <w:sz w:val="18"/>
          <w:szCs w:val="18"/>
        </w:rPr>
        <w:t xml:space="preserve">[7] I. Ulrich and J. Borenstein, “VFH+: Reliable obstacle avoidance for fast mobile robots,” in Proc. IEEE ICRA, 1998, pp. 1572–1577.</w:t>
      </w:r>
    </w:p>
    <w:p>
      <w:pPr>
        <w:spacing w:after="40" w:before="40" w:line="240"/>
        <w:ind w:left="400" w:hanging="400"/>
      </w:pPr>
      <w:r>
        <w:rPr>
          <w:rFonts w:ascii="Arial" w:cs="Arial" w:eastAsia="Arial" w:hAnsi="Arial"/>
          <w:sz w:val="18"/>
          <w:szCs w:val="18"/>
        </w:rPr>
        <w:t xml:space="preserve">[8] P. Mirowski et al., “Learning to navigate in complex environments,” in Proc. ICLR, 2017.</w:t>
      </w:r>
    </w:p>
    <w:p>
      <w:pPr>
        <w:spacing w:after="40" w:before="40" w:line="240"/>
        <w:ind w:left="400" w:hanging="400"/>
      </w:pPr>
      <w:r>
        <w:rPr>
          <w:rFonts w:ascii="Arial" w:cs="Arial" w:eastAsia="Arial" w:hAnsi="Arial"/>
          <w:sz w:val="18"/>
          <w:szCs w:val="18"/>
        </w:rPr>
        <w:t xml:space="preserve">[9] Y. Zhu et al., “Target-driven visual navigation in indoor scenes using deep reinforcement learning,” in Proc. IEEE ICRA, 2017, pp. 3357–3364.</w:t>
      </w:r>
    </w:p>
    <w:p>
      <w:pPr>
        <w:spacing w:after="40" w:before="40" w:line="240"/>
        <w:ind w:left="400" w:hanging="400"/>
      </w:pPr>
      <w:r>
        <w:rPr>
          <w:rFonts w:ascii="Arial" w:cs="Arial" w:eastAsia="Arial" w:hAnsi="Arial"/>
          <w:sz w:val="18"/>
          <w:szCs w:val="18"/>
        </w:rPr>
        <w:t xml:space="preserve">[10] G. Kahn et al., “BADGR: An autonomous self-supervised learning-based navigation system,” IEEE Robot. Autom. Lett., vol. 6, no. 2, pp. 1312–1319, 2021.</w:t>
      </w:r>
    </w:p>
    <w:p>
      <w:pPr>
        <w:spacing w:after="40" w:before="40" w:line="240"/>
        <w:ind w:left="400" w:hanging="400"/>
      </w:pPr>
      <w:r>
        <w:rPr>
          <w:rFonts w:ascii="Arial" w:cs="Arial" w:eastAsia="Arial" w:hAnsi="Arial"/>
          <w:sz w:val="18"/>
          <w:szCs w:val="18"/>
        </w:rPr>
        <w:t xml:space="preserve">[11] Y. Bengio et al., “Curriculum learning,” in Proc. ICML, 2009, pp. 41–48.</w:t>
      </w:r>
    </w:p>
    <w:p>
      <w:pPr>
        <w:spacing w:after="40" w:before="40" w:line="240"/>
        <w:ind w:left="400" w:hanging="400"/>
      </w:pPr>
      <w:r>
        <w:rPr>
          <w:rFonts w:ascii="Arial" w:cs="Arial" w:eastAsia="Arial" w:hAnsi="Arial"/>
          <w:sz w:val="18"/>
          <w:szCs w:val="18"/>
        </w:rPr>
        <w:t xml:space="preserve">[12] J. Tobin et al., “Domain randomization for transferring deep neural networks from simulation to the real world,” in Proc. IEEE/RSJ IROS, 2017, pp. 23–30.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6"/>
        <w:szCs w:val="16"/>
      </w:rPr>
      <w:t xml:space="preserve">IEEE Robotics and Automation Letters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2026-06-25T02:57:24.900Z</dcterms:created>
  <dcterms:modified xsi:type="dcterms:W3CDTF">2026-06-25T02:57:24.902Z</dcterms:modified>
</cp:coreProperties>
</file>

<file path=docProps/custom.xml><?xml version="1.0" encoding="utf-8"?>
<Properties xmlns="http://schemas.openxmlformats.org/officeDocument/2006/custom-properties" xmlns:vt="http://schemas.openxmlformats.org/officeDocument/2006/docPropsVTypes"/>
</file>