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TP2 — Formulario Perfil, Entrega 2 (BFPI-CFI)</w:t>
      </w:r>
    </w:p>
    <w:p>
      <w:pPr>
        <w:jc w:val="center"/>
      </w:pPr>
      <w:r>
        <w:rPr>
          <w:b/>
          <w:sz w:val="28"/>
        </w:rPr>
        <w:t>Polo Tecnológico Forestal en el Noroeste de la Provincia del Chubut</w:t>
      </w:r>
    </w:p>
    <w:p>
      <w:r>
        <w:rPr>
          <w:i/>
          <w:color w:val="555555"/>
        </w:rPr>
        <w:t>Plantilla fuente: docs/plantillas/TP2_Formulario_Perfil_Entrega2_blank.docx. Metodología: Guía BFPI-CFI (docs/referencias/Guia_Formulacion_Proyectos_BFPI_CFI.pdf), sección "Iniciativa-Perfil" y Anexo 1 "Ficha de Identificación Temprana de Riesgos e Impactos Ambientales y Sociales".</w:t>
      </w:r>
    </w:p>
    <w:p>
      <w:pPr>
        <w:pStyle w:val="Heading2"/>
      </w:pPr>
      <w:r>
        <w:t>Aclaración importante</w:t>
      </w:r>
    </w:p>
    <w:p>
      <w:r>
        <w:rPr>
          <w:b w:val="0"/>
          <w:i w:val="0"/>
          <w:sz w:val="22"/>
        </w:rPr>
        <w:t>Este TP2 es distinto del "Taller 2" del curso GPD (problematización, ver docs/tp2-problematizacion.md). Son dos cosas en paralelo:</w:t>
      </w:r>
    </w:p>
    <w:p>
      <w:pPr>
        <w:pStyle w:val="ListBullet"/>
      </w:pPr>
      <w:r>
        <w:rPr>
          <w:b/>
        </w:rPr>
        <w:t xml:space="preserve">Talleres del curso GPD = </w:t>
      </w:r>
      <w:r>
        <w:t>sesiones de clase con metodología (Taller 1 diagnóstico, Taller 2 problematización, Taller 3 empatizar/actores...).</w:t>
      </w:r>
    </w:p>
    <w:p>
      <w:pPr>
        <w:pStyle w:val="ListBullet"/>
      </w:pPr>
      <w:r>
        <w:rPr>
          <w:b/>
        </w:rPr>
        <w:t xml:space="preserve">TPs del Formulario Perfil = </w:t>
      </w:r>
      <w:r>
        <w:t>el documento de proyecto en sí, que se entrega en etapas crecientes (TP1 = Entrega 1, ya completa; TP2 = Entrega 2, este documento).</w:t>
      </w:r>
    </w:p>
    <w:p>
      <w:r>
        <w:rPr>
          <w:b w:val="0"/>
          <w:i w:val="0"/>
          <w:sz w:val="22"/>
        </w:rPr>
        <w:t>El árbol de problemas y la vinculación al eje temático que trabajamos en el Taller 2 alimentan el contenido de este TP2, no lo reemplazan.</w:t>
      </w:r>
    </w:p>
    <w:p>
      <w:r>
        <w:br w:type="page"/>
      </w:r>
    </w:p>
    <w:p>
      <w:pPr>
        <w:pStyle w:val="Heading1"/>
      </w:pPr>
      <w:r>
        <w:t>1. Datos de cabecera</w:t>
      </w:r>
    </w:p>
    <w:tbl>
      <w:tblPr>
        <w:tblStyle w:val="LightGrid-Accent1"/>
        <w:tblW w:type="auto" w:w="0"/>
        <w:jc w:val="center"/>
        <w:tblLook w:firstColumn="1" w:firstRow="1" w:lastColumn="0" w:lastRow="0" w:noHBand="0" w:noVBand="1" w:val="04A0"/>
      </w:tblPr>
      <w:tblGrid>
        <w:gridCol w:w="4873"/>
        <w:gridCol w:w="4873"/>
      </w:tblGrid>
      <w:tr>
        <w:tc>
          <w:tcPr>
            <w:tcW w:type="dxa" w:w="2835"/>
            <w:shd w:val="clear" w:color="auto" w:fill="2E5B3C"/>
          </w:tcPr>
          <w:p>
            <w:r>
              <w:rPr>
                <w:b/>
                <w:color w:val="FFFFFF"/>
                <w:sz w:val="20"/>
              </w:rPr>
              <w:t>Campo</w:t>
            </w:r>
          </w:p>
        </w:tc>
        <w:tc>
          <w:tcPr>
            <w:tcW w:type="dxa" w:w="6236"/>
            <w:shd w:val="clear" w:color="auto" w:fill="2E5B3C"/>
          </w:tcPr>
          <w:p>
            <w:r>
              <w:rPr>
                <w:b/>
                <w:color w:val="FFFFFF"/>
                <w:sz w:val="20"/>
              </w:rPr>
              <w:t>Valor</w:t>
            </w:r>
          </w:p>
        </w:tc>
      </w:tr>
      <w:tr>
        <w:tc>
          <w:tcPr>
            <w:tcW w:type="dxa" w:w="2835"/>
          </w:tcPr>
          <w:p>
            <w:r>
              <w:rPr>
                <w:sz w:val="20"/>
              </w:rPr>
              <w:t>Nombre del proyecto</w:t>
            </w:r>
          </w:p>
        </w:tc>
        <w:tc>
          <w:tcPr>
            <w:tcW w:type="dxa" w:w="6236"/>
          </w:tcPr>
          <w:p>
            <w:r>
              <w:rPr>
                <w:sz w:val="20"/>
              </w:rPr>
              <w:t>Polo Tecnológico Forestal en el Noroeste de la Provincia del Chubut</w:t>
            </w:r>
          </w:p>
        </w:tc>
      </w:tr>
      <w:tr>
        <w:tc>
          <w:tcPr>
            <w:tcW w:type="dxa" w:w="2835"/>
          </w:tcPr>
          <w:p>
            <w:r>
              <w:rPr>
                <w:sz w:val="20"/>
              </w:rPr>
              <w:t>Provincia</w:t>
            </w:r>
          </w:p>
        </w:tc>
        <w:tc>
          <w:tcPr>
            <w:tcW w:type="dxa" w:w="6236"/>
          </w:tcPr>
          <w:p>
            <w:r>
              <w:rPr>
                <w:sz w:val="20"/>
              </w:rPr>
              <w:t>Chubut</w:t>
            </w:r>
          </w:p>
        </w:tc>
      </w:tr>
      <w:tr>
        <w:tc>
          <w:tcPr>
            <w:tcW w:type="dxa" w:w="2835"/>
          </w:tcPr>
          <w:p>
            <w:r>
              <w:rPr>
                <w:sz w:val="20"/>
              </w:rPr>
              <w:t>Monto total de la inversión (USD)</w:t>
            </w:r>
          </w:p>
        </w:tc>
        <w:tc>
          <w:tcPr>
            <w:tcW w:type="dxa" w:w="6236"/>
          </w:tcPr>
          <w:p>
            <w:r>
              <w:rPr>
                <w:sz w:val="20"/>
              </w:rPr>
              <w:t>PENDIENTE — ver nota abajo</w:t>
            </w:r>
          </w:p>
        </w:tc>
      </w:tr>
      <w:tr>
        <w:tc>
          <w:tcPr>
            <w:tcW w:type="dxa" w:w="2835"/>
          </w:tcPr>
          <w:p>
            <w:r>
              <w:rPr>
                <w:sz w:val="20"/>
              </w:rPr>
              <w:t>Fecha de presentación</w:t>
            </w:r>
          </w:p>
        </w:tc>
        <w:tc>
          <w:tcPr>
            <w:tcW w:type="dxa" w:w="6236"/>
          </w:tcPr>
          <w:p>
            <w:r>
              <w:rPr>
                <w:sz w:val="20"/>
              </w:rPr>
              <w:t>PENDIENTE (dato administrativo — mes/año de entrega del TP)</w:t>
            </w:r>
          </w:p>
        </w:tc>
      </w:tr>
      <w:tr>
        <w:tc>
          <w:tcPr>
            <w:tcW w:type="dxa" w:w="2835"/>
          </w:tcPr>
          <w:p>
            <w:r>
              <w:rPr>
                <w:sz w:val="20"/>
              </w:rPr>
              <w:t>Moneda</w:t>
            </w:r>
          </w:p>
        </w:tc>
        <w:tc>
          <w:tcPr>
            <w:tcW w:type="dxa" w:w="6236"/>
          </w:tcPr>
          <w:p>
            <w:r>
              <w:rPr>
                <w:sz w:val="20"/>
              </w:rPr>
              <w:t>Dólares — cotización de referencia a la fecha de presentación (PENDIENTE fijar la cotización el día de entrega)</w:t>
            </w:r>
          </w:p>
        </w:tc>
      </w:tr>
      <w:tr>
        <w:tc>
          <w:tcPr>
            <w:tcW w:type="dxa" w:w="2835"/>
          </w:tcPr>
          <w:p>
            <w:r>
              <w:rPr>
                <w:sz w:val="20"/>
              </w:rPr>
              <w:t>Monto en moneda nacional</w:t>
            </w:r>
          </w:p>
        </w:tc>
        <w:tc>
          <w:tcPr>
            <w:tcW w:type="dxa" w:w="6236"/>
          </w:tcPr>
          <w:p>
            <w:r>
              <w:rPr>
                <w:sz w:val="20"/>
              </w:rPr>
              <w:t>Depende de los dos campos anteriores</w:t>
            </w:r>
          </w:p>
        </w:tc>
      </w:tr>
    </w:tbl>
    <w:p/>
    <w:p>
      <w:pPr>
        <w:pStyle w:val="Heading3"/>
      </w:pPr>
      <w:r>
        <w:t>Sobre el monto de inversión — por qué no se inventa un número</w:t>
      </w:r>
    </w:p>
    <w:p>
      <w:r>
        <w:rPr>
          <w:b w:val="0"/>
          <w:i w:val="0"/>
          <w:sz w:val="22"/>
        </w:rPr>
        <w:t>No corresponde poner una cifra sin respaldo. Lo que sí tenemos, sourced:</w:t>
      </w:r>
    </w:p>
    <w:p>
      <w:pPr>
        <w:pStyle w:val="ListBullet"/>
      </w:pPr>
      <w:r>
        <w:rPr>
          <w:b/>
        </w:rPr>
        <w:t xml:space="preserve">La planta de producción de biomasa (chips + pellets): </w:t>
      </w:r>
      <w:r>
        <w:t>CAPEX USD 1.519.362, capacidad 24.700 t/año de chips o 12.600 t/año de pellets (docs/linea-base-bioeconomia-forestal.md y el antecedente CFI 2019).</w:t>
      </w:r>
    </w:p>
    <w:p>
      <w:pPr>
        <w:pStyle w:val="ListBullet"/>
      </w:pPr>
      <w:r>
        <w:rPr>
          <w:b/>
        </w:rPr>
        <w:t xml:space="preserve">Esa cifra cubre solo una parte del Polo. </w:t>
      </w:r>
      <w:r>
        <w:t>el Polo Tecnológico Forestal, según el TP1, es más amplio: incluye secado industrial de madera, líneas de clasificación y certificación, desarrollo de biomateriales y un laboratorio de I+D+i — infraestructura que no está costeada en ninguna de las fuentes que tenemos.</w:t>
      </w:r>
    </w:p>
    <w:p>
      <w:pPr>
        <w:pStyle w:val="ListBullet"/>
      </w:pPr>
      <w:r>
        <w:rPr>
          <w:b/>
        </w:rPr>
        <w:t xml:space="preserve">El antecedente CFI 2019 da una referencia de escala provincial distinta: </w:t>
      </w:r>
      <w:r>
        <w:t>convertir todo el sistema de usinas de la provincia a biomasa (generación + cogeneración) cuesta ~USD 22.500.000 — pero eso es otro proyecto (sustitución energética en 19 localidades), no la infraestructura industrial del Polo.</w:t>
      </w:r>
    </w:p>
    <w:p>
      <w:r>
        <w:rPr>
          <w:b w:val="0"/>
          <w:i w:val="0"/>
          <w:sz w:val="22"/>
        </w:rPr>
        <w:t>Conclusión: para completar este campo con un número real hace falta un estudio de ingeniería básica (memoria de cálculo + cómputo y presupuesto, que la propia Guía BFPI pide como Apéndice 2 y 3 del Anexo I en la etapa de Factibilidad). Mientras tanto, se puede dejar un rango preliminar de referencia: no menos de USD 1,5-2 millones (piso dado por la planta de biomasa sola), aclarando expresamente que es una cota inferior, no una estimación completa.</w:t>
      </w:r>
    </w:p>
    <w:p>
      <w:pPr>
        <w:pStyle w:val="Heading1"/>
      </w:pPr>
      <w:r>
        <w:t>2. Beneficiarios (Entrega 2) — cuantificación</w:t>
      </w:r>
    </w:p>
    <w:p>
      <w:r>
        <w:rPr>
          <w:b w:val="0"/>
          <w:i w:val="0"/>
          <w:sz w:val="22"/>
        </w:rPr>
        <w:t>Retoma y profundiza la sección g) del TP1.</w:t>
      </w:r>
    </w:p>
    <w:p>
      <w:pPr>
        <w:pStyle w:val="Heading3"/>
      </w:pPr>
      <w:r>
        <w:t>h.1 Directos</w:t>
      </w:r>
    </w:p>
    <w:p>
      <w:pPr>
        <w:pStyle w:val="ListBullet"/>
      </w:pPr>
      <w:r>
        <w:t>51 aserraderos inscriptos en el registro único de aserraderos fijos y portátiles de Chubut (fuente: TP1 — cita pendiente de confirmar contra el registro real de la Secretaría de Bosques).</w:t>
      </w:r>
    </w:p>
    <w:p>
      <w:pPr>
        <w:pStyle w:val="ListBullet"/>
      </w:pPr>
      <w:r>
        <w:t>Pymes foresto-industriales y productores forestales de la región (Esquel, Trevelin, Lago Puelo, El Hoyo).</w:t>
      </w:r>
    </w:p>
    <w:p>
      <w:pPr>
        <w:pStyle w:val="ListBullet"/>
      </w:pPr>
      <w:r>
        <w:t>Emprendimientos vinculados a transformación de madera y biomasa.</w:t>
      </w:r>
    </w:p>
    <w:p>
      <w:r>
        <w:rPr>
          <w:i/>
          <w:color w:val="555555"/>
        </w:rPr>
        <w:t>Pendiente de precisar para esta entrega: cuántos de los 51 aserraderos son de escala "pequeña/mediana" (los que realmente no pueden invertir individualmente, según el problema central) vs. aserraderos de mayor escala; cuántos empleos directos representan hoy esas 51 unidades (dato de base necesario para medir el impacto del proyecto).</w:t>
      </w:r>
    </w:p>
    <w:p>
      <w:pPr>
        <w:pStyle w:val="Heading3"/>
      </w:pPr>
      <w:r>
        <w:t>h.2 Indirectos</w:t>
      </w:r>
    </w:p>
    <w:p>
      <w:pPr>
        <w:pStyle w:val="ListBullet"/>
      </w:pPr>
      <w:r>
        <w:t>Trabajadores y proveedores de la cadena forestal (contratistas de saca, transportistas).</w:t>
      </w:r>
    </w:p>
    <w:p>
      <w:pPr>
        <w:pStyle w:val="ListBullet"/>
      </w:pPr>
      <w:r>
        <w:t>Empresas constructoras y sistemas constructivos industrializados en madera.</w:t>
      </w:r>
    </w:p>
    <w:p>
      <w:pPr>
        <w:pStyle w:val="ListBullet"/>
      </w:pPr>
      <w:r>
        <w:t>Emprendimientos energéticos y de biomateriales.</w:t>
      </w:r>
    </w:p>
    <w:p>
      <w:pPr>
        <w:pStyle w:val="ListBullet"/>
      </w:pPr>
      <w:r>
        <w:t>Instituciones científico-tecnológicas (CIEFAP, UNPSJB, INTA/CONICET).</w:t>
      </w:r>
    </w:p>
    <w:p>
      <w:pPr>
        <w:pStyle w:val="ListBullet"/>
      </w:pPr>
      <w:r>
        <w:t>Comunidades del Noroeste provincial (por mayor actividad económica y empleo).</w:t>
      </w:r>
    </w:p>
    <w:p>
      <w:pPr>
        <w:pStyle w:val="Heading1"/>
      </w:pPr>
      <w:r>
        <w:t>3. Plazo estimado del proyecto (en meses)</w:t>
      </w:r>
    </w:p>
    <w:p>
      <w:r>
        <w:rPr>
          <w:i/>
          <w:color w:val="555555"/>
        </w:rPr>
        <w:t>Estimación razonada (no es un cronograma de obra real, que se define recién en la etapa de Factibilidad). Tomando como referencia la lógica de despliegue en fases que plantea el antecedente CFI 2019 (empezar por 3 nodos prioritarios, no por toda la provincia a la vez):</w:t>
      </w:r>
    </w:p>
    <w:p>
      <w:pPr>
        <w:pStyle w:val="ListBullet"/>
      </w:pPr>
      <w:r>
        <w:rPr>
          <w:b/>
        </w:rPr>
        <w:t xml:space="preserve">Fase 1 (0-12 meses): </w:t>
      </w:r>
      <w:r>
        <w:t>ingeniería básica, definición de localización final (Trevelin vs. Epuyén vs. modelo distribuido — ver sección 5), gestión de financiamiento, inicio de obra civil de la planta de biomasa.</w:t>
      </w:r>
    </w:p>
    <w:p>
      <w:pPr>
        <w:pStyle w:val="ListBullet"/>
      </w:pPr>
      <w:r>
        <w:rPr>
          <w:b/>
        </w:rPr>
        <w:t xml:space="preserve">Fase 2 (12-24 meses): </w:t>
      </w:r>
      <w:r>
        <w:t>montaje de líneas de chipeo/peletizado, puesta en marcha de secado industrial, primeros contratos de abastecimiento con aserraderos.</w:t>
      </w:r>
    </w:p>
    <w:p>
      <w:pPr>
        <w:pStyle w:val="ListBullet"/>
      </w:pPr>
      <w:r>
        <w:rPr>
          <w:b/>
        </w:rPr>
        <w:t xml:space="preserve">Fase 3 (24-36 meses): </w:t>
      </w:r>
      <w:r>
        <w:t>incorporación de líneas de clasificación/certificación y laboratorio, consolidación de la red de proveedores.</w:t>
      </w:r>
    </w:p>
    <w:p>
      <w:r>
        <w:rPr>
          <w:b/>
          <w:i w:val="0"/>
          <w:sz w:val="22"/>
        </w:rPr>
        <w:t>Plazo total preliminar: 30-36 meses hasta operación plena. Esto debe confirmarse con un cronograma de obra detallado en la etapa de factibilidad.</w:t>
      </w:r>
    </w:p>
    <w:p>
      <w:pPr>
        <w:pStyle w:val="Heading1"/>
      </w:pPr>
      <w:r>
        <w:t>4. Identificación técnica de las alternativas</w:t>
      </w:r>
    </w:p>
    <w:p>
      <w:r>
        <w:rPr>
          <w:b/>
          <w:i w:val="0"/>
          <w:sz w:val="22"/>
        </w:rPr>
        <w:t>¿Existen soluciones alternativas? SÍ</w:t>
      </w:r>
    </w:p>
    <w:p>
      <w:r>
        <w:rPr>
          <w:b w:val="0"/>
          <w:i w:val="0"/>
          <w:sz w:val="22"/>
        </w:rPr>
        <w:t>Este es un punto donde ya tenemos trabajo hecho gracias a la línea de base (docs/linea-base-bioeconomia-forestal.md): el "radio logístico óptimo de 25-30 km" y la tabla de costos por nodo (El Hoyo $228/t vs. Corcovado $288/t) dan evidencia concreta para comparar dos modelos.</w:t>
      </w:r>
    </w:p>
    <w:p>
      <w:pPr>
        <w:pStyle w:val="Heading3"/>
      </w:pPr>
      <w:r>
        <w:t>Alternativa 1 — Polo centralizado único</w:t>
      </w:r>
    </w:p>
    <w:p>
      <w:r>
        <w:rPr>
          <w:b w:val="0"/>
          <w:i w:val="0"/>
          <w:sz w:val="22"/>
        </w:rPr>
        <w:t>Descripción: una única planta que concentra todos los servicios (secado, clasificación, chipeado/peletizado, laboratorio, biomateriales), localizada en Trevelin o Epuyén — los dos nodos que ya identifica el TP1 como posibles sedes.</w:t>
      </w:r>
    </w:p>
    <w:tbl>
      <w:tblPr>
        <w:tblStyle w:val="LightGrid-Accent1"/>
        <w:tblW w:type="auto" w:w="0"/>
        <w:jc w:val="center"/>
        <w:tblLook w:firstColumn="1" w:firstRow="1" w:lastColumn="0" w:lastRow="0" w:noHBand="0" w:noVBand="1" w:val="04A0"/>
      </w:tblPr>
      <w:tblGrid>
        <w:gridCol w:w="4873"/>
        <w:gridCol w:w="4873"/>
      </w:tblGrid>
      <w:tr>
        <w:tc>
          <w:tcPr>
            <w:tcW w:type="dxa" w:w="2835"/>
            <w:shd w:val="clear" w:color="auto" w:fill="2E5B3C"/>
          </w:tcPr>
          <w:p>
            <w:r>
              <w:rPr>
                <w:b/>
                <w:color w:val="FFFFFF"/>
                <w:sz w:val="20"/>
              </w:rPr>
              <w:t>Campo</w:t>
            </w:r>
          </w:p>
        </w:tc>
        <w:tc>
          <w:tcPr>
            <w:tcW w:type="dxa" w:w="6236"/>
            <w:shd w:val="clear" w:color="auto" w:fill="2E5B3C"/>
          </w:tcPr>
          <w:p>
            <w:r>
              <w:rPr>
                <w:b/>
                <w:color w:val="FFFFFF"/>
                <w:sz w:val="20"/>
              </w:rPr>
              <w:t>Detalle</w:t>
            </w:r>
          </w:p>
        </w:tc>
      </w:tr>
      <w:tr>
        <w:tc>
          <w:tcPr>
            <w:tcW w:type="dxa" w:w="2835"/>
          </w:tcPr>
          <w:p>
            <w:r>
              <w:rPr>
                <w:sz w:val="20"/>
              </w:rPr>
              <w:t>Inversión</w:t>
            </w:r>
          </w:p>
        </w:tc>
        <w:tc>
          <w:tcPr>
            <w:tcW w:type="dxa" w:w="6236"/>
          </w:tcPr>
          <w:p>
            <w:r>
              <w:rPr>
                <w:sz w:val="20"/>
              </w:rPr>
              <w:t>Piso conocido: USD 1,52M (solo la planta de biomasa, CFI 2019). Resto de la infraestructura: pendiente de costeo.</w:t>
            </w:r>
          </w:p>
        </w:tc>
      </w:tr>
      <w:tr>
        <w:tc>
          <w:tcPr>
            <w:tcW w:type="dxa" w:w="2835"/>
          </w:tcPr>
          <w:p>
            <w:r>
              <w:rPr>
                <w:sz w:val="20"/>
              </w:rPr>
              <w:t>Monto de Operación y Mantenimiento</w:t>
            </w:r>
          </w:p>
        </w:tc>
        <w:tc>
          <w:tcPr>
            <w:tcW w:type="dxa" w:w="6236"/>
          </w:tcPr>
          <w:p>
            <w:r>
              <w:rPr>
                <w:sz w:val="20"/>
              </w:rPr>
              <w:t>Opex de referencia (planta de biomasa, CFI 2019): USD 63-121/t según producto y nivel de uso. Resto: pendiente.</w:t>
            </w:r>
          </w:p>
        </w:tc>
      </w:tr>
    </w:tbl>
    <w:p/>
    <w:p>
      <w:pPr>
        <w:pStyle w:val="Heading3"/>
      </w:pPr>
      <w:r>
        <w:t>Alternativa 2 — Red distribuida de nodos satélite</w:t>
      </w:r>
    </w:p>
    <w:p>
      <w:r>
        <w:rPr>
          <w:b w:val="0"/>
          <w:i w:val="0"/>
          <w:sz w:val="22"/>
        </w:rPr>
        <w:t>Descripción: procesamiento primario y acopio en varias localidades (El Hoyo, Trevelin, Esquel, posiblemente Corcovado), conectados a una planta central de mayor valor agregado. Respeta el radio logístico óptimo de ≤25-30 km identificado en la línea de base de Chile/Patagonia.</w:t>
      </w:r>
    </w:p>
    <w:tbl>
      <w:tblPr>
        <w:tblStyle w:val="LightGrid-Accent1"/>
        <w:tblW w:type="auto" w:w="0"/>
        <w:jc w:val="center"/>
        <w:tblLook w:firstColumn="1" w:firstRow="1" w:lastColumn="0" w:lastRow="0" w:noHBand="0" w:noVBand="1" w:val="04A0"/>
      </w:tblPr>
      <w:tblGrid>
        <w:gridCol w:w="4873"/>
        <w:gridCol w:w="4873"/>
      </w:tblGrid>
      <w:tr>
        <w:tc>
          <w:tcPr>
            <w:tcW w:type="dxa" w:w="2835"/>
            <w:shd w:val="clear" w:color="auto" w:fill="2E5B3C"/>
          </w:tcPr>
          <w:p>
            <w:r>
              <w:rPr>
                <w:b/>
                <w:color w:val="FFFFFF"/>
                <w:sz w:val="20"/>
              </w:rPr>
              <w:t>Campo</w:t>
            </w:r>
          </w:p>
        </w:tc>
        <w:tc>
          <w:tcPr>
            <w:tcW w:type="dxa" w:w="6236"/>
            <w:shd w:val="clear" w:color="auto" w:fill="2E5B3C"/>
          </w:tcPr>
          <w:p>
            <w:r>
              <w:rPr>
                <w:b/>
                <w:color w:val="FFFFFF"/>
                <w:sz w:val="20"/>
              </w:rPr>
              <w:t>Detalle</w:t>
            </w:r>
          </w:p>
        </w:tc>
      </w:tr>
      <w:tr>
        <w:tc>
          <w:tcPr>
            <w:tcW w:type="dxa" w:w="2835"/>
          </w:tcPr>
          <w:p>
            <w:r>
              <w:rPr>
                <w:sz w:val="20"/>
              </w:rPr>
              <w:t>Inversión</w:t>
            </w:r>
          </w:p>
        </w:tc>
        <w:tc>
          <w:tcPr>
            <w:tcW w:type="dxa" w:w="6236"/>
          </w:tcPr>
          <w:p>
            <w:r>
              <w:rPr>
                <w:sz w:val="20"/>
              </w:rPr>
              <w:t>Mayor que la Alternativa 1 por duplicación de equipos menores en cada nodo. Pendiente de costeo.</w:t>
            </w:r>
          </w:p>
        </w:tc>
      </w:tr>
      <w:tr>
        <w:tc>
          <w:tcPr>
            <w:tcW w:type="dxa" w:w="2835"/>
          </w:tcPr>
          <w:p>
            <w:r>
              <w:rPr>
                <w:sz w:val="20"/>
              </w:rPr>
              <w:t>Monto de Operación y Mantenimiento</w:t>
            </w:r>
          </w:p>
        </w:tc>
        <w:tc>
          <w:tcPr>
            <w:tcW w:type="dxa" w:w="6236"/>
          </w:tcPr>
          <w:p>
            <w:r>
              <w:rPr>
                <w:sz w:val="20"/>
              </w:rPr>
              <w:t>Menor costo logístico de acopio (evita el sobrecosto de distancia que ya se ve en Corcovado, $288/t vs. El Hoyo $228/t), pero mayor complejidad de gestión y gobernanza (múltiples sitios a coordinar). Pendiente de costeo.</w:t>
            </w:r>
          </w:p>
        </w:tc>
      </w:tr>
    </w:tbl>
    <w:p/>
    <w:p>
      <w:pPr>
        <w:pStyle w:val="Heading3"/>
      </w:pPr>
      <w:r>
        <w:t>d) Beneficios económicos de cada alternativa</w:t>
      </w:r>
    </w:p>
    <w:tbl>
      <w:tblPr>
        <w:tblStyle w:val="LightGrid-Accent1"/>
        <w:tblW w:type="auto" w:w="0"/>
        <w:jc w:val="center"/>
        <w:tblLook w:firstColumn="1" w:firstRow="1" w:lastColumn="0" w:lastRow="0" w:noHBand="0" w:noVBand="1" w:val="04A0"/>
      </w:tblPr>
      <w:tblGrid>
        <w:gridCol w:w="4873"/>
        <w:gridCol w:w="4873"/>
      </w:tblGrid>
      <w:tr>
        <w:tc>
          <w:tcPr>
            <w:tcW w:type="dxa" w:w="2268"/>
            <w:shd w:val="clear" w:color="auto" w:fill="2E5B3C"/>
          </w:tcPr>
          <w:p>
            <w:r>
              <w:rPr>
                <w:b/>
                <w:color w:val="FFFFFF"/>
                <w:sz w:val="20"/>
              </w:rPr>
              <w:t>Alternativa</w:t>
            </w:r>
          </w:p>
        </w:tc>
        <w:tc>
          <w:tcPr>
            <w:tcW w:type="dxa" w:w="6803"/>
            <w:shd w:val="clear" w:color="auto" w:fill="2E5B3C"/>
          </w:tcPr>
          <w:p>
            <w:r>
              <w:rPr>
                <w:b/>
                <w:color w:val="FFFFFF"/>
                <w:sz w:val="20"/>
              </w:rPr>
              <w:t>Beneficios</w:t>
            </w:r>
          </w:p>
        </w:tc>
      </w:tr>
      <w:tr>
        <w:tc>
          <w:tcPr>
            <w:tcW w:type="dxa" w:w="2268"/>
          </w:tcPr>
          <w:p>
            <w:r>
              <w:rPr>
                <w:sz w:val="20"/>
              </w:rPr>
              <w:t>1 — Centralizada</w:t>
            </w:r>
          </w:p>
        </w:tc>
        <w:tc>
          <w:tcPr>
            <w:tcW w:type="dxa" w:w="6803"/>
          </w:tcPr>
          <w:p>
            <w:r>
              <w:rPr>
                <w:sz w:val="20"/>
              </w:rPr>
              <w:t>Menor inversión inicial, gestión más simple (un solo sitio, un solo equipo operativo), más fácil de fiscalizar (coincide con la recomendación del antecedente CFI 2019 de concentrar el control en pocos puntos).</w:t>
            </w:r>
          </w:p>
        </w:tc>
      </w:tr>
      <w:tr>
        <w:tc>
          <w:tcPr>
            <w:tcW w:type="dxa" w:w="2268"/>
          </w:tcPr>
          <w:p>
            <w:r>
              <w:rPr>
                <w:sz w:val="20"/>
              </w:rPr>
              <w:t>2 — Distribuida</w:t>
            </w:r>
          </w:p>
        </w:tc>
        <w:tc>
          <w:tcPr>
            <w:tcW w:type="dxa" w:w="6803"/>
          </w:tcPr>
          <w:p>
            <w:r>
              <w:rPr>
                <w:sz w:val="20"/>
              </w:rPr>
              <w:t>Menor costo logístico de transporte de biomasa (el diferencial entre nodos ya está cuantificado), reduce la exposición a que un solo sitio concentre todo el riesgo (incendio, corte de ruta), y permite escalar gradualmente nodo por nodo.</w:t>
            </w:r>
          </w:p>
        </w:tc>
      </w:tr>
    </w:tbl>
    <w:p/>
    <w:p>
      <w:r>
        <w:rPr>
          <w:b/>
          <w:i w:val="0"/>
          <w:sz w:val="22"/>
        </w:rPr>
        <w:t>Recomendación preliminar: seguir con la Alternativa 1 (centralizada) para la fase inicial — es la que ya tiene desarrollo en el TP1 y cuenta con costeo parcial real — y dejar la Alternativa 2 como escenario de expansión futura, tal como sugiere el propio antecedente CFI 2019 al hablar de fases de despliegue.</w:t>
      </w:r>
    </w:p>
    <w:p>
      <w:pPr>
        <w:pStyle w:val="Heading1"/>
      </w:pPr>
      <w:r>
        <w:t>5. Procedimiento de recupero de la inversión</w:t>
      </w:r>
    </w:p>
    <w:p>
      <w:r>
        <w:rPr>
          <w:b w:val="0"/>
          <w:i w:val="0"/>
          <w:sz w:val="22"/>
        </w:rPr>
        <w:t>Este punto no se inventa — ya lo resolvió el antecedente CFI 2019 de forma explícita y es importante no repetir el error de plantear la venta de energía a la red (ver docs/antecedente-plan-dendroenergetico-2019.md, sección "por qué no vender al SADI"). Los instrumentos de recupero son:</w:t>
      </w:r>
    </w:p>
    <w:p>
      <w:pPr>
        <w:pStyle w:val="ListNumber"/>
      </w:pPr>
      <w:r>
        <w:rPr>
          <w:b/>
        </w:rPr>
        <w:t xml:space="preserve">Tarifario de servicios a aserraderos y pymes </w:t>
      </w:r>
      <w:r>
        <w:t>(secado, clasificación, chipeado) bajo modelo de "acceso abierto" — el Polo cobra por uso, no compite con los aserraderos existentes. Este modelo evita el principal temor identificado en la línea de base de Patagonia (que el Polo se vuelva un competidor estatal).</w:t>
      </w:r>
    </w:p>
    <w:p>
      <w:pPr>
        <w:pStyle w:val="ListNumber"/>
      </w:pPr>
      <w:r>
        <w:rPr>
          <w:b/>
        </w:rPr>
        <w:t xml:space="preserve">Venta de productos de mayor valor agregado </w:t>
      </w:r>
      <w:r>
        <w:t>generados en la propia planta: pellets y chips de pino (bosque implantado), madera clasificada y certificada. Incluye demanda institucional (usinas y edificios públicos que operen con biomasa) vía contratos de abastecimiento de mediano plazo. (Se descarta el biochar — validación técnica de Damián Soto, Ingeniero Forestal, CORFO/Secretaría de Bosques de Chubut.)</w:t>
      </w:r>
    </w:p>
    <w:p>
      <w:r>
        <w:rPr>
          <w:i/>
          <w:color w:val="555555"/>
        </w:rPr>
        <w:t>Nota: se dejó fuera de este listado el ahorro fiscal provincial por sustitución de diésel/GLP (USD 800.000-1.000.000/año, CFI 2019) — es un beneficio real y cuantificado, pero corresponde al componente energético del proyecto, no es un flujo de recupero de la inversión industrial del Polo en sí. Conviene mencionarlo en la sección de beneficios/impacto, no acá.</w:t>
      </w:r>
    </w:p>
    <w:p>
      <w:r>
        <w:rPr>
          <w:i/>
          <w:color w:val="555555"/>
        </w:rPr>
        <w:t>Pendiente: cuantificar cada uno de estos dos flujos con un modelo financiero (flujo de fondos, VAN, TIR) — corresponde a la etapa de Pre-factibilidad/Factibilidad según la Guía BFPI, no a esta entrega.</w:t>
      </w:r>
    </w:p>
    <w:p>
      <w:r>
        <w:br w:type="page"/>
      </w:r>
    </w:p>
    <w:p>
      <w:pPr>
        <w:pStyle w:val="Heading1"/>
      </w:pPr>
      <w:r>
        <w:t>Anexo — Ficha de Identificación Temprana de Riesgos e Impactos Ambientales y Sociales</w:t>
      </w:r>
    </w:p>
    <w:p>
      <w:r>
        <w:rPr>
          <w:i/>
          <w:color w:val="555555"/>
        </w:rPr>
        <w:t>En la Guía BFPI esto es el "Anexo 1"; en la plantilla del curso aparece como "Anexo II" — es el mismo instrumento.</w:t>
      </w:r>
    </w:p>
    <w:p>
      <w:pPr>
        <w:pStyle w:val="Heading2"/>
      </w:pPr>
      <w:r>
        <w:t>PARTE A — Información general del proyecto</w:t>
      </w:r>
    </w:p>
    <w:tbl>
      <w:tblPr>
        <w:tblStyle w:val="LightGrid-Accent1"/>
        <w:tblW w:type="auto" w:w="0"/>
        <w:jc w:val="center"/>
        <w:tblLook w:firstColumn="1" w:firstRow="1" w:lastColumn="0" w:lastRow="0" w:noHBand="0" w:noVBand="1" w:val="04A0"/>
      </w:tblPr>
      <w:tblGrid>
        <w:gridCol w:w="4873"/>
        <w:gridCol w:w="4873"/>
      </w:tblGrid>
      <w:tr>
        <w:tc>
          <w:tcPr>
            <w:tcW w:type="dxa" w:w="2835"/>
            <w:shd w:val="clear" w:color="auto" w:fill="2E5B3C"/>
          </w:tcPr>
          <w:p>
            <w:r>
              <w:rPr>
                <w:b/>
                <w:color w:val="FFFFFF"/>
                <w:sz w:val="20"/>
              </w:rPr>
              <w:t>Campo</w:t>
            </w:r>
          </w:p>
        </w:tc>
        <w:tc>
          <w:tcPr>
            <w:tcW w:type="dxa" w:w="6236"/>
            <w:shd w:val="clear" w:color="auto" w:fill="2E5B3C"/>
          </w:tcPr>
          <w:p>
            <w:r>
              <w:rPr>
                <w:b/>
                <w:color w:val="FFFFFF"/>
                <w:sz w:val="20"/>
              </w:rPr>
              <w:t>Contenido</w:t>
            </w:r>
          </w:p>
        </w:tc>
      </w:tr>
      <w:tr>
        <w:tc>
          <w:tcPr>
            <w:tcW w:type="dxa" w:w="2835"/>
          </w:tcPr>
          <w:p>
            <w:r>
              <w:rPr>
                <w:sz w:val="20"/>
              </w:rPr>
              <w:t>Organismo solicitante</w:t>
            </w:r>
          </w:p>
        </w:tc>
        <w:tc>
          <w:tcPr>
            <w:tcW w:type="dxa" w:w="6236"/>
          </w:tcPr>
          <w:p>
            <w:r>
              <w:rPr>
                <w:sz w:val="20"/>
              </w:rPr>
              <w:t>A confirmar con el usuario. Candidato lógico por continuidad institucional: Ministerio de Producción de Chubut (ya aparece en la línea de base como el actor que preside el consorcio propuesto para el Polo).</w:t>
            </w:r>
          </w:p>
        </w:tc>
      </w:tr>
      <w:tr>
        <w:tc>
          <w:tcPr>
            <w:tcW w:type="dxa" w:w="2835"/>
          </w:tcPr>
          <w:p>
            <w:r>
              <w:rPr>
                <w:sz w:val="20"/>
              </w:rPr>
              <w:t>Tipología de proyecto</w:t>
            </w:r>
          </w:p>
        </w:tc>
        <w:tc>
          <w:tcPr>
            <w:tcW w:type="dxa" w:w="6236"/>
          </w:tcPr>
          <w:p>
            <w:r>
              <w:rPr>
                <w:sz w:val="20"/>
              </w:rPr>
              <w:t>Pendiente confirmar contra el listado oficial del BFPI (la Guía remite a un listado de la Dirección Nacional de Inversión Pública). Por el contenido del proyecto, la categoría más cercana es "infraestructura productiva / desarrollo productivo industrial", pero debe verificarse contra el listado real antes de consignarlo.</w:t>
            </w:r>
          </w:p>
        </w:tc>
      </w:tr>
      <w:tr>
        <w:tc>
          <w:tcPr>
            <w:tcW w:type="dxa" w:w="2835"/>
          </w:tcPr>
          <w:p>
            <w:r>
              <w:rPr>
                <w:sz w:val="20"/>
              </w:rPr>
              <w:t>Denominación del proyecto específico</w:t>
            </w:r>
          </w:p>
        </w:tc>
        <w:tc>
          <w:tcPr>
            <w:tcW w:type="dxa" w:w="6236"/>
          </w:tcPr>
          <w:p>
            <w:r>
              <w:rPr>
                <w:sz w:val="20"/>
              </w:rPr>
              <w:t>Polo Tecnológico Forestal en el Noroeste de la Provincia del Chubut</w:t>
            </w:r>
          </w:p>
        </w:tc>
      </w:tr>
      <w:tr>
        <w:tc>
          <w:tcPr>
            <w:tcW w:type="dxa" w:w="2835"/>
          </w:tcPr>
          <w:p>
            <w:r>
              <w:rPr>
                <w:sz w:val="20"/>
              </w:rPr>
              <w:t>Ubicación del proyecto</w:t>
            </w:r>
          </w:p>
        </w:tc>
        <w:tc>
          <w:tcPr>
            <w:tcW w:type="dxa" w:w="6236"/>
          </w:tcPr>
          <w:p>
            <w:r>
              <w:rPr>
                <w:sz w:val="20"/>
              </w:rPr>
              <w:t>Departamentos Futaleufú y Cushamen, Chubut — localidades de Esquel, Trevelin, Lago Puelo y El Hoyo</w:t>
            </w:r>
          </w:p>
        </w:tc>
      </w:tr>
      <w:tr>
        <w:tc>
          <w:tcPr>
            <w:tcW w:type="dxa" w:w="2835"/>
          </w:tcPr>
          <w:p>
            <w:r>
              <w:rPr>
                <w:sz w:val="20"/>
              </w:rPr>
              <w:t>Fecha de elaboración de la ficha</w:t>
            </w:r>
          </w:p>
        </w:tc>
        <w:tc>
          <w:tcPr>
            <w:tcW w:type="dxa" w:w="6236"/>
          </w:tcPr>
          <w:p>
            <w:r>
              <w:rPr>
                <w:sz w:val="20"/>
              </w:rPr>
              <w:t>Pendiente (dato administrativo)</w:t>
            </w:r>
          </w:p>
        </w:tc>
      </w:tr>
      <w:tr>
        <w:tc>
          <w:tcPr>
            <w:tcW w:type="dxa" w:w="2835"/>
          </w:tcPr>
          <w:p>
            <w:r>
              <w:rPr>
                <w:sz w:val="20"/>
              </w:rPr>
              <w:t>Responsable de la elaboración de la ficha</w:t>
            </w:r>
          </w:p>
        </w:tc>
        <w:tc>
          <w:tcPr>
            <w:tcW w:type="dxa" w:w="6236"/>
          </w:tcPr>
          <w:p>
            <w:r>
              <w:rPr>
                <w:sz w:val="20"/>
              </w:rPr>
              <w:t>Pendiente (nombre, rol y área del equipo del TP)</w:t>
            </w:r>
          </w:p>
        </w:tc>
      </w:tr>
    </w:tbl>
    <w:p/>
    <w:p>
      <w:r>
        <w:rPr>
          <w:b w:val="0"/>
          <w:i w:val="0"/>
          <w:sz w:val="22"/>
        </w:rPr>
        <w:t>Descripción general del proyecto y objetivos/componentes: ya está resuelto en el TP1 (Formulario Perfil, secciones a y d) — se puede volcar directamente desde docs/proyecto-resumen.md.</w:t>
      </w:r>
    </w:p>
    <w:p>
      <w:pPr>
        <w:pStyle w:val="Heading2"/>
      </w:pPr>
      <w:r>
        <w:t>2. Alternativas técnicas (ambiental y social)</w:t>
      </w:r>
    </w:p>
    <w:p>
      <w:r>
        <w:rPr>
          <w:b w:val="0"/>
          <w:i w:val="0"/>
          <w:sz w:val="22"/>
        </w:rPr>
        <w:t>¿Se han identificado más de una alternativa técnica? SÍ — las dos de la sección 4 de este documento (Polo centralizado vs. red distribuida).</w:t>
      </w:r>
    </w:p>
    <w:p>
      <w:r>
        <w:rPr>
          <w:b w:val="0"/>
          <w:i w:val="0"/>
          <w:sz w:val="22"/>
        </w:rPr>
        <w:t>¿Pueden tener implicancias ambientales y sociales diferentes? SÍ, preliminarmente:</w:t>
      </w:r>
    </w:p>
    <w:p>
      <w:pPr>
        <w:pStyle w:val="ListBullet"/>
      </w:pPr>
      <w:r>
        <w:rPr>
          <w:b/>
        </w:rPr>
        <w:t xml:space="preserve">Alternativa 1 (centralizada): </w:t>
      </w:r>
      <w:r>
        <w:t>concentra el tránsito de camiones de biomasa en una sola ruta de acceso — más fácil de fiscalizar (coincide con lo que recomienda el antecedente CFI 2019), pero mayor huella puntual de infraestructura industrial en un solo sitio.</w:t>
      </w:r>
    </w:p>
    <w:p>
      <w:pPr>
        <w:pStyle w:val="ListBullet"/>
      </w:pPr>
      <w:r>
        <w:rPr>
          <w:b/>
        </w:rPr>
        <w:t xml:space="preserve">Alternativa 2 (distribuida): </w:t>
      </w:r>
      <w:r>
        <w:t>reparte el tránsito y la huella entre varios sitios — menor impacto puntual por nodo, pero huella total de infraestructura mayor y más puntos que fiscalizar (justo el problema que el CFI 2019 identifica como debilidad estructural del control forestal en la provincia).</w:t>
      </w:r>
    </w:p>
    <w:p>
      <w:r>
        <w:rPr>
          <w:i/>
          <w:color w:val="555555"/>
        </w:rPr>
        <w:t>Mapa con infraestructura prevista y área de influencia: pendiente — requiere trabajo de cartografía (Google Earth / archivo .kmz, tal como pide la Guía BFPI).</w:t>
      </w:r>
    </w:p>
    <w:p>
      <w:pPr>
        <w:pStyle w:val="Heading2"/>
      </w:pPr>
      <w:r>
        <w:t>Temas clave que requieren atención especial (Parte B de la Ficha oficial)</w:t>
      </w:r>
    </w:p>
    <w:p>
      <w:r>
        <w:rPr>
          <w:b w:val="0"/>
          <w:i w:val="0"/>
          <w:sz w:val="22"/>
        </w:rPr>
        <w:t>Revisando el cuestionario completo de la Guía BFPI contra lo que ya sabemos del proyecto, estos son los puntos que sí aplican y que hay que documentar con más detalle antes de avanzar a Pre-factibilidad:</w:t>
      </w:r>
    </w:p>
    <w:p>
      <w:pPr>
        <w:pStyle w:val="ListBullet"/>
      </w:pPr>
      <w:r>
        <w:rPr>
          <w:b/>
        </w:rPr>
        <w:t xml:space="preserve">Recurso hídrico: </w:t>
      </w:r>
      <w:r>
        <w:t>el proceso de secado y tratamiento de madera puede requerir captación de agua — a evaluar según el diseño técnico final.</w:t>
      </w:r>
    </w:p>
    <w:p>
      <w:pPr>
        <w:pStyle w:val="ListBullet"/>
      </w:pPr>
      <w:r>
        <w:rPr>
          <w:b/>
        </w:rPr>
        <w:t xml:space="preserve">Biodiversidad / bosque nativo: </w:t>
      </w:r>
      <w:r>
        <w:t>el área de influencia incluye bosque nativo (ñirantales, según la línea de base). El antecedente CFI 2019 es explícito: "no están dadas las condiciones" para el uso intensivo de bosque nativo como fuente de biomasa sin un plan de fiscalización real. Esto debe quedar documentado en la Ficha como riesgo a gestionar, no ignorarlo.</w:t>
      </w:r>
    </w:p>
    <w:p>
      <w:pPr>
        <w:pStyle w:val="ListBullet"/>
      </w:pPr>
      <w:r>
        <w:rPr>
          <w:b/>
        </w:rPr>
        <w:t xml:space="preserve">Pueblos indígenas: </w:t>
      </w:r>
      <w:r>
        <w:t>la Comarca Andina y el Noroeste de Chubut tienen presencia de comunidades mapuche-tehuelche. Pendiente verificar contra registros oficiales (INAI, IAC de Chubut) si hay comunidades reconocidas en los departamentos Futaleufú y Cushamen que puedan verse afectadas o beneficiadas — este dato es obligatorio para la Ficha y no está resuelto en ninguno de los documentos que tenemos hasta ahora.</w:t>
      </w:r>
    </w:p>
    <w:p>
      <w:pPr>
        <w:pStyle w:val="ListBullet"/>
      </w:pPr>
      <w:r>
        <w:rPr>
          <w:b/>
        </w:rPr>
        <w:t xml:space="preserve">Riesgo de incendios: </w:t>
      </w:r>
      <w:r>
        <w:t>el propio proyecto busca reducir este riesgo (al valorizar biomasa que hoy se acumula como combustible), así que corresponde documentarlo como impacto positivo/mitigación, no como riesgo del proyecto.</w:t>
      </w:r>
    </w:p>
    <w:p>
      <w:pPr>
        <w:pStyle w:val="Heading2"/>
      </w:pPr>
      <w:r>
        <w:t>Clasificación ambiental preliminar (Parte D)</w:t>
      </w:r>
    </w:p>
    <w:p>
      <w:r>
        <w:rPr>
          <w:b w:val="0"/>
          <w:i w:val="0"/>
          <w:sz w:val="22"/>
        </w:rPr>
        <w:t>Con la información disponible, ninguna de las dos alternativas activa la "lista de exclusión" (no hay desplazamiento poblacional previsto, no hay afectación de hábitats críticos identificada, no es una actividad prohibida). Clasificación preliminar razonable: Categoría B — impactos moderados, localizados, con medidas de mitigación conocidas y disponibles (manejo de biomasa, control de tránsito, protocolos de origen sostenible de la madera). Esto es una estimación preliminar del equipo, no una clasificación oficial — la clasificación final la determina el CFI en base a la Ficha completa.</w:t>
      </w:r>
    </w:p>
    <w:p>
      <w:r>
        <w:br w:type="page"/>
      </w:r>
    </w:p>
    <w:p>
      <w:pPr>
        <w:pStyle w:val="Heading1"/>
      </w:pPr>
      <w:r>
        <w:t>Resumen: qué está resuelto y qué sigue pendiente</w:t>
      </w:r>
    </w:p>
    <w:tbl>
      <w:tblPr>
        <w:tblStyle w:val="LightGrid-Accent1"/>
        <w:tblW w:type="auto" w:w="0"/>
        <w:jc w:val="center"/>
        <w:tblLook w:firstColumn="1" w:firstRow="1" w:lastColumn="0" w:lastRow="0" w:noHBand="0" w:noVBand="1" w:val="04A0"/>
      </w:tblPr>
      <w:tblGrid>
        <w:gridCol w:w="4873"/>
        <w:gridCol w:w="4873"/>
      </w:tblGrid>
      <w:tr>
        <w:tc>
          <w:tcPr>
            <w:tcW w:type="dxa" w:w="4535"/>
            <w:shd w:val="clear" w:color="auto" w:fill="2E5B3C"/>
          </w:tcPr>
          <w:p>
            <w:r>
              <w:rPr>
                <w:b/>
                <w:color w:val="FFFFFF"/>
                <w:sz w:val="20"/>
              </w:rPr>
              <w:t>Sección</w:t>
            </w:r>
          </w:p>
        </w:tc>
        <w:tc>
          <w:tcPr>
            <w:tcW w:type="dxa" w:w="4535"/>
            <w:shd w:val="clear" w:color="auto" w:fill="2E5B3C"/>
          </w:tcPr>
          <w:p>
            <w:r>
              <w:rPr>
                <w:b/>
                <w:color w:val="FFFFFF"/>
                <w:sz w:val="20"/>
              </w:rPr>
              <w:t>Estado</w:t>
            </w:r>
          </w:p>
        </w:tc>
      </w:tr>
      <w:tr>
        <w:tc>
          <w:tcPr>
            <w:tcW w:type="dxa" w:w="4535"/>
          </w:tcPr>
          <w:p>
            <w:r>
              <w:rPr>
                <w:sz w:val="20"/>
              </w:rPr>
              <w:t>Datos de cabecera (nombre, provincia)</w:t>
            </w:r>
          </w:p>
        </w:tc>
        <w:tc>
          <w:tcPr>
            <w:tcW w:type="dxa" w:w="4535"/>
          </w:tcPr>
          <w:p>
            <w:r>
              <w:rPr>
                <w:sz w:val="20"/>
              </w:rPr>
              <w:t>Resuelto</w:t>
            </w:r>
          </w:p>
        </w:tc>
      </w:tr>
      <w:tr>
        <w:tc>
          <w:tcPr>
            <w:tcW w:type="dxa" w:w="4535"/>
          </w:tcPr>
          <w:p>
            <w:r>
              <w:rPr>
                <w:sz w:val="20"/>
              </w:rPr>
              <w:t>Monto de inversión</w:t>
            </w:r>
          </w:p>
        </w:tc>
        <w:tc>
          <w:tcPr>
            <w:tcW w:type="dxa" w:w="4535"/>
          </w:tcPr>
          <w:p>
            <w:r>
              <w:rPr>
                <w:sz w:val="20"/>
              </w:rPr>
              <w:t>Pendiente — requiere ingeniería básica</w:t>
            </w:r>
          </w:p>
        </w:tc>
      </w:tr>
      <w:tr>
        <w:tc>
          <w:tcPr>
            <w:tcW w:type="dxa" w:w="4535"/>
          </w:tcPr>
          <w:p>
            <w:r>
              <w:rPr>
                <w:sz w:val="20"/>
              </w:rPr>
              <w:t>Beneficiarios directos/indirectos</w:t>
            </w:r>
          </w:p>
        </w:tc>
        <w:tc>
          <w:tcPr>
            <w:tcW w:type="dxa" w:w="4535"/>
          </w:tcPr>
          <w:p>
            <w:r>
              <w:rPr>
                <w:sz w:val="20"/>
              </w:rPr>
              <w:t>Base sólida, falta cuantificar empleo actual de los 51 aserraderos</w:t>
            </w:r>
          </w:p>
        </w:tc>
      </w:tr>
      <w:tr>
        <w:tc>
          <w:tcPr>
            <w:tcW w:type="dxa" w:w="4535"/>
          </w:tcPr>
          <w:p>
            <w:r>
              <w:rPr>
                <w:sz w:val="20"/>
              </w:rPr>
              <w:t>Plazo estimado</w:t>
            </w:r>
          </w:p>
        </w:tc>
        <w:tc>
          <w:tcPr>
            <w:tcW w:type="dxa" w:w="4535"/>
          </w:tcPr>
          <w:p>
            <w:r>
              <w:rPr>
                <w:sz w:val="20"/>
              </w:rPr>
              <w:t>Estimación razonada (30-36 meses), a confirmar con cronograma real</w:t>
            </w:r>
          </w:p>
        </w:tc>
      </w:tr>
      <w:tr>
        <w:tc>
          <w:tcPr>
            <w:tcW w:type="dxa" w:w="4535"/>
          </w:tcPr>
          <w:p>
            <w:r>
              <w:rPr>
                <w:sz w:val="20"/>
              </w:rPr>
              <w:t>Alternativas técnicas</w:t>
            </w:r>
          </w:p>
        </w:tc>
        <w:tc>
          <w:tcPr>
            <w:tcW w:type="dxa" w:w="4535"/>
          </w:tcPr>
          <w:p>
            <w:r>
              <w:rPr>
                <w:sz w:val="20"/>
              </w:rPr>
              <w:t>Dos alternativas bien fundamentadas con evidencia de la línea de base</w:t>
            </w:r>
          </w:p>
        </w:tc>
      </w:tr>
      <w:tr>
        <w:tc>
          <w:tcPr>
            <w:tcW w:type="dxa" w:w="4535"/>
          </w:tcPr>
          <w:p>
            <w:r>
              <w:rPr>
                <w:sz w:val="20"/>
              </w:rPr>
              <w:t>Beneficios económicos por alternativa</w:t>
            </w:r>
          </w:p>
        </w:tc>
        <w:tc>
          <w:tcPr>
            <w:tcW w:type="dxa" w:w="4535"/>
          </w:tcPr>
          <w:p>
            <w:r>
              <w:rPr>
                <w:sz w:val="20"/>
              </w:rPr>
              <w:t>Cualitativo resuelto, cuantificación pendiente</w:t>
            </w:r>
          </w:p>
        </w:tc>
      </w:tr>
      <w:tr>
        <w:tc>
          <w:tcPr>
            <w:tcW w:type="dxa" w:w="4535"/>
          </w:tcPr>
          <w:p>
            <w:r>
              <w:rPr>
                <w:sz w:val="20"/>
              </w:rPr>
              <w:t>Procedimiento de recupero</w:t>
            </w:r>
          </w:p>
        </w:tc>
        <w:tc>
          <w:tcPr>
            <w:tcW w:type="dxa" w:w="4535"/>
          </w:tcPr>
          <w:p>
            <w:r>
              <w:rPr>
                <w:sz w:val="20"/>
              </w:rPr>
              <w:t>Los 2 mecanismos (tarifario + venta de productos) están identificados; el ahorro fiscal se separó como beneficio energético, no como recupero</w:t>
            </w:r>
          </w:p>
        </w:tc>
      </w:tr>
      <w:tr>
        <w:tc>
          <w:tcPr>
            <w:tcW w:type="dxa" w:w="4535"/>
          </w:tcPr>
          <w:p>
            <w:r>
              <w:rPr>
                <w:sz w:val="20"/>
              </w:rPr>
              <w:t>Ficha Parte A (datos generales)</w:t>
            </w:r>
          </w:p>
        </w:tc>
        <w:tc>
          <w:tcPr>
            <w:tcW w:type="dxa" w:w="4535"/>
          </w:tcPr>
          <w:p>
            <w:r>
              <w:rPr>
                <w:sz w:val="20"/>
              </w:rPr>
              <w:t>Faltan datos administrativos (organismo, fecha, responsable, tipología oficial)</w:t>
            </w:r>
          </w:p>
        </w:tc>
      </w:tr>
      <w:tr>
        <w:tc>
          <w:tcPr>
            <w:tcW w:type="dxa" w:w="4535"/>
          </w:tcPr>
          <w:p>
            <w:r>
              <w:rPr>
                <w:sz w:val="20"/>
              </w:rPr>
              <w:t>Ficha — alternativas técnicas ambientales</w:t>
            </w:r>
          </w:p>
        </w:tc>
        <w:tc>
          <w:tcPr>
            <w:tcW w:type="dxa" w:w="4535"/>
          </w:tcPr>
          <w:p>
            <w:r>
              <w:rPr>
                <w:sz w:val="20"/>
              </w:rPr>
              <w:t>Análisis comparativo preliminar hecho</w:t>
            </w:r>
          </w:p>
        </w:tc>
      </w:tr>
      <w:tr>
        <w:tc>
          <w:tcPr>
            <w:tcW w:type="dxa" w:w="4535"/>
          </w:tcPr>
          <w:p>
            <w:r>
              <w:rPr>
                <w:sz w:val="20"/>
              </w:rPr>
              <w:t>Ficha — mapa de infraestructura</w:t>
            </w:r>
          </w:p>
        </w:tc>
        <w:tc>
          <w:tcPr>
            <w:tcW w:type="dxa" w:w="4535"/>
          </w:tcPr>
          <w:p>
            <w:r>
              <w:rPr>
                <w:sz w:val="20"/>
              </w:rPr>
              <w:t>Pendiente (cartografía)</w:t>
            </w:r>
          </w:p>
        </w:tc>
      </w:tr>
      <w:tr>
        <w:tc>
          <w:tcPr>
            <w:tcW w:type="dxa" w:w="4535"/>
          </w:tcPr>
          <w:p>
            <w:r>
              <w:rPr>
                <w:sz w:val="20"/>
              </w:rPr>
              <w:t>Ficha — pueblos indígenas</w:t>
            </w:r>
          </w:p>
        </w:tc>
        <w:tc>
          <w:tcPr>
            <w:tcW w:type="dxa" w:w="4535"/>
          </w:tcPr>
          <w:p>
            <w:r>
              <w:rPr>
                <w:sz w:val="20"/>
              </w:rPr>
              <w:t>Pendiente crítico — no verificado en ninguna fuente</w:t>
            </w:r>
          </w:p>
        </w:tc>
      </w:tr>
      <w:tr>
        <w:tc>
          <w:tcPr>
            <w:tcW w:type="dxa" w:w="4535"/>
          </w:tcPr>
          <w:p>
            <w:r>
              <w:rPr>
                <w:sz w:val="20"/>
              </w:rPr>
              <w:t>Ficha — clasificación ambiental</w:t>
            </w:r>
          </w:p>
        </w:tc>
        <w:tc>
          <w:tcPr>
            <w:tcW w:type="dxa" w:w="4535"/>
          </w:tcPr>
          <w:p>
            <w:r>
              <w:rPr>
                <w:sz w:val="20"/>
              </w:rPr>
              <w:t>Estimación preliminar (Categoría B), a confirmar por el CFI</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