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59B6" w14:textId="77777777" w:rsidR="001739AC" w:rsidRDefault="00000000">
      <w:pPr>
        <w:tabs>
          <w:tab w:val="left" w:pos="3293"/>
          <w:tab w:val="left" w:pos="4345"/>
        </w:tabs>
        <w:spacing w:before="120" w:after="120" w:line="360" w:lineRule="auto"/>
        <w:jc w:val="center"/>
        <w:rPr>
          <w:rFonts w:ascii="Open Sans" w:eastAsia="Open Sans" w:hAnsi="Open Sans" w:cs="Open Sans"/>
          <w:b/>
          <w:bCs/>
          <w:sz w:val="24"/>
          <w:szCs w:val="24"/>
        </w:rPr>
      </w:pPr>
      <w:r>
        <w:rPr>
          <w:rFonts w:ascii="Open Sans" w:eastAsia="Open Sans" w:hAnsi="Open Sans" w:cs="Open Sans"/>
          <w:b/>
          <w:bCs/>
          <w:sz w:val="24"/>
          <w:szCs w:val="24"/>
        </w:rPr>
        <w:t>Formulario Perfil</w:t>
      </w:r>
    </w:p>
    <w:p w14:paraId="00CA6274" w14:textId="77777777" w:rsidR="001739AC" w:rsidRDefault="00000000">
      <w:pPr>
        <w:spacing w:before="120" w:after="120" w:line="360" w:lineRule="auto"/>
        <w:jc w:val="center"/>
        <w:rPr>
          <w:rFonts w:ascii="Open Sans" w:eastAsia="Open Sans" w:hAnsi="Open Sans" w:cs="Open Sans"/>
          <w:b/>
          <w:bCs/>
          <w:sz w:val="24"/>
          <w:szCs w:val="24"/>
        </w:rPr>
      </w:pPr>
      <w:r>
        <w:rPr>
          <w:rFonts w:ascii="Open Sans" w:eastAsia="Open Sans" w:hAnsi="Open Sans" w:cs="Open Sans"/>
          <w:b/>
          <w:bCs/>
          <w:sz w:val="24"/>
          <w:szCs w:val="24"/>
        </w:rPr>
        <w:t>Fuente Nacional / Internacional</w:t>
      </w:r>
    </w:p>
    <w:p w14:paraId="6F2FAC9E" w14:textId="77777777" w:rsidR="001739AC" w:rsidRDefault="001739AC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</w:p>
    <w:p w14:paraId="12FE173F" w14:textId="74A24C2D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NOMBRE DEL PROYECTO:</w:t>
      </w:r>
      <w:r>
        <w:rPr>
          <w:rFonts w:ascii="Open Sans" w:eastAsia="Open Sans" w:hAnsi="Open Sans" w:cs="Open Sans"/>
        </w:rPr>
        <w:t xml:space="preserve"> </w:t>
      </w:r>
      <w:r>
        <w:rPr>
          <w:sz w:val="22"/>
        </w:rPr>
        <w:t>Polo Tecnológico Forestal en el Noroeste de la Provincia del Chubut</w:t>
      </w:r>
    </w:p>
    <w:p w14:paraId="38CE95D7" w14:textId="66C2CCCD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Provincia:</w:t>
      </w:r>
      <w:r>
        <w:rPr>
          <w:sz w:val="22"/>
        </w:rPr>
        <w:t xml:space="preserve"> Chubut</w:t>
      </w:r>
    </w:p>
    <w:p w14:paraId="68573DA8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Monto total de la Inversión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  <w:b/>
          <w:bCs/>
        </w:rPr>
        <w:t xml:space="preserve">: </w:t>
      </w:r>
      <w:r>
        <w:rPr>
          <w:rFonts w:ascii="Open Sans" w:eastAsia="Open Sans" w:hAnsi="Open Sans" w:cs="Open Sans"/>
        </w:rPr>
        <w:t>U$S</w:t>
      </w:r>
      <w:r>
        <w:rPr>
          <w:rFonts w:ascii="Open Sans" w:eastAsia="Open Sans" w:hAnsi="Open Sans" w:cs="Open Sans"/>
          <w:b/>
          <w:bCs/>
        </w:rPr>
        <w:t xml:space="preserve"> </w:t>
      </w:r>
      <w:r>
        <w:rPr>
          <w:sz w:val="22"/>
        </w:rPr>
        <w:t>1.519.362 (cota inferior preliminar: corresponde a la planta de producción de biomasa —chips y pellets—; el costo total del Polo se determinará con la ingeniería básica en la etapa de Prefactibilidad).</w:t>
      </w:r>
    </w:p>
    <w:p w14:paraId="75E54D17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Fecha de presentación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  <w:b/>
          <w:bCs/>
        </w:rPr>
        <w:t xml:space="preserve">: </w:t>
      </w:r>
      <w:r>
        <w:rPr>
          <w:rFonts w:ascii="Open Sans" w:eastAsia="Open Sans" w:hAnsi="Open Sans" w:cs="Open Sans"/>
        </w:rPr>
        <w:t>Octubre 2026</w:t>
      </w:r>
    </w:p>
    <w:p w14:paraId="78CB5D3E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Moneda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  <w:b/>
          <w:bCs/>
        </w:rPr>
        <w:t xml:space="preserve">: </w:t>
      </w:r>
      <w:r>
        <w:rPr>
          <w:rFonts w:ascii="Open Sans" w:eastAsia="Open Sans" w:hAnsi="Open Sans" w:cs="Open Sans"/>
        </w:rPr>
        <w:t>dólares estadounidenses — cotización BNA tipo vendedor al 30/09/2026: $1.550 por U$S.</w:t>
      </w:r>
    </w:p>
    <w:p w14:paraId="2CC51753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Monto en moneda nacional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  <w:b/>
          <w:bCs/>
        </w:rPr>
        <w:t xml:space="preserve">: </w:t>
      </w:r>
      <w:r>
        <w:rPr>
          <w:sz w:val="22"/>
        </w:rPr>
        <w:t>$ 2.355.011.100 (cota inferior, a la cotización indicada).</w:t>
      </w:r>
    </w:p>
    <w:p w14:paraId="201C921D" w14:textId="77777777" w:rsidR="001739AC" w:rsidRDefault="001739AC">
      <w:pPr>
        <w:spacing w:before="120" w:after="120" w:line="360" w:lineRule="auto"/>
        <w:ind w:left="426"/>
        <w:jc w:val="both"/>
        <w:rPr>
          <w:rFonts w:ascii="Open Sans" w:eastAsia="Open Sans" w:hAnsi="Open Sans" w:cs="Open Sans"/>
        </w:rPr>
      </w:pPr>
    </w:p>
    <w:p w14:paraId="031E168A" w14:textId="77777777" w:rsidR="001739AC" w:rsidRDefault="00000000">
      <w:pPr>
        <w:numPr>
          <w:ilvl w:val="0"/>
          <w:numId w:val="8"/>
        </w:numPr>
        <w:spacing w:before="120" w:after="120" w:line="360" w:lineRule="auto"/>
        <w:ind w:left="426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Síntesis del marco de referencia territorial y sectorial:</w:t>
      </w:r>
    </w:p>
    <w:tbl>
      <w:tblPr>
        <w:tblStyle w:val="a8"/>
        <w:tblW w:w="11025" w:type="dxa"/>
        <w:tblInd w:w="-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70"/>
        <w:gridCol w:w="1650"/>
        <w:gridCol w:w="6705"/>
      </w:tblGrid>
      <w:tr w:rsidR="001739AC" w14:paraId="77D06D10" w14:textId="77777777">
        <w:trPr>
          <w:trHeight w:val="452"/>
        </w:trPr>
        <w:tc>
          <w:tcPr>
            <w:tcW w:w="2670" w:type="dxa"/>
            <w:vMerge w:val="restart"/>
            <w:vAlign w:val="center"/>
          </w:tcPr>
          <w:p w14:paraId="72E79543" w14:textId="77777777" w:rsidR="001739AC" w:rsidRDefault="00000000" w:rsidP="008E6F03">
            <w:pPr>
              <w:numPr>
                <w:ilvl w:val="0"/>
                <w:numId w:val="13"/>
              </w:numPr>
              <w:spacing w:before="120" w:after="120" w:line="360" w:lineRule="auto"/>
              <w:ind w:right="39"/>
              <w:jc w:val="both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Beneficiarios/as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  <w:b/>
                <w:bCs/>
                <w:sz w:val="14"/>
                <w:szCs w:val="14"/>
              </w:rPr>
              <w:t>(entrega 2)</w:t>
            </w:r>
          </w:p>
        </w:tc>
        <w:tc>
          <w:tcPr>
            <w:tcW w:w="1650" w:type="dxa"/>
            <w:vAlign w:val="center"/>
          </w:tcPr>
          <w:p w14:paraId="395627CC" w14:textId="77777777" w:rsidR="001739AC" w:rsidRDefault="00000000">
            <w:pPr>
              <w:spacing w:before="120" w:after="120" w:line="360" w:lineRule="auto"/>
              <w:ind w:left="150" w:right="39"/>
              <w:jc w:val="both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h.2 Directos</w:t>
            </w:r>
          </w:p>
        </w:tc>
        <w:tc>
          <w:tcPr>
            <w:tcW w:w="6705" w:type="dxa"/>
            <w:vAlign w:val="center"/>
          </w:tcPr>
          <w:p w14:paraId="39418BB6" w14:textId="77777777" w:rsidR="001739AC" w:rsidRDefault="00000000">
            <w:pPr>
              <w:tabs>
                <w:tab w:val="center" w:pos="4419"/>
                <w:tab w:val="right" w:pos="8838"/>
              </w:tabs>
              <w:spacing w:before="120" w:after="120" w:line="360" w:lineRule="auto"/>
              <w:jc w:val="both"/>
              <w:rPr>
                <w:rFonts w:ascii="Open Sans" w:eastAsia="Open Sans" w:hAnsi="Open Sans" w:cs="Open Sans"/>
                <w:i/>
                <w:iCs/>
                <w:sz w:val="20"/>
                <w:szCs w:val="20"/>
              </w:rPr>
            </w:pPr>
            <w:r>
              <w:rPr>
                <w:sz w:val="20"/>
              </w:rPr>
              <w:t>• 51 aserraderos inscriptos en el Registro Único de Aserraderos Fijos y Portátiles de la Provincia del Chubut, en particular los de escala pequeña y mediana, que no pueden afrontar individualmente la inversión en secado, clasificación y valorización de residuos.</w:t>
            </w:r>
          </w:p>
          <w:p>
            <w:r>
              <w:rPr>
                <w:sz w:val="20"/>
              </w:rPr>
              <w:t>• Pymes foresto-industriales y productores forestales de Esquel, Trevelin, Lago Puelo y El Hoyo.</w:t>
            </w:r>
          </w:p>
          <w:p>
            <w:r>
              <w:rPr>
                <w:sz w:val="20"/>
              </w:rPr>
              <w:t>• Emprendimientos vinculados a la transformación de madera y biomasa.</w:t>
            </w:r>
          </w:p>
          <w:p>
            <w:r>
              <w:rPr>
                <w:sz w:val="20"/>
              </w:rPr>
              <w:t>El empleo directo actual de estas unidades productivas se relevará en la etapa de Prefactibilidad, como línea de base del indicador de impacto del proyecto.</w:t>
            </w:r>
          </w:p>
        </w:tc>
      </w:tr>
      <w:tr w:rsidR="001739AC" w14:paraId="781DAB7B" w14:textId="77777777">
        <w:trPr>
          <w:trHeight w:val="452"/>
        </w:trPr>
        <w:tc>
          <w:tcPr>
            <w:tcW w:w="2670" w:type="dxa"/>
            <w:vMerge/>
            <w:vAlign w:val="center"/>
          </w:tcPr>
          <w:p w14:paraId="11F507EF" w14:textId="77777777" w:rsidR="001739AC" w:rsidRDefault="00173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i/>
                <w:iCs/>
                <w:sz w:val="20"/>
                <w:szCs w:val="20"/>
              </w:rPr>
            </w:pPr>
          </w:p>
        </w:tc>
        <w:tc>
          <w:tcPr>
            <w:tcW w:w="1650" w:type="dxa"/>
            <w:vAlign w:val="center"/>
          </w:tcPr>
          <w:p w14:paraId="003E1EE4" w14:textId="77777777" w:rsidR="001739AC" w:rsidRDefault="00000000">
            <w:pPr>
              <w:spacing w:before="120" w:line="360" w:lineRule="auto"/>
              <w:ind w:left="150" w:right="39"/>
              <w:jc w:val="both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h.1</w:t>
            </w:r>
          </w:p>
          <w:p w14:paraId="6A33B3BE" w14:textId="77777777" w:rsidR="001739AC" w:rsidRDefault="00000000">
            <w:pPr>
              <w:spacing w:after="120" w:line="360" w:lineRule="auto"/>
              <w:ind w:left="150" w:right="39"/>
              <w:jc w:val="both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Indirectos</w:t>
            </w:r>
          </w:p>
        </w:tc>
        <w:tc>
          <w:tcPr>
            <w:tcW w:w="6705" w:type="dxa"/>
            <w:vAlign w:val="center"/>
          </w:tcPr>
          <w:p w14:paraId="5C837297" w14:textId="77777777" w:rsidR="001739AC" w:rsidRDefault="00000000">
            <w:pPr>
              <w:tabs>
                <w:tab w:val="center" w:pos="4419"/>
                <w:tab w:val="right" w:pos="8838"/>
              </w:tabs>
              <w:spacing w:before="120" w:after="120" w:line="360" w:lineRule="auto"/>
              <w:jc w:val="both"/>
              <w:rPr>
                <w:rFonts w:ascii="Open Sans" w:eastAsia="Open Sans" w:hAnsi="Open Sans" w:cs="Open Sans"/>
                <w:i/>
                <w:iCs/>
                <w:sz w:val="20"/>
                <w:szCs w:val="20"/>
              </w:rPr>
            </w:pPr>
            <w:r>
              <w:rPr>
                <w:sz w:val="20"/>
              </w:rPr>
              <w:t>• Trabajadores/as y proveedores de la cadena forestal (contratistas de saca, transportistas).</w:t>
            </w:r>
          </w:p>
          <w:p>
            <w:r>
              <w:rPr>
                <w:sz w:val="20"/>
              </w:rPr>
              <w:t>• Empresas constructoras y de sistemas constructivos industrializados en madera.</w:t>
            </w:r>
          </w:p>
          <w:p>
            <w:r>
              <w:rPr>
                <w:sz w:val="20"/>
              </w:rPr>
              <w:t>• Emprendimientos energéticos y de biomateriales.</w:t>
            </w:r>
          </w:p>
          <w:p>
            <w:r>
              <w:rPr>
                <w:sz w:val="20"/>
              </w:rPr>
              <w:t>• Instituciones científico-tecnológicas: CIEFAP, UNPSJB, INTA y CONICET.</w:t>
            </w:r>
          </w:p>
          <w:p>
            <w:r>
              <w:rPr>
                <w:sz w:val="20"/>
              </w:rPr>
              <w:t>• Comunidades del Noroeste provincial, por mayor actividad económica, empleo y reducción de la carga de combustible asociada al riesgo de incendios forestales.</w:t>
            </w:r>
          </w:p>
        </w:tc>
      </w:tr>
    </w:tbl>
    <w:p w14:paraId="0B7A139F" w14:textId="77777777" w:rsidR="001739AC" w:rsidRDefault="001739AC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</w:p>
    <w:p w14:paraId="654F664B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4) Plazo estimado del proyecto </w:t>
      </w:r>
      <w:r>
        <w:rPr>
          <w:rFonts w:ascii="Open Sans" w:eastAsia="Open Sans" w:hAnsi="Open Sans" w:cs="Open Sans"/>
        </w:rPr>
        <w:t>(en meses)</w:t>
      </w:r>
      <w:r>
        <w:rPr>
          <w:rFonts w:ascii="Open Sans" w:eastAsia="Open Sans" w:hAnsi="Open Sans" w:cs="Open Sans"/>
          <w:b/>
          <w:bCs/>
        </w:rPr>
        <w:t xml:space="preserve">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</w:rPr>
        <w:t>:</w:t>
      </w:r>
      <w:r>
        <w:rPr>
          <w:rFonts w:ascii="Open Sans" w:eastAsia="Open Sans" w:hAnsi="Open Sans" w:cs="Open Sans"/>
          <w:b/>
          <w:bCs/>
        </w:rPr>
        <w:t xml:space="preserve"> </w:t>
      </w:r>
      <w:r>
        <w:rPr>
          <w:sz w:val="22"/>
        </w:rPr>
        <w:t>36 meses (30 a 36 meses hasta la operación plena).</w:t>
      </w:r>
    </w:p>
    <w:p>
      <w:r>
        <w:rPr>
          <w:sz w:val="20"/>
        </w:rPr>
        <w:t>Fase 1 (meses 0–12): ingeniería básica, definición de la localización final (Trevelin, Epuyén o modelo distribuido), gestión del financiamiento e inicio de la obra civil de la planta de biomasa.</w:t>
      </w:r>
    </w:p>
    <w:p>
      <w:r>
        <w:rPr>
          <w:sz w:val="20"/>
        </w:rPr>
        <w:t>Fase 2 (meses 12–24): montaje de las líneas de chipeado y peletizado, puesta en marcha del secado industrial y primeros contratos de abastecimiento con aserraderos.</w:t>
      </w:r>
    </w:p>
    <w:p>
      <w:r>
        <w:rPr>
          <w:sz w:val="20"/>
        </w:rPr>
        <w:t>Fase 3 (meses 24–36): incorporación de las líneas de clasificación y certificación y del laboratorio de I+D+i; consolidación de la red de proveedores.</w:t>
      </w:r>
    </w:p>
    <w:p>
      <w:r>
        <w:rPr>
          <w:i/>
          <w:sz w:val="20"/>
        </w:rPr>
        <w:t>El despliegue por fases retoma la lógica del Plan de Aprovechamiento de Residuos Dendroenergéticos (CFI, 2019). El cronograma de obra detallado se definirá en la etapa de Factibilidad.</w:t>
      </w:r>
    </w:p>
    <w:p w14:paraId="3214398B" w14:textId="77777777" w:rsidR="001739AC" w:rsidRDefault="001739AC">
      <w:pPr>
        <w:spacing w:before="120" w:after="120" w:line="360" w:lineRule="auto"/>
        <w:ind w:left="284"/>
        <w:jc w:val="both"/>
        <w:rPr>
          <w:rFonts w:ascii="Open Sans" w:eastAsia="Open Sans" w:hAnsi="Open Sans" w:cs="Open Sans"/>
          <w:b/>
          <w:bCs/>
        </w:rPr>
      </w:pPr>
    </w:p>
    <w:p w14:paraId="4CF04B5C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5) Identificación técnica de las alternativas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  <w:b/>
          <w:bCs/>
        </w:rPr>
        <w:t>.</w:t>
      </w:r>
    </w:p>
    <w:p w14:paraId="3987D54D" w14:textId="77777777" w:rsidR="001739AC" w:rsidRDefault="001739AC">
      <w:pPr>
        <w:spacing w:line="240" w:lineRule="auto"/>
        <w:ind w:left="720"/>
        <w:rPr>
          <w:rFonts w:ascii="Open Sans" w:eastAsia="Open Sans" w:hAnsi="Open Sans" w:cs="Open Sans"/>
          <w:b/>
          <w:bCs/>
          <w:sz w:val="20"/>
          <w:szCs w:val="20"/>
        </w:rPr>
      </w:pPr>
    </w:p>
    <w:p w14:paraId="2B0EAC63" w14:textId="77777777" w:rsidR="001739AC" w:rsidRDefault="00000000">
      <w:pPr>
        <w:numPr>
          <w:ilvl w:val="1"/>
          <w:numId w:val="7"/>
        </w:numPr>
        <w:spacing w:before="120" w:after="120" w:line="360" w:lineRule="auto"/>
        <w:ind w:left="709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 ¿Existen soluciones alternativas?  </w:t>
      </w:r>
    </w:p>
    <w:p w14:paraId="6CF81B64" w14:textId="77777777" w:rsidR="001739AC" w:rsidRDefault="00000000">
      <w:pPr>
        <w:numPr>
          <w:ilvl w:val="0"/>
          <w:numId w:val="4"/>
        </w:numPr>
        <w:spacing w:before="120" w:line="360" w:lineRule="auto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☒ SI</w:t>
      </w:r>
      <w:r>
        <w:rPr>
          <w:rFonts w:ascii="Open Sans" w:eastAsia="Open Sans" w:hAnsi="Open Sans" w:cs="Open Sans"/>
        </w:rPr>
        <w:tab/>
      </w:r>
      <w:r>
        <w:rPr>
          <w:rFonts w:ascii="Open Sans" w:eastAsia="Open Sans" w:hAnsi="Open Sans" w:cs="Open Sans"/>
        </w:rPr>
        <w:tab/>
      </w:r>
      <w:r>
        <w:rPr>
          <w:rFonts w:ascii="Open Sans" w:eastAsia="Open Sans" w:hAnsi="Open Sans" w:cs="Open Sans"/>
        </w:rPr>
        <w:tab/>
      </w:r>
      <w:r>
        <w:rPr>
          <w:rFonts w:ascii="Open Sans" w:eastAsia="Open Sans" w:hAnsi="Open Sans" w:cs="Open Sans"/>
        </w:rPr>
        <w:tab/>
      </w:r>
      <w:r>
        <w:rPr>
          <w:rFonts w:ascii="Open Sans" w:eastAsia="Open Sans" w:hAnsi="Open Sans" w:cs="Open Sans"/>
        </w:rPr>
        <w:tab/>
      </w:r>
      <w:r>
        <w:rPr>
          <w:rFonts w:ascii="Open Sans" w:eastAsia="Open Sans" w:hAnsi="Open Sans" w:cs="Open Sans"/>
        </w:rPr>
        <w:tab/>
      </w:r>
    </w:p>
    <w:p w14:paraId="053FCBD6" w14:textId="77777777" w:rsidR="001739AC" w:rsidRDefault="00000000">
      <w:pPr>
        <w:numPr>
          <w:ilvl w:val="0"/>
          <w:numId w:val="4"/>
        </w:numPr>
        <w:spacing w:after="120" w:line="360" w:lineRule="auto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☐ NO</w:t>
      </w:r>
    </w:p>
    <w:p w14:paraId="7B7B71A2" w14:textId="77777777" w:rsidR="001739AC" w:rsidRDefault="001739AC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</w:p>
    <w:p w14:paraId="49C34A17" w14:textId="77777777" w:rsidR="001739AC" w:rsidRDefault="00000000">
      <w:pPr>
        <w:numPr>
          <w:ilvl w:val="1"/>
          <w:numId w:val="7"/>
        </w:numPr>
        <w:spacing w:before="120" w:after="120" w:line="360" w:lineRule="auto"/>
        <w:ind w:left="709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lastRenderedPageBreak/>
        <w:t>Si no existen justificar:</w:t>
      </w:r>
      <w:r>
        <w:rPr>
          <w:sz w:val="22"/>
        </w:rPr>
        <w:t xml:space="preserve"> No corresponde: se identificaron dos alternativas.</w:t>
      </w:r>
    </w:p>
    <w:p w14:paraId="63FE201B" w14:textId="77777777" w:rsidR="001739AC" w:rsidRDefault="001739AC">
      <w:pPr>
        <w:tabs>
          <w:tab w:val="left" w:pos="1668"/>
        </w:tabs>
        <w:spacing w:before="120" w:after="120" w:line="360" w:lineRule="auto"/>
        <w:jc w:val="both"/>
        <w:rPr>
          <w:rFonts w:ascii="Open Sans" w:eastAsia="Open Sans" w:hAnsi="Open Sans" w:cs="Open Sans"/>
        </w:rPr>
      </w:pPr>
    </w:p>
    <w:p w14:paraId="27229E27" w14:textId="77777777" w:rsidR="001739AC" w:rsidRDefault="00000000">
      <w:pPr>
        <w:numPr>
          <w:ilvl w:val="1"/>
          <w:numId w:val="7"/>
        </w:numPr>
        <w:spacing w:before="120" w:after="120" w:line="360" w:lineRule="auto"/>
        <w:ind w:left="709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De las alternativas analizadas de manera preliminar deberá volcarse la siguiente información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  <w:b/>
          <w:bCs/>
        </w:rPr>
        <w:t>:</w:t>
      </w:r>
    </w:p>
    <w:p w14:paraId="7619F8AF" w14:textId="77777777" w:rsidR="001739AC" w:rsidRDefault="001739AC">
      <w:pPr>
        <w:spacing w:before="120" w:after="120" w:line="360" w:lineRule="auto"/>
        <w:ind w:left="1440"/>
        <w:jc w:val="both"/>
        <w:rPr>
          <w:rFonts w:ascii="Open Sans" w:eastAsia="Open Sans" w:hAnsi="Open Sans" w:cs="Open Sans"/>
          <w:b/>
          <w:bCs/>
        </w:rPr>
      </w:pPr>
    </w:p>
    <w:tbl>
      <w:tblPr>
        <w:tblStyle w:val="a9"/>
        <w:tblW w:w="93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3225"/>
        <w:gridCol w:w="2430"/>
        <w:gridCol w:w="2295"/>
      </w:tblGrid>
      <w:tr w:rsidR="001739AC" w14:paraId="5AE469C9" w14:textId="77777777">
        <w:trPr>
          <w:trHeight w:val="460"/>
          <w:jc w:val="center"/>
        </w:trPr>
        <w:tc>
          <w:tcPr>
            <w:tcW w:w="1380" w:type="dxa"/>
            <w:vAlign w:val="center"/>
          </w:tcPr>
          <w:p w14:paraId="5D664C75" w14:textId="77777777" w:rsidR="001739AC" w:rsidRDefault="00000000">
            <w:pPr>
              <w:spacing w:before="120" w:after="120" w:line="360" w:lineRule="auto"/>
              <w:jc w:val="center"/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Alternativa</w:t>
            </w:r>
          </w:p>
        </w:tc>
        <w:tc>
          <w:tcPr>
            <w:tcW w:w="3225" w:type="dxa"/>
            <w:vAlign w:val="center"/>
          </w:tcPr>
          <w:p w14:paraId="388FFA26" w14:textId="77777777" w:rsidR="001739AC" w:rsidRDefault="00000000">
            <w:pPr>
              <w:spacing w:before="120" w:after="120" w:line="360" w:lineRule="auto"/>
              <w:jc w:val="center"/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2430" w:type="dxa"/>
            <w:vAlign w:val="center"/>
          </w:tcPr>
          <w:p w14:paraId="067C4EE3" w14:textId="77777777" w:rsidR="001739AC" w:rsidRDefault="00000000">
            <w:pPr>
              <w:spacing w:before="120" w:after="120" w:line="360" w:lineRule="auto"/>
              <w:jc w:val="center"/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Inversión</w:t>
            </w:r>
          </w:p>
          <w:p w14:paraId="69EB0E17" w14:textId="77777777" w:rsidR="001739AC" w:rsidRDefault="00000000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i/>
                <w:iCs/>
                <w:sz w:val="18"/>
                <w:szCs w:val="18"/>
              </w:rPr>
              <w:t>Consignar monto de inversión estimado y fecha de elaboración</w:t>
            </w:r>
            <w:r>
              <w:rPr>
                <w:rFonts w:ascii="Open Sans" w:eastAsia="Open Sans" w:hAnsi="Open Sans" w:cs="Open Sans"/>
                <w:sz w:val="18"/>
                <w:szCs w:val="18"/>
              </w:rPr>
              <w:t> </w:t>
            </w:r>
          </w:p>
        </w:tc>
        <w:tc>
          <w:tcPr>
            <w:tcW w:w="2295" w:type="dxa"/>
          </w:tcPr>
          <w:p w14:paraId="798867F6" w14:textId="77777777" w:rsidR="001739AC" w:rsidRDefault="00000000">
            <w:pPr>
              <w:spacing w:before="120" w:after="120" w:line="360" w:lineRule="auto"/>
              <w:jc w:val="center"/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Monto de Operación y Mantenimiento</w:t>
            </w:r>
          </w:p>
          <w:p w14:paraId="01093FE2" w14:textId="77777777" w:rsidR="001739AC" w:rsidRDefault="00000000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i/>
                <w:iCs/>
                <w:sz w:val="18"/>
                <w:szCs w:val="18"/>
              </w:rPr>
              <w:t>Indicar monto aproximado y fecha de elaboración</w:t>
            </w:r>
          </w:p>
        </w:tc>
      </w:tr>
      <w:tr w:rsidR="001739AC" w14:paraId="5826DE84" w14:textId="77777777">
        <w:trPr>
          <w:trHeight w:val="529"/>
          <w:jc w:val="center"/>
        </w:trPr>
        <w:tc>
          <w:tcPr>
            <w:tcW w:w="1380" w:type="dxa"/>
          </w:tcPr>
          <w:p w14:paraId="07BB3611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b/>
                <w:sz w:val="20"/>
              </w:rPr>
              <w:t>Alternativa 1 — Polo centralizado único</w:t>
            </w:r>
          </w:p>
        </w:tc>
        <w:tc>
          <w:tcPr>
            <w:tcW w:w="3225" w:type="dxa"/>
          </w:tcPr>
          <w:p w14:paraId="3415D449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sz w:val="20"/>
              </w:rPr>
              <w:t>Una única planta que concentra todos los servicios (secado, clasificación, chipeado/peletizado, laboratorio), localizada en Trevelin o Epuyén, los dos nodos identificados como posibles sedes.</w:t>
            </w:r>
          </w:p>
        </w:tc>
        <w:tc>
          <w:tcPr>
            <w:tcW w:w="2430" w:type="dxa"/>
          </w:tcPr>
          <w:p w14:paraId="447DD181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sz w:val="20"/>
              </w:rPr>
              <w:t>Piso conocido: USD 1.519.362 (planta de biomasa; CFI, noviembre 2019).</w:t>
            </w:r>
          </w:p>
          <w:p>
            <w:r>
              <w:rPr>
                <w:sz w:val="20"/>
              </w:rPr>
              <w:t>Secado, clasificación y laboratorio: a costear en Prefactibilidad.</w:t>
            </w:r>
          </w:p>
        </w:tc>
        <w:tc>
          <w:tcPr>
            <w:tcW w:w="2295" w:type="dxa"/>
          </w:tcPr>
          <w:p w14:paraId="29DB2BAA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sz w:val="20"/>
              </w:rPr>
              <w:t>Planta de biomasa: USD 63–121 por tonelada según producto y nivel de uso (CFI, noviembre 2019).</w:t>
            </w:r>
          </w:p>
          <w:p>
            <w:r>
              <w:rPr>
                <w:sz w:val="20"/>
              </w:rPr>
              <w:t>Resto de los servicios: a costear en Prefactibilidad.</w:t>
            </w:r>
          </w:p>
        </w:tc>
      </w:tr>
      <w:tr w:rsidR="001739AC" w14:paraId="0582DDBA" w14:textId="77777777">
        <w:trPr>
          <w:trHeight w:val="529"/>
          <w:jc w:val="center"/>
        </w:trPr>
        <w:tc>
          <w:tcPr>
            <w:tcW w:w="1380" w:type="dxa"/>
          </w:tcPr>
          <w:p w14:paraId="66334BE9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b/>
                <w:sz w:val="20"/>
              </w:rPr>
              <w:t>Alternativa 2 — Red distribuida de nodos satélite</w:t>
            </w:r>
          </w:p>
        </w:tc>
        <w:tc>
          <w:tcPr>
            <w:tcW w:w="3225" w:type="dxa"/>
          </w:tcPr>
          <w:p w14:paraId="58F4214E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sz w:val="20"/>
              </w:rPr>
              <w:t>Procesamiento primario y acopio en varias localidades (El Hoyo, Trevelin, Esquel y eventualmente Corcovado), conectados a una planta central de mayor valor agregado. Respeta el radio logístico óptimo de 25–30 km identificado en la línea de base.</w:t>
            </w:r>
          </w:p>
        </w:tc>
        <w:tc>
          <w:tcPr>
            <w:tcW w:w="2430" w:type="dxa"/>
          </w:tcPr>
          <w:p w14:paraId="28AE8A40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sz w:val="20"/>
              </w:rPr>
              <w:t>Superior a la Alternativa 1, por duplicación de equipos menores en cada nodo.</w:t>
            </w:r>
          </w:p>
          <w:p>
            <w:r>
              <w:rPr>
                <w:sz w:val="20"/>
              </w:rPr>
              <w:t>A costear en Prefactibilidad.</w:t>
            </w:r>
          </w:p>
        </w:tc>
        <w:tc>
          <w:tcPr>
            <w:tcW w:w="2295" w:type="dxa"/>
          </w:tcPr>
          <w:p w14:paraId="4AFA75B7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sz w:val="20"/>
              </w:rPr>
              <w:t>Menor costo logístico de acopio: evita el sobrecosto por distancia (biomasa puesta en planta $288/t en Corcovado vs. $228/t en El Hoyo, CIEFAP Pub. Téc. 34), con mayor complejidad de gestión y gobernanza por coordinar múltiples sitios.</w:t>
            </w:r>
          </w:p>
          <w:p>
            <w:r>
              <w:rPr>
                <w:sz w:val="20"/>
              </w:rPr>
              <w:t>Monto a costear en Prefactibilidad.</w:t>
            </w:r>
          </w:p>
        </w:tc>
      </w:tr>
    </w:tbl>
    <w:p w14:paraId="1E618D70" w14:textId="77777777" w:rsidR="001739AC" w:rsidRDefault="001739AC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</w:p>
    <w:p w14:paraId="1F7BCD25" w14:textId="77777777" w:rsidR="001739A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Open Sans" w:eastAsia="Open Sans" w:hAnsi="Open Sans" w:cs="Open Sans"/>
          <w:b/>
          <w:bCs/>
          <w:color w:val="000000"/>
          <w:highlight w:val="yellow"/>
        </w:rPr>
      </w:pPr>
      <w:r>
        <w:rPr>
          <w:rFonts w:ascii="Open Sans" w:eastAsia="Open Sans" w:hAnsi="Open Sans" w:cs="Open Sans"/>
          <w:b/>
          <w:bCs/>
        </w:rPr>
        <w:t xml:space="preserve">d) Identificar y cuantificar de manera preliminar beneficios económicos de cada alternativa considerada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</w:p>
    <w:tbl>
      <w:tblPr>
        <w:tblStyle w:val="aa"/>
        <w:tblW w:w="90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9"/>
        <w:gridCol w:w="4510"/>
      </w:tblGrid>
      <w:tr w:rsidR="001739AC" w14:paraId="0D8731F1" w14:textId="77777777">
        <w:trPr>
          <w:trHeight w:val="460"/>
          <w:jc w:val="center"/>
        </w:trPr>
        <w:tc>
          <w:tcPr>
            <w:tcW w:w="4509" w:type="dxa"/>
            <w:vAlign w:val="center"/>
          </w:tcPr>
          <w:p w14:paraId="6B79B48B" w14:textId="77777777" w:rsidR="001739AC" w:rsidRDefault="00000000">
            <w:pPr>
              <w:spacing w:before="120" w:after="120" w:line="360" w:lineRule="auto"/>
              <w:jc w:val="center"/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Alternativa</w:t>
            </w:r>
          </w:p>
          <w:p w14:paraId="371029DD" w14:textId="77777777" w:rsidR="001739AC" w:rsidRDefault="00000000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i/>
                <w:iCs/>
                <w:sz w:val="18"/>
                <w:szCs w:val="18"/>
              </w:rPr>
              <w:t>Identificar por su nombre y/o número</w:t>
            </w:r>
          </w:p>
        </w:tc>
        <w:tc>
          <w:tcPr>
            <w:tcW w:w="4510" w:type="dxa"/>
            <w:vAlign w:val="center"/>
          </w:tcPr>
          <w:p w14:paraId="0222D662" w14:textId="77777777" w:rsidR="001739AC" w:rsidRDefault="00000000">
            <w:pPr>
              <w:spacing w:before="120" w:after="120" w:line="360" w:lineRule="auto"/>
              <w:jc w:val="center"/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Beneficios</w:t>
            </w:r>
          </w:p>
        </w:tc>
      </w:tr>
      <w:tr w:rsidR="001739AC" w14:paraId="48A976E9" w14:textId="77777777">
        <w:trPr>
          <w:jc w:val="center"/>
        </w:trPr>
        <w:tc>
          <w:tcPr>
            <w:tcW w:w="4509" w:type="dxa"/>
          </w:tcPr>
          <w:p w14:paraId="169390D8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b/>
                <w:sz w:val="20"/>
              </w:rPr>
              <w:t>Alternativa 1 — Polo centralizado único</w:t>
            </w:r>
          </w:p>
        </w:tc>
        <w:tc>
          <w:tcPr>
            <w:tcW w:w="4510" w:type="dxa"/>
          </w:tcPr>
          <w:p w14:paraId="362871FB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sz w:val="20"/>
              </w:rPr>
              <w:t>Menor inversión inicial; gestión más simple (un solo sitio y un solo equipo operativo); más fácil de fiscalizar, en línea con la recomendación del antecedente CFI 2019 de concentrar el control en pocos puntos.</w:t>
            </w:r>
          </w:p>
        </w:tc>
      </w:tr>
      <w:tr w:rsidR="001739AC" w14:paraId="0868AC3D" w14:textId="77777777">
        <w:trPr>
          <w:jc w:val="center"/>
        </w:trPr>
        <w:tc>
          <w:tcPr>
            <w:tcW w:w="4509" w:type="dxa"/>
          </w:tcPr>
          <w:p w14:paraId="2843A27C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b/>
                <w:sz w:val="20"/>
              </w:rPr>
              <w:t>Alternativa 2 — Red distribuida de nodos satélite</w:t>
            </w:r>
          </w:p>
        </w:tc>
        <w:tc>
          <w:tcPr>
            <w:tcW w:w="4510" w:type="dxa"/>
          </w:tcPr>
          <w:p w14:paraId="45BD40B8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sz w:val="20"/>
              </w:rPr>
              <w:t>Menor costo de transporte de biomasa (diferencial entre nodos ya cuantificado en la línea de base: $60/t entre Corcovado y El Hoyo); menor exposición a que un solo sitio concentre el riesgo (incendio, corte de ruta); posibilidad de escalar gradualmente nodo por nodo.</w:t>
            </w:r>
          </w:p>
        </w:tc>
      </w:tr>
    </w:tbl>
    <w:p w14:paraId="48DEA65B" w14:textId="77777777" w:rsidR="001739AC" w:rsidRDefault="001739AC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</w:p>
    <w:p>
      <w:r>
        <w:rPr>
          <w:b/>
          <w:sz w:val="20"/>
        </w:rPr>
        <w:t>Alternativa seleccionada (preliminar): Alternativa 1 para la fase inicial, por contar con desarrollo previo y costeo parcial real; la Alternativa 2 queda como escenario de expansión futura, en línea con el despliegue por fases del antecedente CFI 2019. La cuantificación monetaria de los beneficios de cada alternativa se realizará en Prefactibilidad.</w:t>
      </w:r>
    </w:p>
    <w:p>
      <w:r>
        <w:rPr>
          <w:sz w:val="20"/>
        </w:rPr>
      </w:r>
    </w:p>
    <w:p w14:paraId="794471DC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7) De preverse, indicar cuál será el posible procedimiento de recupero de la inversión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</w:p>
    <w:p w14:paraId="2ECE2332" w14:textId="77777777" w:rsidR="008E6F03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 xml:space="preserve">Indicar los instrumentos mediante los cuales se espera recuperar la inversión y que se considerarán en la evaluación económico-financiera. </w:t>
      </w:r>
      <w:bookmarkStart w:id="0" w:name="_heading=h.bf52rvonnv1p" w:colFirst="0" w:colLast="0"/>
      <w:bookmarkStart w:id="1" w:name="_heading=h.nceae7mqyqum" w:colFirst="0" w:colLast="0"/>
      <w:bookmarkStart w:id="2" w:name="_heading=h.e5s3nz4szslo" w:colFirst="0" w:colLast="0"/>
      <w:bookmarkStart w:id="3" w:name="_heading=h.r23c9gea8k8i" w:colFirst="0" w:colLast="0"/>
      <w:bookmarkStart w:id="4" w:name="_heading=h.y469iijgtvz7" w:colFirst="0" w:colLast="0"/>
      <w:bookmarkStart w:id="5" w:name="_heading=h.6blqlcsywgkx" w:colFirst="0" w:colLast="0"/>
      <w:bookmarkStart w:id="6" w:name="_heading=h.1ttbwi6gdm27" w:colFirst="0" w:colLast="0"/>
      <w:bookmarkStart w:id="7" w:name="_heading=h.7bukvffo8vpa" w:colFirst="0" w:colLast="0"/>
      <w:bookmarkStart w:id="8" w:name="_heading=h.77wks0vv67or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>
      <w:r>
        <w:rPr>
          <w:sz w:val="20"/>
        </w:rPr>
        <w:t>1. Tarifario de servicios a aserraderos y pymes: cobro por uso de secado, clasificación y chipeado bajo un modelo de acceso abierto. El Polo presta servicios y no compite con los aserraderos existentes.</w:t>
      </w:r>
    </w:p>
    <w:p>
      <w:r>
        <w:rPr>
          <w:sz w:val="20"/>
        </w:rPr>
        <w:t>2. Venta de productos de mayor valor agregado: pellets y chips de pino (bosque implantado) y madera clasificada y certificada, producidos en la propia planta. Entre los compradores se incluye la demanda institucional de usinas y edificios públicos que operen con biomasa, mediante contratos de abastecimiento de mediano plazo que den previsibilidad a la demanda.</w:t>
      </w:r>
    </w:p>
    <w:p>
      <w:r>
        <w:rPr>
          <w:i/>
          <w:sz w:val="20"/>
        </w:rPr>
        <w:t>La cuantificación de ambos flujos (flujo de fondos, VAN, TIR) corresponde a la etapa de Prefactibilidad.</w:t>
      </w:r>
    </w:p>
    <w:p>
      <w:r>
        <w:rPr>
          <w:sz w:val="20"/>
        </w:rPr>
      </w:r>
    </w:p>
    <w:p w14:paraId="0F7A2F28" w14:textId="7AABE070" w:rsidR="001739AC" w:rsidRPr="008E6F03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b/>
          <w:bCs/>
          <w:sz w:val="24"/>
          <w:szCs w:val="24"/>
        </w:rPr>
        <w:lastRenderedPageBreak/>
        <w:t>Anexo II</w:t>
      </w:r>
    </w:p>
    <w:p w14:paraId="5D6FC0D0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  <w:sz w:val="24"/>
          <w:szCs w:val="24"/>
        </w:rPr>
        <w:t>Ficha de Identificación Temprana de Riesgos e Impactos Ambientales y Sociales</w:t>
      </w:r>
    </w:p>
    <w:p w14:paraId="2344CDA5" w14:textId="77777777" w:rsidR="001739AC" w:rsidRDefault="001739AC">
      <w:pPr>
        <w:spacing w:line="240" w:lineRule="auto"/>
        <w:rPr>
          <w:rFonts w:ascii="Open Sans" w:eastAsia="Open Sans" w:hAnsi="Open Sans" w:cs="Open Sans"/>
        </w:rPr>
      </w:pPr>
    </w:p>
    <w:tbl>
      <w:tblPr>
        <w:tblStyle w:val="ae"/>
        <w:tblW w:w="10460" w:type="dxa"/>
        <w:jc w:val="center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3340"/>
        <w:gridCol w:w="7120"/>
      </w:tblGrid>
      <w:tr w:rsidR="001739AC" w14:paraId="79AB15B7" w14:textId="77777777">
        <w:trPr>
          <w:trHeight w:val="957"/>
          <w:jc w:val="center"/>
        </w:trPr>
        <w:tc>
          <w:tcPr>
            <w:tcW w:w="10460" w:type="dxa"/>
            <w:gridSpan w:val="2"/>
            <w:shd w:val="clear" w:color="auto" w:fill="2E75B5"/>
            <w:vAlign w:val="center"/>
          </w:tcPr>
          <w:p w14:paraId="219203DE" w14:textId="29CC9316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PARTE A.  Información general del proyecto</w:t>
            </w:r>
            <w:r w:rsidR="002F59B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 xml:space="preserve"> (entrega 2)</w:t>
            </w:r>
          </w:p>
        </w:tc>
      </w:tr>
      <w:tr w:rsidR="001739AC" w14:paraId="73F6D8CF" w14:textId="77777777">
        <w:trPr>
          <w:trHeight w:val="397"/>
          <w:jc w:val="center"/>
        </w:trPr>
        <w:tc>
          <w:tcPr>
            <w:tcW w:w="3340" w:type="dxa"/>
            <w:vAlign w:val="center"/>
          </w:tcPr>
          <w:p w14:paraId="336D04EB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Organismo solicitante</w:t>
            </w:r>
          </w:p>
        </w:tc>
        <w:tc>
          <w:tcPr>
            <w:tcW w:w="7120" w:type="dxa"/>
            <w:vAlign w:val="center"/>
          </w:tcPr>
          <w:p w14:paraId="78627386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sz w:val="20"/>
              </w:rPr>
              <w:t>Dirección de Promoción de Inversiones — Ministerio de Producción de la Provincia del Chubut, en articulación con la Secretaría de Bosques.</w:t>
            </w:r>
          </w:p>
        </w:tc>
      </w:tr>
      <w:tr w:rsidR="001739AC" w14:paraId="1E64F25B" w14:textId="77777777">
        <w:trPr>
          <w:trHeight w:val="671"/>
          <w:jc w:val="center"/>
        </w:trPr>
        <w:tc>
          <w:tcPr>
            <w:tcW w:w="3340" w:type="dxa"/>
            <w:vAlign w:val="center"/>
          </w:tcPr>
          <w:p w14:paraId="5FE86439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Tipología de Proyecto</w:t>
            </w:r>
          </w:p>
        </w:tc>
        <w:tc>
          <w:tcPr>
            <w:tcW w:w="7120" w:type="dxa"/>
            <w:vAlign w:val="center"/>
          </w:tcPr>
          <w:p w14:paraId="7159D59E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sz w:val="20"/>
              </w:rPr>
              <w:t>Infraestructura productiva — Desarrollo productivo industrial (sector foresto-industrial).</w:t>
            </w:r>
          </w:p>
        </w:tc>
      </w:tr>
      <w:tr w:rsidR="001739AC" w14:paraId="23A78BF3" w14:textId="77777777">
        <w:trPr>
          <w:trHeight w:val="397"/>
          <w:jc w:val="center"/>
        </w:trPr>
        <w:tc>
          <w:tcPr>
            <w:tcW w:w="3340" w:type="dxa"/>
            <w:vAlign w:val="center"/>
          </w:tcPr>
          <w:p w14:paraId="21B24C86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Denominación del proyecto específico:</w:t>
            </w:r>
          </w:p>
        </w:tc>
        <w:tc>
          <w:tcPr>
            <w:tcW w:w="7120" w:type="dxa"/>
            <w:vAlign w:val="center"/>
          </w:tcPr>
          <w:p w14:paraId="502E84C0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sz w:val="20"/>
              </w:rPr>
              <w:t>Polo Tecnológico Forestal en el Noroeste de la Provincia del Chubut</w:t>
            </w:r>
          </w:p>
        </w:tc>
      </w:tr>
      <w:tr w:rsidR="001739AC" w14:paraId="5CCE20F1" w14:textId="77777777">
        <w:trPr>
          <w:trHeight w:val="397"/>
          <w:jc w:val="center"/>
        </w:trPr>
        <w:tc>
          <w:tcPr>
            <w:tcW w:w="3340" w:type="dxa"/>
            <w:vAlign w:val="center"/>
          </w:tcPr>
          <w:p w14:paraId="6DB0A6B7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Ubicación del proyecto</w:t>
            </w:r>
          </w:p>
        </w:tc>
        <w:tc>
          <w:tcPr>
            <w:tcW w:w="7120" w:type="dxa"/>
            <w:vAlign w:val="center"/>
          </w:tcPr>
          <w:p w14:paraId="2CF8B896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sz w:val="20"/>
              </w:rPr>
              <w:t>Departamentos Futaleufú y Cushamen, Provincia del Chubut. Municipios de Esquel, Trevelin, Lago Puelo y El Hoyo; sede candidata de la planta: Trevelin o Epuyén.</w:t>
            </w:r>
          </w:p>
        </w:tc>
      </w:tr>
      <w:tr w:rsidR="001739AC" w14:paraId="4995E284" w14:textId="77777777">
        <w:trPr>
          <w:trHeight w:val="397"/>
          <w:jc w:val="center"/>
        </w:trPr>
        <w:tc>
          <w:tcPr>
            <w:tcW w:w="3340" w:type="dxa"/>
            <w:vAlign w:val="center"/>
          </w:tcPr>
          <w:p w14:paraId="6AD29E35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Fecha de elaboración de la ficha:</w:t>
            </w:r>
          </w:p>
        </w:tc>
        <w:tc>
          <w:tcPr>
            <w:tcW w:w="7120" w:type="dxa"/>
            <w:vAlign w:val="center"/>
          </w:tcPr>
          <w:p w14:paraId="2D0C3D3C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sz w:val="20"/>
              </w:rPr>
              <w:t>Octubre 2026</w:t>
            </w:r>
          </w:p>
        </w:tc>
      </w:tr>
      <w:tr w:rsidR="001739AC" w14:paraId="731DA545" w14:textId="77777777">
        <w:trPr>
          <w:trHeight w:val="632"/>
          <w:jc w:val="center"/>
        </w:trPr>
        <w:tc>
          <w:tcPr>
            <w:tcW w:w="3340" w:type="dxa"/>
            <w:vAlign w:val="center"/>
          </w:tcPr>
          <w:p w14:paraId="161FB2E1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Responsable de la elaboración de la Ficha (nombre y apellido, rol y área de organismo):</w:t>
            </w:r>
          </w:p>
        </w:tc>
        <w:tc>
          <w:tcPr>
            <w:tcW w:w="7120" w:type="dxa"/>
            <w:vAlign w:val="center"/>
          </w:tcPr>
          <w:p w14:paraId="591E1BCE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</w:rPr>
            </w:pPr>
            <w:r>
              <w:rPr>
                <w:sz w:val="20"/>
              </w:rPr>
              <w:t>Gonzalo Cortez Riquelme — Director de Promoción de Inversiones, Ministerio de Producción de la Provincia del Chubut. Equipo de formulación: Yamil y Romina.</w:t>
            </w:r>
          </w:p>
        </w:tc>
      </w:tr>
      <w:tr w:rsidR="001739AC" w14:paraId="46E72F98" w14:textId="77777777">
        <w:trPr>
          <w:trHeight w:val="397"/>
          <w:jc w:val="center"/>
        </w:trPr>
        <w:tc>
          <w:tcPr>
            <w:tcW w:w="10460" w:type="dxa"/>
            <w:gridSpan w:val="2"/>
            <w:shd w:val="clear" w:color="auto" w:fill="D9E2F3"/>
            <w:vAlign w:val="center"/>
          </w:tcPr>
          <w:p w14:paraId="535A366F" w14:textId="77777777" w:rsidR="001739AC" w:rsidRDefault="00000000">
            <w:pPr>
              <w:numPr>
                <w:ilvl w:val="0"/>
                <w:numId w:val="6"/>
              </w:num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Descripción y características generales del proyecto</w:t>
            </w:r>
          </w:p>
        </w:tc>
      </w:tr>
      <w:tr w:rsidR="001739AC" w14:paraId="33FF3264" w14:textId="77777777">
        <w:trPr>
          <w:trHeight w:val="1566"/>
          <w:jc w:val="center"/>
        </w:trPr>
        <w:tc>
          <w:tcPr>
            <w:tcW w:w="10460" w:type="dxa"/>
            <w:gridSpan w:val="2"/>
            <w:vAlign w:val="center"/>
          </w:tcPr>
          <w:p w14:paraId="2E19A9F2" w14:textId="77777777" w:rsidR="001739AC" w:rsidRDefault="00000000">
            <w:pPr>
              <w:spacing w:line="240" w:lineRule="auto"/>
              <w:ind w:right="555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Considerando los siguientes aspectos:</w:t>
            </w:r>
            <w:r>
              <w:rPr>
                <w:rFonts w:ascii="Open Sans" w:eastAsia="Open Sans" w:hAnsi="Open Sans" w:cs="Open Sans"/>
              </w:rPr>
              <w:t> </w:t>
            </w:r>
          </w:p>
          <w:p w14:paraId="29996695" w14:textId="77777777" w:rsidR="001739AC" w:rsidRDefault="00000000">
            <w:pPr>
              <w:spacing w:line="240" w:lineRule="auto"/>
              <w:ind w:right="555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 </w:t>
            </w:r>
          </w:p>
          <w:p w14:paraId="7D012869" w14:textId="77777777" w:rsidR="001739AC" w:rsidRDefault="00000000">
            <w:pPr>
              <w:numPr>
                <w:ilvl w:val="0"/>
                <w:numId w:val="16"/>
              </w:numPr>
              <w:spacing w:line="240" w:lineRule="auto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 xml:space="preserve">Descripción general del proyecto y Teoría del Cambio del Proyecto (incluyendo diagramas, fotos, mapas y otros recursos </w:t>
            </w:r>
            <w:proofErr w:type="gramStart"/>
            <w:r>
              <w:rPr>
                <w:rFonts w:ascii="Open Sans" w:eastAsia="Open Sans" w:hAnsi="Open Sans" w:cs="Open Sans"/>
                <w:i/>
                <w:iCs/>
              </w:rPr>
              <w:t xml:space="preserve">relevantes) 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  <w:b/>
                <w:bCs/>
                <w:sz w:val="14"/>
                <w:szCs w:val="14"/>
              </w:rPr>
              <w:t>(</w:t>
            </w:r>
            <w:proofErr w:type="gramEnd"/>
            <w:r>
              <w:rPr>
                <w:rFonts w:ascii="Open Sans" w:eastAsia="Open Sans" w:hAnsi="Open Sans" w:cs="Open Sans"/>
                <w:b/>
                <w:bCs/>
                <w:sz w:val="14"/>
                <w:szCs w:val="14"/>
              </w:rPr>
              <w:t>entrega 2)</w:t>
            </w:r>
          </w:p>
          <w:p w14:paraId="2B598D3A" w14:textId="77777777" w:rsidR="001739AC" w:rsidRDefault="00000000" w:rsidP="008E6F03">
            <w:pPr>
              <w:numPr>
                <w:ilvl w:val="0"/>
                <w:numId w:val="16"/>
              </w:numPr>
              <w:spacing w:line="240" w:lineRule="auto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Detallar objetivos y componentes del proyecto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  <w:b/>
                <w:bCs/>
                <w:sz w:val="14"/>
                <w:szCs w:val="14"/>
              </w:rPr>
              <w:t>(entrega 2)</w:t>
            </w:r>
            <w:r>
              <w:rPr>
                <w:rFonts w:ascii="Open Sans" w:eastAsia="Open Sans" w:hAnsi="Open Sans" w:cs="Open Sans"/>
                <w:i/>
                <w:iCs/>
              </w:rPr>
              <w:t xml:space="preserve"> </w:t>
            </w:r>
            <w:r w:rsidRPr="008E6F03">
              <w:rPr>
                <w:rFonts w:ascii="Open Sans" w:eastAsia="Open Sans" w:hAnsi="Open Sans" w:cs="Open Sans"/>
              </w:rPr>
              <w:t> </w:t>
            </w:r>
          </w:p>
          <w:p w14:paraId="6D24B34B" w14:textId="328CD0DF" w:rsidR="008E6F03" w:rsidRPr="008E6F03" w:rsidRDefault="008E6F03" w:rsidP="008E6F03">
            <w:pPr>
              <w:spacing w:line="240" w:lineRule="auto"/>
              <w:ind w:left="1440"/>
              <w:jc w:val="both"/>
              <w:rPr>
                <w:rFonts w:ascii="Open Sans" w:eastAsia="Open Sans" w:hAnsi="Open Sans" w:cs="Open Sans"/>
              </w:rPr>
            </w:pPr>
          </w:p>
          <w:p>
            <w:r>
              <w:rPr>
                <w:b/>
                <w:sz w:val="20"/>
              </w:rPr>
              <w:t>A. Descripción general y Teoría del Cambio.</w:t>
            </w:r>
          </w:p>
          <w:p>
            <w:r>
              <w:rPr>
                <w:sz w:val="20"/>
              </w:rPr>
              <w:t>El Polo Tecnológico Forestal es una plataforma de infraestructura y servicios comunes, de acceso abierto, para la cadena foresto-industrial del Noroeste de Chubut: secado industrial de madera, clasificación y certificación, chipeado y peletizado de biomasa de pino (capacidad de referencia: 24.700 t/año de chips o 12.600 t/año de pellets) y un laboratorio de I+D+i articulado con CIEFAP, UNPSJB e INTA/CONICET.</w:t>
            </w:r>
          </w:p>
          <w:p>
            <w:r>
              <w:rPr>
                <w:sz w:val="20"/>
              </w:rPr>
              <w:t>Teoría del cambio: si los aserraderos y pymes del Noroeste de Chubut acceden a infraestructura industrial compartida, a una logística de abastecimiento común y a servicios de clasificación y certificación, y si el Polo se sostiene con un consorcio de gestión formalizado por convenios y contratos, entonces aumentan el valor agregado y la calidad de la madera de pino, se valoriza la biomasa residual y se reduce la carga de combustible acumulada; con ello mejoran la competitividad y el empleo de la cadena y se reduce el riesgo de incendios forestales. La cadena de resultados completa (problemas específicos, determinantes, intervenciones, productos, resultados e indicadores) se presenta en el Cuadro 1 del Anexo A, al final de este documento.</w:t>
            </w:r>
          </w:p>
          <w:p>
            <w:r>
              <w:rPr>
                <w:b/>
                <w:sz w:val="20"/>
              </w:rPr>
              <w:t>B. Objetivos y componentes.</w:t>
            </w:r>
          </w:p>
          <w:p>
            <w:r>
              <w:rPr>
                <w:sz w:val="20"/>
              </w:rPr>
              <w:t>Objetivo general: fortalecer y modernizar la estructura tecnológica e industrial de la cadena foresto-industrial del Noroeste de Chubut mediante un Polo Tecnológico Forestal de servicios compartidos, que incremente la capacidad de transformación, el aprovechamiento integral del recurso, la generación de valor agregado y la competitividad sectorial.</w:t>
            </w:r>
          </w:p>
          <w:p>
            <w:r>
              <w:rPr>
                <w:sz w:val="20"/>
              </w:rPr>
              <w:t>Componentes: (1) infraestructura industrial compartida (secado, chipeado y peletizado); (2) logística y abastecimiento sostenible de biomasa; (3) calidad, clasificación y certificación; (4) gobernanza y transferencia tecnológica. El detalle de objetivos específicos y productos se presenta en el Cuadro 2 del Anexo A.</w:t>
            </w:r>
          </w:p>
        </w:tc>
      </w:tr>
      <w:tr w:rsidR="001739AC" w14:paraId="1F534243" w14:textId="77777777">
        <w:trPr>
          <w:trHeight w:val="397"/>
          <w:jc w:val="center"/>
        </w:trPr>
        <w:tc>
          <w:tcPr>
            <w:tcW w:w="10460" w:type="dxa"/>
            <w:gridSpan w:val="2"/>
            <w:shd w:val="clear" w:color="auto" w:fill="D9E2F3"/>
            <w:vAlign w:val="center"/>
          </w:tcPr>
          <w:p w14:paraId="603D00C4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2. Alternativas técnicas </w:t>
            </w:r>
            <w:r>
              <w:rPr>
                <w:rFonts w:ascii="Open Sans" w:eastAsia="Open Sans" w:hAnsi="Open Sans" w:cs="Open Sans"/>
                <w:b/>
                <w:bCs/>
                <w:sz w:val="14"/>
                <w:szCs w:val="14"/>
              </w:rPr>
              <w:t>(entrega 2)</w:t>
            </w:r>
          </w:p>
        </w:tc>
      </w:tr>
      <w:tr w:rsidR="001739AC" w14:paraId="151979C2" w14:textId="77777777">
        <w:trPr>
          <w:trHeight w:val="77"/>
          <w:jc w:val="center"/>
        </w:trPr>
        <w:tc>
          <w:tcPr>
            <w:tcW w:w="3340" w:type="dxa"/>
            <w:vAlign w:val="center"/>
          </w:tcPr>
          <w:p w14:paraId="5821BCC2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¿Se han identificado más de una alternativa técnica?</w:t>
            </w:r>
          </w:p>
        </w:tc>
        <w:tc>
          <w:tcPr>
            <w:tcW w:w="7120" w:type="dxa"/>
            <w:vAlign w:val="center"/>
          </w:tcPr>
          <w:p w14:paraId="21535610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b/>
                <w:sz w:val="20"/>
              </w:rPr>
              <w:t xml:space="preserve">Sí. </w:t>
            </w:r>
          </w:p>
          <w:p>
            <w:r>
              <w:rPr>
                <w:sz w:val="20"/>
              </w:rPr>
              <w:t>Se identificaron dos alternativas: Polo centralizado único y red distribuida de nodos satélite.</w:t>
            </w:r>
          </w:p>
        </w:tc>
      </w:tr>
      <w:tr w:rsidR="001739AC" w14:paraId="62FBDD51" w14:textId="77777777">
        <w:trPr>
          <w:trHeight w:val="77"/>
          <w:jc w:val="center"/>
        </w:trPr>
        <w:tc>
          <w:tcPr>
            <w:tcW w:w="3340" w:type="dxa"/>
            <w:vAlign w:val="center"/>
          </w:tcPr>
          <w:p w14:paraId="0D60C811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lastRenderedPageBreak/>
              <w:t xml:space="preserve">Las alternativas técnicas identificadas, ¿pueden tener implicancias ambientales y sociales diferentes? </w:t>
            </w:r>
          </w:p>
        </w:tc>
        <w:tc>
          <w:tcPr>
            <w:tcW w:w="7120" w:type="dxa"/>
            <w:vAlign w:val="center"/>
          </w:tcPr>
          <w:p w14:paraId="54E7FDAE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b/>
                <w:sz w:val="20"/>
              </w:rPr>
              <w:t xml:space="preserve">Sí. </w:t>
            </w:r>
          </w:p>
          <w:p>
            <w:r>
              <w:rPr>
                <w:sz w:val="20"/>
              </w:rPr>
              <w:t>Difieren en la distribución del tránsito pesado, la huella de infraestructura y la cantidad de sitios a fiscalizar.</w:t>
            </w:r>
          </w:p>
        </w:tc>
      </w:tr>
      <w:tr w:rsidR="001739AC" w14:paraId="06D4D8C0" w14:textId="77777777">
        <w:trPr>
          <w:trHeight w:val="77"/>
          <w:jc w:val="center"/>
        </w:trPr>
        <w:tc>
          <w:tcPr>
            <w:tcW w:w="3340" w:type="dxa"/>
            <w:vAlign w:val="center"/>
          </w:tcPr>
          <w:p w14:paraId="736655D9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Descripción Alternativa 1</w:t>
            </w:r>
          </w:p>
        </w:tc>
        <w:tc>
          <w:tcPr>
            <w:tcW w:w="7120" w:type="dxa"/>
            <w:vAlign w:val="center"/>
          </w:tcPr>
          <w:p w14:paraId="37F8557A" w14:textId="77777777" w:rsidR="001739AC" w:rsidRDefault="00000000">
            <w:pPr>
              <w:numPr>
                <w:ilvl w:val="0"/>
                <w:numId w:val="11"/>
              </w:numPr>
              <w:spacing w:line="240" w:lineRule="auto"/>
              <w:ind w:left="1080" w:firstLine="0"/>
              <w:jc w:val="both"/>
              <w:rPr>
                <w:rFonts w:ascii="Open Sans" w:eastAsia="Open Sans" w:hAnsi="Open Sans" w:cs="Open Sans"/>
              </w:rPr>
            </w:pPr>
            <w:r>
              <w:rPr>
                <w:b/>
                <w:sz w:val="20"/>
              </w:rPr>
              <w:t xml:space="preserve">Alternativa 1 — Polo centralizado único. </w:t>
            </w:r>
          </w:p>
          <w:p>
            <w:r>
              <w:rPr>
                <w:sz w:val="20"/>
              </w:rPr>
              <w:t>Una única planta con todos los servicios en Trevelin o Epuyén. Concentra el tránsito de camiones de biomasa en una sola ruta de acceso, más fácil de fiscalizar, con mayor huella industrial puntual en un solo sitio.</w:t>
            </w:r>
          </w:p>
        </w:tc>
      </w:tr>
      <w:tr w:rsidR="001739AC" w14:paraId="556880AF" w14:textId="77777777">
        <w:trPr>
          <w:trHeight w:val="77"/>
          <w:jc w:val="center"/>
        </w:trPr>
        <w:tc>
          <w:tcPr>
            <w:tcW w:w="3340" w:type="dxa"/>
            <w:vAlign w:val="center"/>
          </w:tcPr>
          <w:p w14:paraId="2E8BEEE8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Descripción Alternativa 2</w:t>
            </w:r>
          </w:p>
        </w:tc>
        <w:tc>
          <w:tcPr>
            <w:tcW w:w="7120" w:type="dxa"/>
            <w:vAlign w:val="center"/>
          </w:tcPr>
          <w:p w14:paraId="4958F3C0" w14:textId="77777777" w:rsidR="001739AC" w:rsidRDefault="00000000">
            <w:pPr>
              <w:numPr>
                <w:ilvl w:val="0"/>
                <w:numId w:val="15"/>
              </w:numPr>
              <w:spacing w:line="240" w:lineRule="auto"/>
              <w:ind w:left="1080" w:firstLine="0"/>
              <w:jc w:val="both"/>
              <w:rPr>
                <w:rFonts w:ascii="Open Sans" w:eastAsia="Open Sans" w:hAnsi="Open Sans" w:cs="Open Sans"/>
              </w:rPr>
            </w:pPr>
            <w:r>
              <w:rPr>
                <w:b/>
                <w:sz w:val="20"/>
              </w:rPr>
              <w:t xml:space="preserve">Alternativa 2 — Red distribuida de nodos satélite. </w:t>
            </w:r>
          </w:p>
          <w:p>
            <w:r>
              <w:rPr>
                <w:sz w:val="20"/>
              </w:rPr>
              <w:t>Nodos de acopio y procesamiento primario en El Hoyo, Trevelin, Esquel y eventualmente Corcovado, conectados a una planta central. Reparte tránsito y huella entre varios sitios, con menor impacto por nodo pero mayor huella total.</w:t>
            </w:r>
          </w:p>
        </w:tc>
      </w:tr>
      <w:tr w:rsidR="001739AC" w14:paraId="2379CDE9" w14:textId="77777777">
        <w:trPr>
          <w:trHeight w:val="77"/>
          <w:jc w:val="center"/>
        </w:trPr>
        <w:tc>
          <w:tcPr>
            <w:tcW w:w="3340" w:type="dxa"/>
            <w:vAlign w:val="center"/>
          </w:tcPr>
          <w:p w14:paraId="251DA579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Descripción Alternativa 3</w:t>
            </w:r>
          </w:p>
        </w:tc>
        <w:tc>
          <w:tcPr>
            <w:tcW w:w="7120" w:type="dxa"/>
            <w:vAlign w:val="center"/>
          </w:tcPr>
          <w:p w14:paraId="7D61DC02" w14:textId="77777777" w:rsidR="001739AC" w:rsidRDefault="00000000">
            <w:pPr>
              <w:numPr>
                <w:ilvl w:val="0"/>
                <w:numId w:val="2"/>
              </w:numPr>
              <w:spacing w:line="240" w:lineRule="auto"/>
              <w:ind w:left="1080" w:firstLine="0"/>
              <w:jc w:val="both"/>
              <w:rPr>
                <w:rFonts w:ascii="Open Sans" w:eastAsia="Open Sans" w:hAnsi="Open Sans" w:cs="Open Sans"/>
              </w:rPr>
            </w:pPr>
            <w:r>
              <w:rPr>
                <w:sz w:val="20"/>
              </w:rPr>
              <w:t>No se identificó una tercera alternativa en esta etapa.</w:t>
            </w:r>
          </w:p>
        </w:tc>
      </w:tr>
      <w:tr w:rsidR="001739AC" w14:paraId="6BDE744E" w14:textId="77777777">
        <w:trPr>
          <w:trHeight w:val="77"/>
          <w:jc w:val="center"/>
        </w:trPr>
        <w:tc>
          <w:tcPr>
            <w:tcW w:w="3340" w:type="dxa"/>
            <w:vAlign w:val="center"/>
          </w:tcPr>
          <w:p w14:paraId="12DD1660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Descripción Alternativa n</w:t>
            </w:r>
          </w:p>
        </w:tc>
        <w:tc>
          <w:tcPr>
            <w:tcW w:w="7120" w:type="dxa"/>
            <w:vAlign w:val="center"/>
          </w:tcPr>
          <w:p w14:paraId="46B0133A" w14:textId="77777777" w:rsidR="001739AC" w:rsidRDefault="001739AC">
            <w:pPr>
              <w:spacing w:before="240" w:after="240" w:line="240" w:lineRule="auto"/>
              <w:ind w:left="720"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sz w:val="20"/>
              </w:rPr>
              <w:t>No aplica.</w:t>
            </w:r>
          </w:p>
        </w:tc>
      </w:tr>
      <w:tr w:rsidR="001739AC" w14:paraId="14393E78" w14:textId="77777777">
        <w:trPr>
          <w:trHeight w:val="438"/>
          <w:jc w:val="center"/>
        </w:trPr>
        <w:tc>
          <w:tcPr>
            <w:tcW w:w="10460" w:type="dxa"/>
            <w:gridSpan w:val="2"/>
            <w:shd w:val="clear" w:color="auto" w:fill="E7E6E6"/>
            <w:vAlign w:val="center"/>
          </w:tcPr>
          <w:p w14:paraId="5020C52D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Análisis comparativo de alternativas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  <w:b/>
                <w:bCs/>
                <w:sz w:val="14"/>
                <w:szCs w:val="14"/>
              </w:rPr>
              <w:t>(entrega 2)</w:t>
            </w:r>
          </w:p>
        </w:tc>
      </w:tr>
      <w:tr w:rsidR="001739AC" w14:paraId="3B030BA0" w14:textId="77777777">
        <w:trPr>
          <w:trHeight w:val="1992"/>
          <w:jc w:val="center"/>
        </w:trPr>
        <w:tc>
          <w:tcPr>
            <w:tcW w:w="10460" w:type="dxa"/>
            <w:gridSpan w:val="2"/>
            <w:vAlign w:val="center"/>
          </w:tcPr>
          <w:p w14:paraId="731E4361" w14:textId="77777777" w:rsidR="001739AC" w:rsidRDefault="00000000">
            <w:pPr>
              <w:spacing w:line="240" w:lineRule="auto"/>
              <w:ind w:right="555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Presentar un análisis comparativo somero de las diferencias entre las alternativas técnicas en cuanto sus implicancias ambientales y sociales. Si existen diferencias sustanciales entre dos o más alternativas técnicas, las siguientes partes deberán completarse para cada Alternativa. </w:t>
            </w:r>
            <w:r>
              <w:rPr>
                <w:rFonts w:ascii="Open Sans" w:eastAsia="Open Sans" w:hAnsi="Open Sans" w:cs="Open Sans"/>
              </w:rPr>
              <w:t> </w:t>
            </w:r>
          </w:p>
          <w:p w14:paraId="6B0BCC82" w14:textId="77777777" w:rsidR="001739AC" w:rsidRDefault="00000000">
            <w:pPr>
              <w:numPr>
                <w:ilvl w:val="0"/>
                <w:numId w:val="9"/>
              </w:numPr>
              <w:spacing w:line="240" w:lineRule="auto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Mapa con la infraestructura prevista y primera definición del área de influencia. </w:t>
            </w:r>
            <w:r>
              <w:rPr>
                <w:rFonts w:ascii="Open Sans" w:eastAsia="Open Sans" w:hAnsi="Open Sans" w:cs="Open Sans"/>
              </w:rPr>
              <w:t> </w:t>
            </w:r>
          </w:p>
          <w:p w14:paraId="3EB18333" w14:textId="77777777" w:rsidR="001739AC" w:rsidRDefault="00000000">
            <w:pPr>
              <w:spacing w:before="240" w:after="240" w:line="240" w:lineRule="auto"/>
              <w:ind w:left="720"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 xml:space="preserve"> </w:t>
            </w:r>
          </w:p>
          <w:p>
            <w:r>
              <w:rPr>
                <w:sz w:val="20"/>
              </w:rPr>
              <w:t>La Alternativa 1 concentra impactos (tránsito, ruido, emisiones) en un único sitio pero simplifica el control ambiental y forestal. La Alternativa 2 reduce el impacto puntual en cada localidad, aunque suma huella total de infraestructura y multiplica los puntos de control, justamente la debilidad estructural del control forestal que identifica el antecedente CFI 2019. Ninguna de las dos activa la lista de exclusión: no hay desplazamiento poblacional previsto, afectación de hábitats críticos identificada ni actividad prohibida. Clasificación ambiental preliminar: Categoría B (a confirmar por el CFI).</w:t>
            </w:r>
          </w:p>
          <w:p>
            <w:r>
              <w:rPr>
                <w:sz w:val="20"/>
              </w:rPr>
              <w:t>Permisos previstos para ambas alternativas: evaluación de impacto ambiental ante la autoridad ambiental provincial, acreditación de origen legal y sostenible de la madera y la biomasa ante la Secretaría de Bosques y permiso de captación de agua si el diseño lo requiere.</w:t>
            </w:r>
          </w:p>
          <w:p>
            <w:r>
              <w:rPr>
                <w:sz w:val="20"/>
              </w:rPr>
              <w:t>Temas clave a documentar: origen sostenible de la biomasa (el antecedente CFI 2019 advierte que no están dadas las condiciones para el uso intensivo de bosque nativo sin fiscalización), recurso hídrico y comunidades mapuche-tehuelche en Futaleufú y Cushamen (a verificar contra registros oficiales). La reducción del riesgo de incendios es un impacto positivo del proyecto.</w:t>
            </w:r>
          </w:p>
          <w:p>
            <w:r>
              <w:rPr>
                <w:i/>
                <w:sz w:val="20"/>
              </w:rPr>
              <w:t>Mapa con la infraestructura prevista y primera definición del área de influencia: cartografía (.kmz) a adjuntar como anexo.</w:t>
            </w:r>
          </w:p>
        </w:tc>
      </w:tr>
    </w:tbl>
    <w:p w14:paraId="78F7D392" w14:textId="77777777" w:rsidR="001739AC" w:rsidRDefault="001739AC"/>
    <w:p>
      <w:pPr>
        <w:sectPr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>
      <w:r>
        <w:rPr>
          <w:b/>
          <w:sz w:val="28"/>
        </w:rPr>
        <w:t>Anexo A — Teoría del Cambio, objetivos y componentes</w:t>
      </w:r>
    </w:p>
    <w:p>
      <w:r>
        <w:rPr>
          <w:b/>
          <w:sz w:val="20"/>
        </w:rPr>
        <w:t xml:space="preserve">Problema general: </w:t>
      </w:r>
      <w:r>
        <w:rPr>
          <w:sz w:val="20"/>
        </w:rPr>
        <w:t>Escasa, obsoleta e inadecuada estructura tecnológica e industrial para el desarrollo de la cadena foresto-industrial en el Noroeste de Chubut.</w:t>
      </w:r>
    </w:p>
    <w:p>
      <w:r>
        <w:rPr>
          <w:b/>
          <w:sz w:val="22"/>
        </w:rPr>
        <w:t>Cuadro 1. Cadena de resultados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1814"/>
            <w:shd w:val="clear" w:color="auto" w:fill="2E5B3C"/>
          </w:tcPr>
          <w:p>
            <w:r/>
            <w:r>
              <w:rPr>
                <w:b/>
                <w:color w:val="FFFFFF"/>
                <w:sz w:val="17"/>
              </w:rPr>
              <w:t>Problema específico</w:t>
            </w:r>
          </w:p>
        </w:tc>
        <w:tc>
          <w:tcPr>
            <w:tcW w:type="dxa" w:w="2835"/>
            <w:shd w:val="clear" w:color="auto" w:fill="2E5B3C"/>
          </w:tcPr>
          <w:p>
            <w:r/>
            <w:r>
              <w:rPr>
                <w:b/>
                <w:color w:val="FFFFFF"/>
                <w:sz w:val="17"/>
              </w:rPr>
              <w:t>Determinantes</w:t>
            </w:r>
          </w:p>
        </w:tc>
        <w:tc>
          <w:tcPr>
            <w:tcW w:type="dxa" w:w="2494"/>
            <w:shd w:val="clear" w:color="auto" w:fill="2E5B3C"/>
          </w:tcPr>
          <w:p>
            <w:r/>
            <w:r>
              <w:rPr>
                <w:b/>
                <w:color w:val="FFFFFF"/>
                <w:sz w:val="17"/>
              </w:rPr>
              <w:t>Intervención</w:t>
            </w:r>
          </w:p>
        </w:tc>
        <w:tc>
          <w:tcPr>
            <w:tcW w:type="dxa" w:w="2494"/>
            <w:shd w:val="clear" w:color="auto" w:fill="2E5B3C"/>
          </w:tcPr>
          <w:p>
            <w:r/>
            <w:r>
              <w:rPr>
                <w:b/>
                <w:color w:val="FFFFFF"/>
                <w:sz w:val="17"/>
              </w:rPr>
              <w:t>Productos</w:t>
            </w:r>
          </w:p>
        </w:tc>
        <w:tc>
          <w:tcPr>
            <w:tcW w:type="dxa" w:w="2154"/>
            <w:shd w:val="clear" w:color="auto" w:fill="2E5B3C"/>
          </w:tcPr>
          <w:p>
            <w:r/>
            <w:r>
              <w:rPr>
                <w:b/>
                <w:color w:val="FFFFFF"/>
                <w:sz w:val="17"/>
              </w:rPr>
              <w:t>Resultados</w:t>
            </w:r>
          </w:p>
        </w:tc>
        <w:tc>
          <w:tcPr>
            <w:tcW w:type="dxa" w:w="2381"/>
            <w:shd w:val="clear" w:color="auto" w:fill="2E5B3C"/>
          </w:tcPr>
          <w:p>
            <w:r/>
            <w:r>
              <w:rPr>
                <w:b/>
                <w:color w:val="FFFFFF"/>
                <w:sz w:val="17"/>
              </w:rPr>
              <w:t>Indicador (línea de base → meta)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7"/>
              </w:rPr>
              <w:t>1. Ineficiente logística de extracción y manejo del recurso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Costos de extracción y transporte elevados, sin escala común. Biomasa dispersa y de acceso dificultoso. Nodos fuera del radio logístico óptimo (25-30 km): Corcovado a 46 km, $288/t vs. El Hoyo $228/t (CIEFAP, Pub. Téc. 34).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Coordinación logística centralizada a través del Polo (acopio y transporte común).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Protocolo logístico común de acopio y transporte. Plan de abastecimiento por nodos.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Reducción de costos logísticos de extracción y transporte.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Costo de biomasa puesta en planta (USD/t): línea de base $228-322/t según nodo → meta a definir en Prefactibilidad.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7"/>
              </w:rPr>
              <w:t>2. Baja escala y falta de infraestructura compartida (60% de la biomasa generada no se aprovecha económicamente)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Insuficiente capacidad instalada para transformación primaria y secundaria. Ausencia de infraestructura tecnológica compartida (secaderos, plantas de tratamiento, laboratorios). Tecnología a pequeña escala, sin sistematización industrial del aserrío.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Construcción y puesta en marcha del Polo centralizado (Trevelin/Epuyén): secado industrial y líneas de chipeado/peletizado de pino.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Polo operativo (referencia: 24.700 t/año de chips o 12.600 t/año de pellets). Chips y pellets de pino certificados. Servicios tarifados de acceso abierto para los 51 aserraderos.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Mayor aprovechamiento de biomasa sobre el 60% actual sin uso.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% de biomasa aprovechada: línea de base 40% → meta a definir. Aserraderos usuarios: 0 de 51 → meta a definir.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7"/>
              </w:rPr>
              <w:t>3. Acumulación de biomasa y riesgo de incendios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Falta de tratamientos silvícolas (podas y raleos) durante años. Residuo sin mercado que se acumula como combustible. Inventario forestal desactualizado (último 2013-2014).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Valorización industrial de la biomasa de podas, raleos y aserradero mediante contratos de abastecimiento con contratistas de saca y aserraderos. Relevamiento dasométrico actualizado (en Prefactibilidad).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Contratos de abastecimiento firmados. Inventario dasométrico actualizado. Protocolo de origen sostenible (pino de bosque implantado; sin uso intensivo de bosque nativo).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Menor carga de combustible acumulada en el área de influencia; el proyecto contribuye a reducir el riesgo de incendios (no lo resuelve por sí solo).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Toneladas de biomasa residual retiradas por año y hectáreas con podas/raleos: línea de base a relevar → meta a definir. Contexto: ~177.200 ha afectadas por incendios de magnitud entre 2014-15 y 2025-26 (Secretaría de Bosques).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7"/>
              </w:rPr>
              <w:t>4. Débil articulación técnico-institucional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Insuficiente articulación entre CIEFAP, INTA, UNPSJB y el sector productivo. Ausencia de un actor que traccione la inversión (el sector privado no puede afrontarla solo). Antecedentes de asistencias técnicas inconclusas.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Consorcio de gestión del Polo (Estado provincial, sector privado y sistema científico-tecnológico) formalizado por convenio, con roles, reglas y financiamiento definidos. Convenios de transferencia tecnológica.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Consorcio constituido. Convenios firmados con CIEFAP, INTA y UNPSJB. Laboratorio de I+D+i. Plan de transferencia y capacitación para pequeños productores.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Coordinación sostenida por instrumentos vinculantes, sin depender de reuniones periódicas.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Convenios vigentes y contratos de abastecimiento firmados: 0 → meta a definir.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7"/>
              </w:rPr>
              <w:t>5. Baja competitividad y falta de estandarización (el pino blanco pierde valor frente a la madera de Misiones)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Ausencia de protocolo de secado industrial normalizado. Falta de certificaciones bajo normas técnicas (ej. CIRSOC). Sin sello de calidad regional.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Líneas de clasificación y certificación de madera bajo normas técnicas vigentes.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Madera clasificada y secada industrialmente. Sello/certificación de calidad regional.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Mayor competitividad del pino blanco frente a la madera importada; mayor participación en mercados de valor y compras públicas.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Volumen de madera secada y clasificada (m³/año): 0 → meta a definir. Madera regional en compras públicas: línea de base a relevar.</w:t>
            </w:r>
          </w:p>
        </w:tc>
      </w:tr>
    </w:tbl>
    <w:p>
      <w:r>
        <w:rPr>
          <w:b/>
          <w:sz w:val="20"/>
        </w:rPr>
        <w:t xml:space="preserve">Resultado final (impacto): </w:t>
      </w:r>
      <w:r>
        <w:rPr>
          <w:sz w:val="20"/>
        </w:rPr>
        <w:t>cadena foresto-industrial del Noroeste de Chubut modernizada, con mayor valor agregado y competitividad, y con menor carga de combustible acumulada.</w:t>
      </w:r>
    </w:p>
    <w:p>
      <w:r>
        <w:rPr>
          <w:b/>
          <w:sz w:val="22"/>
        </w:rPr>
        <w:t>Supuestos</w:t>
      </w:r>
    </w:p>
    <w:p>
      <w:r>
        <w:rPr>
          <w:b/>
          <w:sz w:val="20"/>
        </w:rPr>
        <w:t xml:space="preserve">• Condiciones iniciales: </w:t>
      </w:r>
      <w:r>
        <w:rPr>
          <w:sz w:val="20"/>
        </w:rPr>
        <w:t>se obtiene el financiamiento de inversión (CFI u otra fuente) y se define la localización final (Trevelin o Epuyén).</w:t>
      </w:r>
    </w:p>
    <w:p>
      <w:r>
        <w:rPr>
          <w:b/>
          <w:sz w:val="20"/>
        </w:rPr>
        <w:t xml:space="preserve">• Implementación: </w:t>
      </w:r>
      <w:r>
        <w:rPr>
          <w:sz w:val="20"/>
        </w:rPr>
        <w:t>los aserraderos y pymes usan los servicios del Polo con tarifas accesibles; los contratistas de saca entregan biomasa de forma sostenida.</w:t>
      </w:r>
    </w:p>
    <w:p>
      <w:r>
        <w:rPr>
          <w:b/>
          <w:sz w:val="20"/>
        </w:rPr>
        <w:t xml:space="preserve">• Desarrollo: </w:t>
      </w:r>
      <w:r>
        <w:rPr>
          <w:sz w:val="20"/>
        </w:rPr>
        <w:t>hay oferta suficiente de biomasa de pino implantado (depende de que se realicen podas y raleos y de contar con un inventario actualizado); la demanda institucional se concreta mediante contratos.</w:t>
      </w:r>
    </w:p>
    <w:p>
      <w:r>
        <w:rPr>
          <w:b/>
          <w:sz w:val="20"/>
        </w:rPr>
        <w:t xml:space="preserve">• Sostenibilidad: </w:t>
      </w:r>
      <w:r>
        <w:rPr>
          <w:sz w:val="20"/>
        </w:rPr>
        <w:t>el consorcio cubre los costos operativos con ingresos por tarifas y venta de productos; se fiscaliza el origen legal de la madera.</w:t>
      </w:r>
    </w:p>
    <w:p>
      <w:r>
        <w:rPr>
          <w:b/>
          <w:sz w:val="22"/>
        </w:rPr>
        <w:t>Cuadro 2. Componentes, objetivos específicos y productos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2E5B3C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669"/>
            <w:shd w:val="clear" w:color="auto" w:fill="2E5B3C"/>
          </w:tcPr>
          <w:p>
            <w:r/>
            <w:r>
              <w:rPr>
                <w:b/>
                <w:color w:val="FFFFFF"/>
                <w:sz w:val="18"/>
              </w:rPr>
              <w:t>Objetivo específico</w:t>
            </w:r>
          </w:p>
        </w:tc>
        <w:tc>
          <w:tcPr>
            <w:tcW w:type="dxa" w:w="5102"/>
            <w:shd w:val="clear" w:color="auto" w:fill="2E5B3C"/>
          </w:tcPr>
          <w:p>
            <w:r/>
            <w:r>
              <w:rPr>
                <w:b/>
                <w:color w:val="FFFFFF"/>
                <w:sz w:val="18"/>
              </w:rPr>
              <w:t>Productos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1. Infraestructura industrial compartida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Desarrollar infraestructura y equipamiento compartido para la transformación primaria y secundaria de madera y biomasa de pino.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Polo operativo; chips y pellets de pino certificados; servicios tarifados de acceso abierto.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2. Logística y abastecimiento sostenible de biomasa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Reducir los costos de extracción y transporte y asegurar un abastecimiento sostenible que reduzca la carga de combustible.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Protocolo logístico común; contratos de abastecimiento; inventario dasométrico actualizado; protocolo de origen sostenible.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3. Calidad, clasificación y certificación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Incorporar secado, clasificación, estandarización y certificación para mejorar la competitividad del pino regional.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Madera clasificada y secada industrialmente; sello/certificación de calidad regional.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4. Gobernanza y transferencia tecnológica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Consolidar la articulación entre Estado, sector privado y sistema científico-tecnológico y transferir tecnología a los pequeños productores.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Consorcio de gestión; convenios con CIEFAP, INTA y UNPSJB; laboratorio de I+D+i; plan de transferencia y capacitación.</w:t>
            </w:r>
          </w:p>
        </w:tc>
      </w:tr>
    </w:tbl>
    <w:sectPr w:rsidR="001739AC">
      <w:pgSz w:w="15840" w:h="12240" w:orient="landscape"/>
      <w:pgMar w:top="1020" w:right="1020" w:bottom="1020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6DB73" w14:textId="77777777" w:rsidR="00BE4834" w:rsidRDefault="00BE4834">
      <w:pPr>
        <w:spacing w:line="240" w:lineRule="auto"/>
      </w:pPr>
      <w:r>
        <w:separator/>
      </w:r>
    </w:p>
  </w:endnote>
  <w:endnote w:type="continuationSeparator" w:id="0">
    <w:p w14:paraId="46B123A0" w14:textId="77777777" w:rsidR="00BE4834" w:rsidRDefault="00BE48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877B9DC-DA13-4D1F-842D-17A5376817F7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6B728EEC-C124-41E9-94F9-1F917AB4F85D}"/>
    <w:embedBold r:id="rId3" w:fontKey="{EE65E15C-4B40-4C27-9F6E-525F98B57773}"/>
    <w:embedItalic r:id="rId4" w:fontKey="{C0CD3D89-47B5-4548-8166-70B7F7FD946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00B3589-2A33-46F3-9A43-0CAA5A4B4E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8BF9" w14:textId="77777777" w:rsidR="00BE4834" w:rsidRDefault="00BE4834">
      <w:pPr>
        <w:spacing w:line="240" w:lineRule="auto"/>
      </w:pPr>
      <w:r>
        <w:separator/>
      </w:r>
    </w:p>
  </w:footnote>
  <w:footnote w:type="continuationSeparator" w:id="0">
    <w:p w14:paraId="0FBD7808" w14:textId="77777777" w:rsidR="00BE4834" w:rsidRDefault="00BE48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9C2"/>
    <w:multiLevelType w:val="multilevel"/>
    <w:tmpl w:val="D902D64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F473AB1"/>
    <w:multiLevelType w:val="multilevel"/>
    <w:tmpl w:val="C5920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A657C3"/>
    <w:multiLevelType w:val="multilevel"/>
    <w:tmpl w:val="49D4D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AB1CC1"/>
    <w:multiLevelType w:val="multilevel"/>
    <w:tmpl w:val="8B84B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DE275C"/>
    <w:multiLevelType w:val="multilevel"/>
    <w:tmpl w:val="80BC5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717AD9"/>
    <w:multiLevelType w:val="multilevel"/>
    <w:tmpl w:val="6FD0F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1B3986"/>
    <w:multiLevelType w:val="multilevel"/>
    <w:tmpl w:val="066256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38135C3"/>
    <w:multiLevelType w:val="multilevel"/>
    <w:tmpl w:val="5B8ED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D20059"/>
    <w:multiLevelType w:val="multilevel"/>
    <w:tmpl w:val="034607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 w15:restartNumberingAfterBreak="0">
    <w:nsid w:val="32AB11A0"/>
    <w:multiLevelType w:val="multilevel"/>
    <w:tmpl w:val="CF6E56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" w15:restartNumberingAfterBreak="0">
    <w:nsid w:val="35BE7675"/>
    <w:multiLevelType w:val="multilevel"/>
    <w:tmpl w:val="5114C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8329EB"/>
    <w:multiLevelType w:val="multilevel"/>
    <w:tmpl w:val="AB5ED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A00C3E"/>
    <w:multiLevelType w:val="multilevel"/>
    <w:tmpl w:val="A51825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 w15:restartNumberingAfterBreak="0">
    <w:nsid w:val="66215FE4"/>
    <w:multiLevelType w:val="multilevel"/>
    <w:tmpl w:val="0DDAB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31315F"/>
    <w:multiLevelType w:val="multilevel"/>
    <w:tmpl w:val="439045A6"/>
    <w:lvl w:ilvl="0">
      <w:start w:val="8"/>
      <w:numFmt w:val="lowerLetter"/>
      <w:lvlText w:val="%1."/>
      <w:lvlJc w:val="left"/>
      <w:pPr>
        <w:ind w:left="502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u w:val="none"/>
      </w:rPr>
    </w:lvl>
  </w:abstractNum>
  <w:abstractNum w:abstractNumId="15" w15:restartNumberingAfterBreak="0">
    <w:nsid w:val="7F3A23FD"/>
    <w:multiLevelType w:val="multilevel"/>
    <w:tmpl w:val="9530D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056706570">
    <w:abstractNumId w:val="9"/>
  </w:num>
  <w:num w:numId="2" w16cid:durableId="463424378">
    <w:abstractNumId w:val="11"/>
  </w:num>
  <w:num w:numId="3" w16cid:durableId="2037996629">
    <w:abstractNumId w:val="13"/>
  </w:num>
  <w:num w:numId="4" w16cid:durableId="1395203779">
    <w:abstractNumId w:val="7"/>
  </w:num>
  <w:num w:numId="5" w16cid:durableId="1371146290">
    <w:abstractNumId w:val="10"/>
  </w:num>
  <w:num w:numId="6" w16cid:durableId="349374955">
    <w:abstractNumId w:val="6"/>
  </w:num>
  <w:num w:numId="7" w16cid:durableId="387345620">
    <w:abstractNumId w:val="12"/>
  </w:num>
  <w:num w:numId="8" w16cid:durableId="1997344373">
    <w:abstractNumId w:val="8"/>
  </w:num>
  <w:num w:numId="9" w16cid:durableId="1712682632">
    <w:abstractNumId w:val="2"/>
  </w:num>
  <w:num w:numId="10" w16cid:durableId="1653018056">
    <w:abstractNumId w:val="5"/>
  </w:num>
  <w:num w:numId="11" w16cid:durableId="1955401884">
    <w:abstractNumId w:val="15"/>
  </w:num>
  <w:num w:numId="12" w16cid:durableId="779108865">
    <w:abstractNumId w:val="1"/>
  </w:num>
  <w:num w:numId="13" w16cid:durableId="1786121005">
    <w:abstractNumId w:val="14"/>
  </w:num>
  <w:num w:numId="14" w16cid:durableId="458761911">
    <w:abstractNumId w:val="3"/>
  </w:num>
  <w:num w:numId="15" w16cid:durableId="1311668070">
    <w:abstractNumId w:val="4"/>
  </w:num>
  <w:num w:numId="16" w16cid:durableId="18929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AC"/>
    <w:rsid w:val="00164299"/>
    <w:rsid w:val="001739AC"/>
    <w:rsid w:val="002F59BB"/>
    <w:rsid w:val="003A4A8F"/>
    <w:rsid w:val="007409B0"/>
    <w:rsid w:val="008E6F03"/>
    <w:rsid w:val="00BE2D40"/>
    <w:rsid w:val="00BE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930F4"/>
  <w15:docId w15:val="{B66C323F-CA1A-41D6-A0AB-11DCC32F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28" w:type="dxa"/>
        <w:left w:w="70" w:type="dxa"/>
        <w:bottom w:w="28" w:type="dxa"/>
        <w:right w:w="70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2B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2BFC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DD267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D267B"/>
  </w:style>
  <w:style w:type="paragraph" w:styleId="Piedepgina">
    <w:name w:val="footer"/>
    <w:basedOn w:val="Normal"/>
    <w:link w:val="PiedepginaCar"/>
    <w:uiPriority w:val="99"/>
    <w:semiHidden/>
    <w:unhideWhenUsed/>
    <w:rsid w:val="00DD267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D267B"/>
  </w:style>
  <w:style w:type="paragraph" w:styleId="Textoindependiente">
    <w:name w:val="Body Text"/>
    <w:basedOn w:val="Normal"/>
    <w:link w:val="TextoindependienteCar"/>
    <w:rsid w:val="007621DF"/>
    <w:pPr>
      <w:spacing w:line="240" w:lineRule="auto"/>
      <w:jc w:val="both"/>
    </w:pPr>
    <w:rPr>
      <w:rFonts w:eastAsia="Times New Roman" w:cs="Times New Roman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7621DF"/>
    <w:rPr>
      <w:rFonts w:eastAsia="Times New Roman" w:cs="Times New Roman"/>
      <w:szCs w:val="20"/>
      <w:lang w:val="es-ES_tradnl" w:eastAsia="es-ES"/>
    </w:rPr>
  </w:style>
  <w:style w:type="table" w:styleId="Tablaconcuadrcula">
    <w:name w:val="Table Grid"/>
    <w:basedOn w:val="Tablanormal"/>
    <w:uiPriority w:val="39"/>
    <w:rsid w:val="005B0E0B"/>
    <w:pPr>
      <w:spacing w:line="240" w:lineRule="auto"/>
    </w:pPr>
    <w:rPr>
      <w:rFonts w:asciiTheme="minorHAnsi" w:eastAsiaTheme="minorHAnsi" w:hAnsiTheme="minorHAnsi" w:cstheme="minorBidi"/>
      <w:kern w:val="2"/>
      <w:lang w:val="es-A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3F4718"/>
    <w:pPr>
      <w:spacing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TableNormal0"/>
    <w:tblPr>
      <w:tblStyleRowBandSize w:val="1"/>
      <w:tblStyleColBandSize w:val="1"/>
      <w:tblCellMar>
        <w:top w:w="28" w:type="dxa"/>
        <w:left w:w="70" w:type="dxa"/>
        <w:bottom w:w="28" w:type="dxa"/>
        <w:right w:w="70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Ekd9LDLWGbos6MN2/phWzvooaw==">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615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Franco, Carolina</dc:creator>
  <cp:lastModifiedBy>Maria Luz Vegas</cp:lastModifiedBy>
  <cp:revision>3</cp:revision>
  <dcterms:created xsi:type="dcterms:W3CDTF">2026-09-15T17:54:00Z</dcterms:created>
  <dcterms:modified xsi:type="dcterms:W3CDTF">2026-09-15T18:04:00Z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0x010100EE1C76AF873A664281EA06C8723F52B7</vt:lpwstr>
  </property>
  <property fmtid="{D5CDD505-2E9C-101B-9397-08002B2CF9AE}" pid="3" name="MediaServiceImageTags">
    <vt:lpwstr/>
  </property>
</Properties>
</file>