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E2A793" w14:textId="77777777" w:rsidR="006F7368" w:rsidRDefault="006F7368">
      <w:pPr>
        <w:widowControl/>
        <w:ind w:right="-4"/>
        <w:rPr>
          <w:rFonts w:ascii="Arial" w:hAnsi="Arial" w:cs="Arial"/>
        </w:rPr>
      </w:pPr>
    </w:p>
    <w:p w14:paraId="5E4397B4" w14:textId="77777777" w:rsidR="006F7368" w:rsidRDefault="006F7368">
      <w:pPr>
        <w:widowControl/>
        <w:ind w:right="-4"/>
        <w:rPr>
          <w:rFonts w:ascii="Arial" w:hAnsi="Arial" w:cs="Arial"/>
        </w:rPr>
      </w:pPr>
    </w:p>
    <w:p w14:paraId="621FC468" w14:textId="77777777" w:rsidR="006F7368" w:rsidRDefault="006F7368">
      <w:pPr>
        <w:widowControl/>
        <w:ind w:right="-4"/>
        <w:rPr>
          <w:rFonts w:ascii="Arial" w:hAnsi="Arial" w:cs="Arial"/>
        </w:rPr>
      </w:pPr>
    </w:p>
    <w:p w14:paraId="77BEB8D2" w14:textId="77777777" w:rsidR="006F7368" w:rsidRDefault="002E7A1C">
      <w:pPr>
        <w:widowControl/>
        <w:ind w:right="-4"/>
        <w:rPr>
          <w:rFonts w:ascii="Arial" w:hAnsi="Arial" w:cs="Arial"/>
        </w:rPr>
      </w:pPr>
      <w:r>
        <w:rPr>
          <w:rFonts w:ascii="Arial" w:hAnsi="Arial" w:cs="Arial"/>
          <w:noProof/>
        </w:rPr>
        <w:drawing>
          <wp:anchor distT="0" distB="0" distL="0" distR="0" simplePos="0" relativeHeight="5" behindDoc="0" locked="0" layoutInCell="1" allowOverlap="1" wp14:anchorId="680BD949" wp14:editId="299BC307">
            <wp:simplePos x="0" y="0"/>
            <wp:positionH relativeFrom="column">
              <wp:posOffset>2478405</wp:posOffset>
            </wp:positionH>
            <wp:positionV relativeFrom="paragraph">
              <wp:posOffset>93980</wp:posOffset>
            </wp:positionV>
            <wp:extent cx="957580" cy="1274445"/>
            <wp:effectExtent l="0" t="0" r="0" b="0"/>
            <wp:wrapNone/>
            <wp:docPr id="1" name="Resim 4"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4" descr="logo"/>
                    <pic:cNvPicPr>
                      <a:picLocks noChangeAspect="1" noChangeArrowheads="1"/>
                    </pic:cNvPicPr>
                  </pic:nvPicPr>
                  <pic:blipFill>
                    <a:blip r:embed="rId8"/>
                    <a:stretch>
                      <a:fillRect/>
                    </a:stretch>
                  </pic:blipFill>
                  <pic:spPr bwMode="auto">
                    <a:xfrm>
                      <a:off x="0" y="0"/>
                      <a:ext cx="957580" cy="1274445"/>
                    </a:xfrm>
                    <a:prstGeom prst="rect">
                      <a:avLst/>
                    </a:prstGeom>
                  </pic:spPr>
                </pic:pic>
              </a:graphicData>
            </a:graphic>
          </wp:anchor>
        </w:drawing>
      </w:r>
    </w:p>
    <w:p w14:paraId="6AC557D5" w14:textId="77777777" w:rsidR="006F7368" w:rsidRDefault="006F7368">
      <w:pPr>
        <w:widowControl/>
        <w:spacing w:line="388" w:lineRule="exact"/>
        <w:ind w:left="774" w:right="882"/>
        <w:jc w:val="center"/>
        <w:rPr>
          <w:rFonts w:ascii="Arial" w:hAnsi="Arial" w:cs="Arial"/>
          <w:color w:val="28386B"/>
          <w:w w:val="57"/>
          <w:sz w:val="36"/>
          <w:szCs w:val="36"/>
        </w:rPr>
      </w:pPr>
    </w:p>
    <w:p w14:paraId="2FC776D9" w14:textId="77777777" w:rsidR="006F7368" w:rsidRDefault="006F7368">
      <w:pPr>
        <w:widowControl/>
        <w:spacing w:line="388" w:lineRule="exact"/>
        <w:ind w:left="774" w:right="882"/>
        <w:jc w:val="center"/>
        <w:rPr>
          <w:rFonts w:ascii="Arial" w:hAnsi="Arial" w:cs="Arial"/>
          <w:color w:val="28386B"/>
          <w:w w:val="57"/>
          <w:sz w:val="36"/>
          <w:szCs w:val="36"/>
        </w:rPr>
      </w:pPr>
    </w:p>
    <w:p w14:paraId="12272F0A" w14:textId="77777777" w:rsidR="006F7368" w:rsidRDefault="006F7368">
      <w:pPr>
        <w:widowControl/>
        <w:spacing w:line="388" w:lineRule="exact"/>
        <w:ind w:left="774" w:right="882"/>
        <w:jc w:val="center"/>
        <w:rPr>
          <w:rFonts w:ascii="Arial" w:hAnsi="Arial" w:cs="Arial"/>
          <w:color w:val="28386B"/>
          <w:w w:val="57"/>
          <w:sz w:val="36"/>
          <w:szCs w:val="36"/>
        </w:rPr>
      </w:pPr>
    </w:p>
    <w:p w14:paraId="04443BB3" w14:textId="77777777" w:rsidR="006F7368" w:rsidRDefault="006F7368">
      <w:pPr>
        <w:widowControl/>
        <w:spacing w:line="388" w:lineRule="exact"/>
        <w:ind w:left="774" w:right="882"/>
        <w:jc w:val="center"/>
        <w:rPr>
          <w:rFonts w:ascii="Arial" w:hAnsi="Arial" w:cs="Arial"/>
          <w:color w:val="28386B"/>
          <w:w w:val="57"/>
          <w:sz w:val="36"/>
          <w:szCs w:val="36"/>
        </w:rPr>
      </w:pPr>
    </w:p>
    <w:p w14:paraId="48B2E3D2" w14:textId="77777777" w:rsidR="006F7368" w:rsidRDefault="006F7368">
      <w:pPr>
        <w:widowControl/>
        <w:ind w:right="-4"/>
        <w:rPr>
          <w:rFonts w:ascii="Arial" w:hAnsi="Arial" w:cs="Arial"/>
        </w:rPr>
      </w:pPr>
    </w:p>
    <w:p w14:paraId="11DAC60F" w14:textId="77777777" w:rsidR="006F7368" w:rsidRDefault="006F7368">
      <w:pPr>
        <w:widowControl/>
        <w:spacing w:line="388" w:lineRule="exact"/>
        <w:ind w:left="774" w:right="882"/>
        <w:jc w:val="center"/>
        <w:rPr>
          <w:rFonts w:ascii="Arial" w:hAnsi="Arial" w:cs="Arial"/>
          <w:color w:val="28386B"/>
          <w:w w:val="57"/>
          <w:sz w:val="36"/>
          <w:szCs w:val="36"/>
        </w:rPr>
      </w:pPr>
    </w:p>
    <w:p w14:paraId="10ECEDF7" w14:textId="77777777" w:rsidR="006F7368" w:rsidRDefault="006F7368">
      <w:pPr>
        <w:widowControl/>
        <w:spacing w:line="388" w:lineRule="exact"/>
        <w:ind w:left="774" w:right="882"/>
        <w:jc w:val="center"/>
        <w:rPr>
          <w:rFonts w:ascii="Arial" w:hAnsi="Arial" w:cs="Arial"/>
          <w:color w:val="28386B"/>
          <w:w w:val="57"/>
          <w:sz w:val="36"/>
          <w:szCs w:val="36"/>
        </w:rPr>
      </w:pPr>
    </w:p>
    <w:p w14:paraId="6C71DF44" w14:textId="77777777" w:rsidR="006F7368" w:rsidRDefault="006F7368">
      <w:pPr>
        <w:widowControl/>
        <w:spacing w:line="388" w:lineRule="exact"/>
        <w:ind w:left="774" w:right="882"/>
        <w:jc w:val="center"/>
        <w:rPr>
          <w:rFonts w:ascii="Arial" w:hAnsi="Arial" w:cs="Arial"/>
          <w:color w:val="28386B"/>
          <w:w w:val="57"/>
          <w:sz w:val="36"/>
          <w:szCs w:val="36"/>
        </w:rPr>
      </w:pPr>
    </w:p>
    <w:p w14:paraId="678F18EE" w14:textId="77777777" w:rsidR="006F7368" w:rsidRDefault="006F7368">
      <w:pPr>
        <w:widowControl/>
        <w:spacing w:line="388" w:lineRule="exact"/>
        <w:ind w:left="774" w:right="882"/>
        <w:jc w:val="center"/>
        <w:rPr>
          <w:rFonts w:ascii="Arial" w:hAnsi="Arial" w:cs="Arial"/>
          <w:color w:val="28386B"/>
          <w:w w:val="57"/>
          <w:sz w:val="36"/>
          <w:szCs w:val="36"/>
        </w:rPr>
      </w:pPr>
    </w:p>
    <w:p w14:paraId="77BC4B95" w14:textId="77777777" w:rsidR="006F7368" w:rsidRDefault="006F7368">
      <w:pPr>
        <w:widowControl/>
        <w:ind w:right="-4"/>
        <w:jc w:val="center"/>
        <w:rPr>
          <w:rFonts w:ascii="Arial" w:hAnsi="Arial" w:cs="Arial"/>
        </w:rPr>
      </w:pPr>
    </w:p>
    <w:p w14:paraId="0DAC8D44" w14:textId="77777777" w:rsidR="006F7368" w:rsidRDefault="006F7368">
      <w:pPr>
        <w:widowControl/>
        <w:ind w:right="-4"/>
        <w:jc w:val="center"/>
        <w:rPr>
          <w:rFonts w:ascii="Arial" w:hAnsi="Arial" w:cs="Arial"/>
        </w:rPr>
      </w:pPr>
    </w:p>
    <w:p w14:paraId="2FB4202D" w14:textId="5035D09B" w:rsidR="006F7368" w:rsidRDefault="00915EE1">
      <w:pPr>
        <w:pStyle w:val="GvdeMetni"/>
        <w:widowControl/>
        <w:ind w:right="565"/>
        <w:jc w:val="center"/>
        <w:rPr>
          <w:rStyle w:val="Gl"/>
          <w:rFonts w:cs="Arial"/>
          <w:b/>
          <w:sz w:val="28"/>
          <w:szCs w:val="28"/>
          <w:lang w:val="tr-TR"/>
        </w:rPr>
      </w:pPr>
      <w:r>
        <w:rPr>
          <w:rFonts w:cs="Arial"/>
          <w:sz w:val="28"/>
          <w:szCs w:val="28"/>
        </w:rPr>
        <w:t xml:space="preserve">TÜBİTAK </w:t>
      </w:r>
      <w:r w:rsidR="002E7A1C">
        <w:rPr>
          <w:rStyle w:val="Gl"/>
          <w:rFonts w:cs="Arial"/>
          <w:b/>
          <w:sz w:val="28"/>
          <w:szCs w:val="28"/>
          <w:lang w:val="tr-TR"/>
        </w:rPr>
        <w:t>2209-A ÜNİVERSİTE ÖĞRENCİ</w:t>
      </w:r>
      <w:r>
        <w:rPr>
          <w:rStyle w:val="Gl"/>
          <w:rFonts w:cs="Arial"/>
          <w:b/>
          <w:sz w:val="28"/>
          <w:szCs w:val="28"/>
          <w:lang w:val="tr-TR"/>
        </w:rPr>
        <w:t>LERİ ARAŞTIRMA PROJELERİ DESTEKLEME</w:t>
      </w:r>
      <w:r w:rsidR="002E7A1C">
        <w:rPr>
          <w:rStyle w:val="Gl"/>
          <w:rFonts w:cs="Arial"/>
          <w:b/>
          <w:sz w:val="28"/>
          <w:szCs w:val="28"/>
          <w:lang w:val="tr-TR"/>
        </w:rPr>
        <w:t xml:space="preserve"> PROGRAMI</w:t>
      </w:r>
    </w:p>
    <w:p w14:paraId="2C433A36" w14:textId="77777777" w:rsidR="006F7368" w:rsidRDefault="006F7368">
      <w:pPr>
        <w:pStyle w:val="GvdeMetni"/>
        <w:widowControl/>
        <w:ind w:right="565"/>
        <w:jc w:val="center"/>
        <w:rPr>
          <w:rStyle w:val="Gl"/>
          <w:rFonts w:cs="Arial"/>
          <w:b/>
          <w:sz w:val="28"/>
          <w:szCs w:val="28"/>
        </w:rPr>
      </w:pPr>
    </w:p>
    <w:p w14:paraId="2A1CF79F" w14:textId="12E8393D" w:rsidR="006F7368" w:rsidRDefault="002E7A1C">
      <w:pPr>
        <w:pStyle w:val="WW-NormalWeb1"/>
        <w:widowControl/>
        <w:spacing w:before="0" w:after="0"/>
        <w:jc w:val="center"/>
        <w:rPr>
          <w:rStyle w:val="Gl"/>
          <w:rFonts w:ascii="Arial" w:hAnsi="Arial" w:cs="Arial"/>
          <w:color w:val="FF0000"/>
          <w:sz w:val="16"/>
          <w:szCs w:val="16"/>
        </w:rPr>
      </w:pPr>
      <w:r>
        <w:rPr>
          <w:rFonts w:ascii="Arial" w:hAnsi="Arial" w:cs="Arial"/>
          <w:b/>
          <w:bCs/>
          <w:color w:val="FF0000"/>
          <w:sz w:val="18"/>
          <w:szCs w:val="18"/>
        </w:rPr>
        <w:t xml:space="preserve">Başvuru formunun Arial 9 yazı tipinde, her bir konu başlığı altında verilen açıklamalar göz önünde bulundurularak hazırlanması ve ekler hariç toplam 20 sayfayı geçmemesi beklenir (Alt sınır bulunmamaktadır). Değerlendirme araştırma önerisinin </w:t>
      </w:r>
      <w:r w:rsidR="006B23BC">
        <w:rPr>
          <w:rFonts w:ascii="Arial" w:hAnsi="Arial" w:cs="Arial"/>
          <w:b/>
          <w:bCs/>
          <w:color w:val="FF0000"/>
          <w:sz w:val="18"/>
          <w:szCs w:val="18"/>
        </w:rPr>
        <w:t>bilimsel niteliği</w:t>
      </w:r>
      <w:r>
        <w:rPr>
          <w:rFonts w:ascii="Arial" w:hAnsi="Arial" w:cs="Arial"/>
          <w:b/>
          <w:bCs/>
          <w:color w:val="FF0000"/>
          <w:sz w:val="18"/>
          <w:szCs w:val="18"/>
        </w:rPr>
        <w:t xml:space="preserve">, yöntemi, </w:t>
      </w:r>
      <w:r w:rsidR="006B23BC">
        <w:rPr>
          <w:rFonts w:ascii="Arial" w:hAnsi="Arial" w:cs="Arial"/>
          <w:b/>
          <w:bCs/>
          <w:color w:val="FF0000"/>
          <w:sz w:val="18"/>
          <w:szCs w:val="18"/>
        </w:rPr>
        <w:t xml:space="preserve">proje </w:t>
      </w:r>
      <w:r>
        <w:rPr>
          <w:rFonts w:ascii="Arial" w:hAnsi="Arial" w:cs="Arial"/>
          <w:b/>
          <w:bCs/>
          <w:color w:val="FF0000"/>
          <w:sz w:val="18"/>
          <w:szCs w:val="18"/>
        </w:rPr>
        <w:t>yönetimi ve yaygın etkisi başlıkları üzerinden yapılacaktır.</w:t>
      </w:r>
    </w:p>
    <w:p w14:paraId="3454459C" w14:textId="77777777" w:rsidR="006F7368" w:rsidRDefault="006F7368">
      <w:pPr>
        <w:pStyle w:val="GvdeMetni"/>
        <w:widowControl/>
        <w:ind w:right="565"/>
        <w:jc w:val="center"/>
        <w:rPr>
          <w:rStyle w:val="Gl"/>
          <w:rFonts w:cs="Arial"/>
          <w:b/>
          <w:sz w:val="28"/>
          <w:szCs w:val="28"/>
        </w:rPr>
      </w:pPr>
    </w:p>
    <w:p w14:paraId="1FFF4A04" w14:textId="77777777" w:rsidR="006F7368" w:rsidRDefault="002E7A1C">
      <w:pPr>
        <w:pStyle w:val="GvdeMetni"/>
        <w:widowControl/>
        <w:ind w:right="565"/>
        <w:jc w:val="center"/>
        <w:rPr>
          <w:rFonts w:cs="Arial"/>
          <w:sz w:val="28"/>
          <w:szCs w:val="28"/>
        </w:rPr>
      </w:pPr>
      <w:r>
        <w:rPr>
          <w:rStyle w:val="Gl"/>
          <w:rFonts w:cs="Arial"/>
          <w:b/>
          <w:sz w:val="28"/>
          <w:szCs w:val="28"/>
        </w:rPr>
        <w:t>ARAŞTIRMA ÖNERİSİ</w:t>
      </w:r>
      <w:r>
        <w:rPr>
          <w:rFonts w:cs="Arial"/>
          <w:sz w:val="28"/>
          <w:szCs w:val="28"/>
        </w:rPr>
        <w:t xml:space="preserve"> FORMU</w:t>
      </w:r>
    </w:p>
    <w:p w14:paraId="1FC734DA" w14:textId="77777777" w:rsidR="006F7368" w:rsidRDefault="006F7368">
      <w:pPr>
        <w:pStyle w:val="GvdeMetni"/>
        <w:widowControl/>
        <w:ind w:right="565"/>
        <w:jc w:val="center"/>
        <w:rPr>
          <w:rFonts w:cs="Arial"/>
          <w:sz w:val="28"/>
          <w:szCs w:val="28"/>
        </w:rPr>
      </w:pPr>
    </w:p>
    <w:p w14:paraId="384347EB" w14:textId="77777777" w:rsidR="006F7368" w:rsidRDefault="006F7368">
      <w:pPr>
        <w:pStyle w:val="GvdeMetni"/>
        <w:widowControl/>
        <w:ind w:right="565"/>
        <w:jc w:val="center"/>
        <w:rPr>
          <w:rFonts w:cs="Arial"/>
          <w:sz w:val="28"/>
          <w:szCs w:val="28"/>
        </w:rPr>
      </w:pPr>
    </w:p>
    <w:p w14:paraId="082AC91B" w14:textId="77777777" w:rsidR="006F7368" w:rsidRDefault="006F7368">
      <w:pPr>
        <w:pStyle w:val="GvdeMetni"/>
        <w:widowControl/>
        <w:ind w:right="565"/>
        <w:jc w:val="center"/>
        <w:rPr>
          <w:rFonts w:cs="Arial"/>
          <w:sz w:val="28"/>
          <w:szCs w:val="28"/>
        </w:rPr>
      </w:pPr>
    </w:p>
    <w:p w14:paraId="6C71D644" w14:textId="77777777" w:rsidR="006F7368" w:rsidRDefault="006F7368">
      <w:pPr>
        <w:pStyle w:val="GvdeMetni"/>
        <w:widowControl/>
        <w:ind w:right="565"/>
        <w:jc w:val="center"/>
        <w:rPr>
          <w:rFonts w:cs="Arial"/>
          <w:sz w:val="28"/>
          <w:szCs w:val="28"/>
        </w:rPr>
      </w:pPr>
    </w:p>
    <w:p w14:paraId="6635D727" w14:textId="77777777" w:rsidR="006F7368" w:rsidRDefault="006F7368">
      <w:pPr>
        <w:pStyle w:val="GvdeMetni"/>
        <w:widowControl/>
        <w:ind w:right="565"/>
        <w:jc w:val="center"/>
        <w:rPr>
          <w:rFonts w:cs="Arial"/>
          <w:sz w:val="28"/>
          <w:szCs w:val="28"/>
        </w:rPr>
      </w:pPr>
    </w:p>
    <w:p w14:paraId="3A8BD51A" w14:textId="77777777" w:rsidR="006F7368" w:rsidRDefault="006F7368">
      <w:pPr>
        <w:pStyle w:val="GvdeMetni"/>
        <w:widowControl/>
        <w:ind w:right="565"/>
        <w:jc w:val="center"/>
        <w:rPr>
          <w:rFonts w:cs="Arial"/>
          <w:sz w:val="28"/>
          <w:szCs w:val="28"/>
        </w:rPr>
      </w:pPr>
    </w:p>
    <w:p w14:paraId="217B096F" w14:textId="77777777" w:rsidR="006F7368" w:rsidRDefault="006F7368">
      <w:pPr>
        <w:pStyle w:val="GvdeMetni"/>
        <w:widowControl/>
        <w:ind w:right="565"/>
        <w:jc w:val="center"/>
        <w:rPr>
          <w:rFonts w:cs="Arial"/>
          <w:sz w:val="28"/>
          <w:szCs w:val="28"/>
        </w:rPr>
      </w:pPr>
    </w:p>
    <w:p w14:paraId="0825A9A4" w14:textId="77777777" w:rsidR="006F7368" w:rsidRDefault="006F7368">
      <w:pPr>
        <w:pStyle w:val="GvdeMetni"/>
        <w:widowControl/>
        <w:ind w:right="565"/>
        <w:jc w:val="center"/>
        <w:rPr>
          <w:rFonts w:cs="Arial"/>
          <w:sz w:val="28"/>
          <w:szCs w:val="28"/>
        </w:rPr>
      </w:pPr>
    </w:p>
    <w:p w14:paraId="27E9A28A" w14:textId="77777777" w:rsidR="006F7368" w:rsidRDefault="006F7368">
      <w:pPr>
        <w:pStyle w:val="GvdeMetni"/>
        <w:widowControl/>
        <w:ind w:right="565"/>
        <w:jc w:val="center"/>
        <w:rPr>
          <w:rFonts w:cs="Arial"/>
          <w:sz w:val="28"/>
          <w:szCs w:val="28"/>
        </w:rPr>
      </w:pPr>
    </w:p>
    <w:p w14:paraId="490D572F" w14:textId="77777777" w:rsidR="006F7368" w:rsidRDefault="006F7368">
      <w:pPr>
        <w:pStyle w:val="GvdeMetni"/>
        <w:widowControl/>
        <w:ind w:right="565"/>
        <w:jc w:val="center"/>
        <w:rPr>
          <w:rFonts w:cs="Arial"/>
          <w:sz w:val="28"/>
          <w:szCs w:val="28"/>
        </w:rPr>
      </w:pPr>
      <w:bookmarkStart w:id="0" w:name="_GoBack"/>
      <w:bookmarkEnd w:id="0"/>
    </w:p>
    <w:p w14:paraId="1FD671C1" w14:textId="77777777" w:rsidR="006F7368" w:rsidRDefault="006F7368">
      <w:pPr>
        <w:widowControl/>
        <w:ind w:right="-4"/>
        <w:rPr>
          <w:rFonts w:ascii="Arial" w:hAnsi="Arial" w:cs="Arial"/>
        </w:rPr>
      </w:pPr>
    </w:p>
    <w:p w14:paraId="00D6BE20" w14:textId="77777777" w:rsidR="006F7368" w:rsidRDefault="006F7368">
      <w:pPr>
        <w:widowControl/>
        <w:ind w:right="-4"/>
        <w:rPr>
          <w:rFonts w:ascii="Arial" w:hAnsi="Arial" w:cs="Arial"/>
        </w:rPr>
      </w:pPr>
    </w:p>
    <w:p w14:paraId="49489044" w14:textId="77777777" w:rsidR="006F7368" w:rsidRDefault="006F7368">
      <w:pPr>
        <w:widowControl/>
        <w:ind w:right="-4"/>
        <w:rPr>
          <w:rFonts w:ascii="Arial" w:hAnsi="Arial" w:cs="Arial"/>
        </w:rPr>
      </w:pPr>
    </w:p>
    <w:p w14:paraId="7FD354D8" w14:textId="77777777" w:rsidR="006F7368" w:rsidRDefault="006F7368">
      <w:pPr>
        <w:widowControl/>
        <w:ind w:right="-4"/>
        <w:rPr>
          <w:rFonts w:ascii="Arial" w:hAnsi="Arial" w:cs="Arial"/>
          <w:sz w:val="28"/>
          <w:szCs w:val="28"/>
        </w:rPr>
      </w:pPr>
    </w:p>
    <w:p w14:paraId="696AED75" w14:textId="77777777" w:rsidR="006F7368" w:rsidRDefault="006F7368">
      <w:pPr>
        <w:widowControl/>
        <w:ind w:right="-4"/>
        <w:rPr>
          <w:rFonts w:ascii="Arial" w:hAnsi="Arial" w:cs="Arial"/>
          <w:sz w:val="28"/>
          <w:szCs w:val="28"/>
        </w:rPr>
      </w:pPr>
    </w:p>
    <w:p w14:paraId="46249F9C" w14:textId="77777777" w:rsidR="006F7368" w:rsidRDefault="002E7A1C">
      <w:pPr>
        <w:widowControl/>
        <w:ind w:right="-4"/>
        <w:jc w:val="center"/>
      </w:pPr>
      <w:r>
        <w:rPr>
          <w:rFonts w:ascii="Arial" w:hAnsi="Arial" w:cs="Arial" w:eastAsia="Arial"/>
          <w:b w:val="0"/>
          <w:i w:val="0"/>
          <w:sz w:val="18"/>
        </w:rPr>
        <w:t>2026 Yılı</w:t>
      </w:r>
    </w:p>
    <w:p w14:paraId="060BF20D" w14:textId="77777777" w:rsidR="006F7368" w:rsidRDefault="006F7368">
      <w:pPr>
        <w:widowControl/>
        <w:ind w:right="-4"/>
        <w:rPr>
          <w:rFonts w:ascii="Arial" w:hAnsi="Arial" w:cs="Arial"/>
          <w:sz w:val="28"/>
          <w:szCs w:val="28"/>
        </w:rPr>
      </w:pPr>
    </w:p>
    <w:p w14:paraId="1351900D" w14:textId="77777777" w:rsidR="006F7368" w:rsidRDefault="002E7A1C">
      <w:pPr>
        <w:keepNext w:val="0"/>
        <w:spacing w:before="220" w:after="80"/>
        <w:jc w:val="center"/>
        <w:rPr>
          <w:rFonts w:ascii="Arial" w:hAnsi="Arial" w:cs="Arial"/>
          <w:sz w:val="28"/>
          <w:szCs w:val="28"/>
        </w:rPr>
        <w:sectPr w:rsidR="006F7368">
          <w:pgSz w:w="11906" w:h="16838"/>
          <w:pgMar w:top="1440" w:right="1344" w:bottom="720" w:left="1239" w:header="0" w:footer="0" w:gutter="0"/>
          <w:cols w:space="708"/>
          <w:formProt w:val="0"/>
          <w:docGrid w:linePitch="272" w:charSpace="24576"/>
        </w:sectPr>
        <w:widowControl/>
        <w:pBdr>
          <w:bottom w:val="single" w:sz="8" w:space="3" w:color="1F3864"/>
        </w:pBdr>
      </w:pPr>
      <w:r>
        <w:rPr>
          <w:rFonts w:ascii="Arial" w:hAnsi="Arial" w:cs="Arial" w:eastAsia="Arial"/>
          <w:b/>
          <w:i w:val="0"/>
          <w:color w:val="1F3864"/>
          <w:sz w:val="22"/>
        </w:rPr>
        <w:t>1. Dönem Başvurusu</w:t>
      </w:r>
    </w:p>
    <w:p w14:paraId="3B100675" w14:textId="77777777" w:rsidR="006F7368" w:rsidRDefault="002E7A1C">
      <w:pPr>
        <w:keepNext w:val="0"/>
        <w:tabs>
          <w:tab w:val="left" w:pos="284"/>
        </w:tabs>
        <w:spacing w:before="220" w:after="80"/>
        <w:jc w:val="both"/>
        <w:rPr>
          <w:rFonts w:ascii="Arial" w:hAnsi="Arial" w:cs="Arial"/>
          <w:b/>
          <w:sz w:val="18"/>
          <w:szCs w:val="18"/>
        </w:rPr>
        <w:widowControl/>
        <w:pBdr>
          <w:bottom w:val="single" w:sz="8" w:space="3" w:color="1F3864"/>
        </w:pBdr>
      </w:pPr>
      <w:r>
        <w:rPr>
          <w:rFonts w:ascii="Arial" w:hAnsi="Arial" w:cs="Arial" w:eastAsia="Arial"/>
          <w:b/>
          <w:i w:val="0"/>
          <w:color w:val="1F3864"/>
          <w:sz w:val="22"/>
          <w:szCs w:val="18"/>
        </w:rPr>
        <w:lastRenderedPageBreak/>
        <w:t>A. GENEL BİLGİLER</w:t>
      </w:r>
    </w:p>
    <w:p w14:paraId="70D49822" w14:textId="77777777" w:rsidR="006F7368" w:rsidRDefault="006F7368">
      <w:pPr>
        <w:widowControl/>
        <w:tabs>
          <w:tab w:val="left" w:pos="284"/>
        </w:tabs>
        <w:spacing w:before="5"/>
        <w:jc w:val="both"/>
        <w:rPr>
          <w:rFonts w:ascii="Arial" w:hAnsi="Arial" w:cs="Arial"/>
          <w:b/>
          <w:sz w:val="18"/>
          <w:szCs w:val="18"/>
        </w:rPr>
      </w:pPr>
    </w:p>
    <w:tbl>
      <w:tblPr>
        <w:tblW w:w="9072" w:type="dxa"/>
        <w:tblInd w:w="109" w:type="dxa"/>
        <w:tblLook w:val="0000" w:firstRow="0" w:lastRow="0" w:firstColumn="0" w:lastColumn="0" w:noHBand="0" w:noVBand="0"/>
      </w:tblPr>
      <w:tblGrid>
        <w:gridCol w:w="9072"/>
      </w:tblGrid>
      <w:tr w:rsidR="006F7368" w14:paraId="118DDEC0" w14:textId="77777777">
        <w:trPr>
          <w:trHeight w:val="20"/>
          <w:cantSplit/>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26DD4431" w14:textId="77777777" w:rsidR="006F7368" w:rsidRDefault="002E7A1C">
            <w:pPr>
              <w:pStyle w:val="WW-NormalWeb1"/>
              <w:widowControl/>
              <w:snapToGrid w:val="0"/>
              <w:spacing w:before="60" w:after="60"/>
              <w:jc w:val="both"/>
              <w:rPr>
                <w:rFonts w:ascii="Arial" w:hAnsi="Arial" w:cs="Arial"/>
                <w:b/>
                <w:color w:val="000000"/>
                <w:sz w:val="18"/>
                <w:szCs w:val="18"/>
              </w:rPr>
            </w:pPr>
            <w:r>
              <w:rPr>
                <w:rFonts w:ascii="Arial" w:hAnsi="Arial" w:cs="Arial"/>
                <w:b/>
                <w:color w:val="000000"/>
                <w:sz w:val="18"/>
                <w:szCs w:val="18"/>
              </w:rPr>
              <w:t xml:space="preserve">Başvuru Sahibinin Adı Soyadı: </w:t>
            </w:r>
            <w:r>
              <w:rPr>
                <w:rFonts w:ascii="Arial" w:hAnsi="Arial" w:cs="Arial" w:eastAsia="Arial"/>
                <w:b w:val="0"/>
                <w:i w:val="0"/>
                <w:sz w:val="18"/>
              </w:rPr>
              <w:t xml:space="preserve">  Cem ÖZAL</w:t>
            </w:r>
          </w:p>
        </w:tc>
      </w:tr>
      <w:tr w:rsidR="006F7368" w14:paraId="48D5E0B3" w14:textId="77777777">
        <w:trPr>
          <w:trHeight w:val="20"/>
          <w:cantSplit/>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0AA72227" w14:textId="77777777" w:rsidR="006F7368" w:rsidRDefault="002E7A1C">
            <w:pPr>
              <w:pStyle w:val="WW-NormalWeb1"/>
              <w:widowControl/>
              <w:snapToGrid w:val="0"/>
              <w:spacing w:before="60" w:after="60"/>
              <w:jc w:val="both"/>
              <w:rPr>
                <w:rFonts w:ascii="Arial" w:hAnsi="Arial" w:cs="Arial"/>
                <w:b/>
                <w:color w:val="000000"/>
                <w:sz w:val="18"/>
                <w:szCs w:val="18"/>
              </w:rPr>
            </w:pPr>
            <w:r>
              <w:rPr>
                <w:rFonts w:ascii="Arial" w:hAnsi="Arial" w:cs="Arial"/>
                <w:b/>
                <w:color w:val="000000"/>
                <w:sz w:val="18"/>
                <w:szCs w:val="18"/>
              </w:rPr>
              <w:t>Araştırma Önerisinin Başlığı:</w:t>
            </w:r>
            <w:r>
              <w:rPr>
                <w:rFonts w:ascii="Arial" w:hAnsi="Arial" w:cs="Arial" w:eastAsia="Arial"/>
                <w:b w:val="0"/>
                <w:i w:val="0"/>
                <w:sz w:val="18"/>
              </w:rPr>
              <w:t xml:space="preserve">  Türkçe İdari Yazışmada Karar Katmanı Mimarisinin Belge Anlama Başarımına ve Kaynak Dayanaklılığına Etkisi: Kontrollü Faktöriyel Deney</w:t>
            </w:r>
          </w:p>
        </w:tc>
      </w:tr>
      <w:tr w:rsidR="006F7368" w14:paraId="11445FA5" w14:textId="77777777">
        <w:trPr>
          <w:trHeight w:val="20"/>
          <w:cantSplit/>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501A0526" w14:textId="77777777" w:rsidR="006F7368" w:rsidRDefault="002E7A1C">
            <w:pPr>
              <w:pStyle w:val="WW-NormalWeb1"/>
              <w:widowControl/>
              <w:snapToGrid w:val="0"/>
              <w:spacing w:before="60" w:after="60"/>
              <w:jc w:val="both"/>
              <w:rPr>
                <w:rFonts w:ascii="Arial" w:hAnsi="Arial" w:cs="Arial"/>
                <w:b/>
                <w:color w:val="000000"/>
                <w:sz w:val="18"/>
                <w:szCs w:val="18"/>
                <w:highlight w:val="yellow"/>
              </w:rPr>
            </w:pPr>
            <w:r>
              <w:rPr>
                <w:rFonts w:ascii="Arial" w:hAnsi="Arial" w:cs="Arial"/>
                <w:b/>
                <w:color w:val="000000"/>
                <w:sz w:val="18"/>
                <w:szCs w:val="18"/>
              </w:rPr>
              <w:t>Danışmanın Adı Soyadı:</w:t>
            </w:r>
            <w:r>
              <w:rPr>
                <w:rFonts w:ascii="Arial" w:hAnsi="Arial" w:cs="Arial" w:eastAsia="Arial"/>
                <w:b w:val="0"/>
                <w:i w:val="0"/>
                <w:sz w:val="18"/>
              </w:rPr>
              <w:t xml:space="preserve">  Dr. Öğr. Üyesi Bilgin AVENOĞLU</w:t>
            </w:r>
          </w:p>
        </w:tc>
      </w:tr>
      <w:tr w:rsidR="006F7368" w14:paraId="7002A70C" w14:textId="77777777">
        <w:trPr>
          <w:trHeight w:val="361"/>
          <w:cantSplit/>
        </w:trPr>
        <w:tc>
          <w:tcPr>
            <w:tcW w:w="9072" w:type="dxa"/>
            <w:tcBorders>
              <w:top w:val="single" w:sz="4" w:space="0" w:color="000000"/>
              <w:left w:val="single" w:sz="4" w:space="0" w:color="000000"/>
              <w:bottom w:val="single" w:sz="4" w:space="0" w:color="000000"/>
              <w:right w:val="single" w:sz="4" w:space="0" w:color="000000"/>
            </w:tcBorders>
            <w:shd w:val="clear" w:color="auto" w:fill="auto"/>
          </w:tcPr>
          <w:p w14:paraId="0715F272" w14:textId="77777777" w:rsidR="006F7368" w:rsidRDefault="002E7A1C">
            <w:pPr>
              <w:pStyle w:val="WW-NormalWeb1"/>
              <w:widowControl/>
              <w:snapToGrid w:val="0"/>
              <w:spacing w:before="60" w:after="60"/>
              <w:jc w:val="both"/>
              <w:rPr>
                <w:rFonts w:ascii="Arial" w:hAnsi="Arial" w:cs="Arial"/>
                <w:b/>
                <w:color w:val="000000"/>
                <w:sz w:val="18"/>
                <w:szCs w:val="18"/>
              </w:rPr>
            </w:pPr>
            <w:r>
              <w:rPr>
                <w:rFonts w:ascii="Arial" w:hAnsi="Arial" w:cs="Arial"/>
                <w:b/>
                <w:color w:val="000000"/>
                <w:sz w:val="18"/>
                <w:szCs w:val="18"/>
              </w:rPr>
              <w:t>Araştırmanın Yürütüleceği Kurum/Kuruluş:</w:t>
            </w:r>
            <w:r>
              <w:rPr>
                <w:rFonts w:ascii="Arial" w:hAnsi="Arial" w:cs="Arial" w:eastAsia="Arial"/>
                <w:b w:val="0"/>
                <w:i w:val="0"/>
                <w:sz w:val="18"/>
              </w:rPr>
              <w:t xml:space="preserve">  Çankaya Üniversitesi, Mühendislik Fakültesi</w:t>
            </w:r>
          </w:p>
        </w:tc>
      </w:tr>
    </w:tbl>
    <w:p w14:paraId="30CF7AEF" w14:textId="77777777" w:rsidR="006F7368" w:rsidRDefault="006F7368">
      <w:pPr>
        <w:widowControl/>
        <w:spacing w:before="5"/>
        <w:ind w:right="-144"/>
        <w:jc w:val="both"/>
        <w:rPr>
          <w:rFonts w:ascii="Arial" w:hAnsi="Arial" w:cs="Arial"/>
          <w:sz w:val="22"/>
          <w:szCs w:val="22"/>
        </w:rPr>
      </w:pPr>
    </w:p>
    <w:p w14:paraId="22ABFB2B" w14:textId="77777777" w:rsidR="006F7368" w:rsidRDefault="006F7368">
      <w:pPr>
        <w:widowControl/>
        <w:spacing w:before="5"/>
        <w:ind w:right="-144"/>
        <w:jc w:val="both"/>
        <w:rPr>
          <w:rFonts w:ascii="Arial" w:hAnsi="Arial" w:cs="Arial"/>
          <w:sz w:val="18"/>
          <w:szCs w:val="18"/>
        </w:rPr>
      </w:pPr>
    </w:p>
    <w:p w14:paraId="3ACF5A04" w14:textId="77777777" w:rsidR="006F7368" w:rsidRDefault="002E7A1C">
      <w:pPr>
        <w:keepNext w:val="0"/>
        <w:spacing w:before="220" w:after="80"/>
        <w:ind w:right="-144"/>
        <w:jc w:val="both"/>
        <w:rPr>
          <w:rFonts w:ascii="Arial" w:hAnsi="Arial" w:cs="Arial"/>
          <w:b/>
          <w:sz w:val="18"/>
          <w:szCs w:val="18"/>
        </w:rPr>
        <w:widowControl/>
        <w:pBdr>
          <w:bottom w:val="single" w:sz="8" w:space="3" w:color="1F3864"/>
        </w:pBdr>
      </w:pPr>
      <w:r>
        <w:rPr>
          <w:rFonts w:ascii="Arial" w:hAnsi="Arial" w:cs="Arial" w:eastAsia="Arial"/>
          <w:b/>
          <w:i w:val="0"/>
          <w:color w:val="1F3864"/>
          <w:sz w:val="22"/>
          <w:szCs w:val="18"/>
        </w:rPr>
        <w:t>ÖZET</w:t>
      </w:r>
    </w:p>
    <w:p w14:paraId="3FBD2A8A" w14:textId="77777777" w:rsidR="006F7368" w:rsidRDefault="006F7368">
      <w:pPr>
        <w:widowControl/>
        <w:spacing w:before="5"/>
        <w:ind w:left="142" w:right="-144" w:hanging="284"/>
        <w:jc w:val="both"/>
        <w:rPr>
          <w:rFonts w:ascii="Arial" w:hAnsi="Arial" w:cs="Arial"/>
          <w:b/>
          <w:sz w:val="18"/>
          <w:szCs w:val="18"/>
        </w:rPr>
      </w:pPr>
    </w:p>
    <w:p w14:paraId="7715281B" w14:textId="77777777" w:rsidR="006F7368" w:rsidRDefault="006F7368">
      <w:pPr>
        <w:widowControl/>
        <w:jc w:val="both"/>
        <w:rPr>
          <w:rFonts w:ascii="Arial" w:hAnsi="Arial" w:cs="Arial"/>
          <w:bCs/>
          <w:color w:val="000000"/>
          <w:sz w:val="18"/>
          <w:szCs w:val="18"/>
          <w:lang w:eastAsia="ar-SA"/>
        </w:rPr>
      </w:pPr>
    </w:p>
    <w:tbl>
      <w:tblPr>
        <w:tblW w:w="9072" w:type="dxa"/>
        <w:tblInd w:w="109" w:type="dxa"/>
        <w:tblLook w:val="0000" w:firstRow="0" w:lastRow="0" w:firstColumn="0" w:lastColumn="0" w:noHBand="0" w:noVBand="0"/>
      </w:tblPr>
      <w:tblGrid>
        <w:gridCol w:w="9072"/>
      </w:tblGrid>
      <w:tr w:rsidR="006F7368" w14:paraId="3BC9122B" w14:textId="77777777">
        <w:trPr>
          <w:trHeight w:val="1418"/>
        </w:trPr>
        <w:tc>
          <w:tcPr>
            <w:tcW w:w="9072" w:type="dxa"/>
            <w:tcBorders>
              <w:top w:val="single" w:sz="8" w:space="0" w:color="000000"/>
              <w:left w:val="single" w:sz="8" w:space="0" w:color="000000"/>
              <w:bottom w:val="single" w:sz="4" w:space="0" w:color="000000"/>
              <w:right w:val="single" w:sz="8" w:space="0" w:color="000000"/>
            </w:tcBorders>
            <w:shd w:val="clear" w:color="auto" w:fill="auto"/>
          </w:tcPr>
          <w:p>
            <w:pPr>
              <w:widowControl/>
              <w:spacing w:after="40" w:before="0"/>
            </w:pPr>
            <w:r>
              <w:rPr>
                <w:rFonts w:ascii="Arial" w:hAnsi="Arial" w:cs="Arial" w:eastAsia="Arial"/>
                <w:b/>
                <w:i w:val="0"/>
                <w:sz w:val="18"/>
              </w:rPr>
              <w:t>Özet</w:t>
            </w:r>
          </w:p>
          <w:p>
            <w:pPr>
              <w:widowControl/>
              <w:spacing w:after="40" w:before="0"/>
              <w:jc w:val="both"/>
            </w:pPr>
            <w:r>
              <w:rPr>
                <w:rFonts w:ascii="Arial" w:hAnsi="Arial" w:cs="Arial" w:eastAsia="Arial"/>
                <w:b w:val="0"/>
                <w:i w:val="0"/>
                <w:sz w:val="18"/>
              </w:rPr>
              <w:t>Kamu kurumlarına ulaşan yazılı evrakın türünün belirlenmesi, zorunlu bilgi unsurlarının çıkarılması, eksik bilgi denetimi, ilgili mevzuatın bulunması, doğru birime yönlendirilmesi ve resmî yazışma kurallarına uygun cevap taslağının hazırlanması bugün ağırlıklı olarak el emeğiyle yürütülmektedir. Üretici dil modelleri bu süreci hızlandırabilir; ancak hukuki sonuç doğuran bir alanda asıl sorun hızın değil, üretilen metnin kaynağa dayanaklılığının ölçülebilir biçimde güvence altına alınmasıdır. Alanyazında Türkçe idari yazışma için kamuya açık ve tekrar üretilebilir bir değerlendirme kümesi bulunmamakta, dayanaklılık üretim sonrasında etiketlenen bir ölçüt olarak ele alınmakta, insan gözetimi ise ampirik olarak sınanmayan normatif bir ilke düzeyinde kalmaktadır.</w:t>
            </w:r>
          </w:p>
          <w:p>
            <w:pPr>
              <w:widowControl/>
              <w:spacing w:after="40" w:before="0"/>
              <w:jc w:val="both"/>
            </w:pPr>
            <w:r>
              <w:rPr>
                <w:rFonts w:ascii="Arial" w:hAnsi="Arial" w:cs="Arial" w:eastAsia="Arial"/>
                <w:b w:val="0"/>
                <w:i w:val="0"/>
                <w:sz w:val="18"/>
              </w:rPr>
              <w:t>Bu araştırma, artefakta bağlı olmayan tek bir önermeyi sınar: olasılıksal bir üretecin çıktısı üzerindeki kısıt, üretim sonrasında bir süzgeç olarak değil üretim anında seçim uzayının daraltılması olarak uygulandığında, kısıtın sağladığı kazanç girdinin belirsizliği arttıkça büyür; ancak doğru cevap kısıtlanan kümenin dışındaysa aynı mekanizma sistematik bir hata kaynağına döner. Önerme yanlışlanabilirdir ve idari yazışma, cevap uzayının kapalı tanımlanabildiği ve hatanın hukuki bedelinin ölçülebildiği bir alan olduğu için sınama alanı seçilmiştir.</w:t>
            </w:r>
          </w:p>
          <w:p>
            <w:pPr>
              <w:widowControl/>
              <w:spacing w:after="40" w:before="0"/>
              <w:jc w:val="both"/>
            </w:pPr>
            <w:r>
              <w:rPr>
                <w:rFonts w:ascii="Arial" w:hAnsi="Arial" w:cs="Arial" w:eastAsia="Arial"/>
                <w:b w:val="0"/>
                <w:i w:val="0"/>
                <w:sz w:val="18"/>
              </w:rPr>
              <w:t>Program ön-kayıtlı dört deneyden oluşur. Birinci deneyde karar katmanı mimarisi dört seviyede (kural katmanı, kısıtsız tek geçişli üretim, şemaya bağlı ve geri getirmeyle güçlendirilmiş literatür tabanı, kapalı-küme ve kanıt-alıntı kısıtlı hibrit) girdi bozulma düzeyinin üç seviyesiyle çaprazlanır; aynı 240 belge on iki koşulda işlenir. İkinci deney, otomatik dayanak doğrulayıcısını üç bağımsız etiketleyicinin kör yargısıyla karşılaştırarak ölçüm geçerliliğini belirler. Üçüncü deney doğrulama kapısının sıkılık ödünleşimini ve çok-ajanlı müzakerenin yakınsamasını ölçer. Dördüncü deney, sistem çıktısının hiç sunulmadığı taban koşulu da içeren dört koşullu, katılımcı-içi bir tasarımla insan gözetiminin etkinliğini sınar.</w:t>
            </w:r>
          </w:p>
          <w:p>
            <w:pPr>
              <w:widowControl/>
              <w:spacing w:after="40" w:before="0"/>
              <w:jc w:val="both"/>
            </w:pPr>
            <w:r>
              <w:rPr>
                <w:rFonts w:ascii="Arial" w:hAnsi="Arial" w:cs="Arial" w:eastAsia="Arial"/>
                <w:b w:val="0"/>
                <w:i w:val="0"/>
                <w:sz w:val="18"/>
              </w:rPr>
              <w:t>On bir hipotez eşleştirilmiş kesin testler, karma etkili modeller, monoton eğilim testleri, uyum katsayıları ve eşdeğerlik sınamalarıyla, hiyerarşik kapı yordamıyla denetlenen bir onaylayıcı test ailesi içinde sınanır. Hipotezlerin bir bölümü bilinçli olarak önerilen mimarinin aleyhine sonuç verebilecek biçimde kurulmuştur; her hipotez için sıfır hipotezinin reddedilmesi ve reddedilememesi hâlinde ne öğrenileceği önceden yazılır.</w:t>
            </w:r>
          </w:p>
          <w:p>
            <w:pPr>
              <w:widowControl/>
              <w:spacing w:after="40" w:before="0"/>
              <w:jc w:val="both"/>
            </w:pPr>
            <w:r>
              <w:rPr>
                <w:rFonts w:ascii="Arial" w:hAnsi="Arial" w:cs="Arial" w:eastAsia="Arial"/>
                <w:b w:val="0"/>
                <w:i w:val="0"/>
                <w:sz w:val="18"/>
              </w:rPr>
              <w:t>Örneklem büyüklükleri güç analiziyle belirlenmiştir: ana belge kümesi 240, bağımsız replikasyon kümesi 120, kör etiketlenecek iddia sayısı 300 ve katılımcı sayısı 32'dir. Tüm birincil hipotezler, dışlama ölçütleri, aykırı değer kuralları ve analiz planı veri toplanmadan önce sürüm damgalı bir ön-kayıtla kilitlenir; dayanaklılığın ölçütü sistemin kendi kararı değil kör insan yargısıdır ve ana kümede hiç kullanılmayan replikasyon kümesi yalnız son doğrulayıcı sınamada açılır.</w:t>
            </w:r>
          </w:p>
          <w:p>
            <w:pPr>
              <w:widowControl/>
              <w:spacing w:after="40" w:before="0"/>
              <w:jc w:val="both"/>
            </w:pPr>
            <w:r>
              <w:rPr>
                <w:rFonts w:ascii="Arial" w:hAnsi="Arial" w:cs="Arial" w:eastAsia="Arial"/>
                <w:b w:val="0"/>
                <w:i w:val="0"/>
                <w:sz w:val="18"/>
              </w:rPr>
              <w:t>Kullanılacak evrakın tamamı sentetik ve kurgudur; belge tarafındaki deneylerde gerçek kişisel veri işlenmez. Beklenen çıktılar açık erişimli bir değerlendirme kümesi, kör etiketli dayanaklılık altın kümesi ve dış servis erişimi olmadan koşan bir yeniden üretim paketidir.</w:t>
            </w:r>
          </w:p>
        </w:tc>
      </w:tr>
      <w:tr w:rsidR="006F7368" w14:paraId="1CA3019D" w14:textId="77777777">
        <w:tc>
          <w:tcPr>
            <w:tcW w:w="9072" w:type="dxa"/>
            <w:tcBorders>
              <w:top w:val="single" w:sz="8" w:space="0" w:color="000000"/>
              <w:left w:val="single" w:sz="8" w:space="0" w:color="000000"/>
              <w:bottom w:val="single" w:sz="4" w:space="0" w:color="000000"/>
              <w:right w:val="single" w:sz="8" w:space="0" w:color="000000"/>
            </w:tcBorders>
            <w:shd w:val="clear" w:color="auto" w:fill="auto"/>
          </w:tcPr>
          <w:p>
            <w:pPr>
              <w:widowControl/>
            </w:pPr>
            <w:r>
              <w:rPr>
                <w:rFonts w:ascii="Arial" w:hAnsi="Arial" w:cs="Arial" w:eastAsia="Arial"/>
                <w:b/>
                <w:i w:val="0"/>
                <w:sz w:val="18"/>
              </w:rPr>
              <w:t xml:space="preserve">Anahtar Kelimeler: </w:t>
            </w:r>
            <w:r>
              <w:rPr>
                <w:rFonts w:ascii="Arial" w:hAnsi="Arial" w:cs="Arial" w:eastAsia="Arial"/>
                <w:b w:val="0"/>
                <w:i w:val="0"/>
                <w:sz w:val="18"/>
              </w:rPr>
              <w:t>Türkçe doğal dil işleme, resmî yazışma belge anlama, kaynak dayanaklılığı doğrulama, kontrollü ablasyon deneyi, insan gözetimli karar destek</w:t>
            </w:r>
          </w:p>
        </w:tc>
      </w:tr>
    </w:tbl>
    <w:p w14:paraId="3481AFA4" w14:textId="77777777" w:rsidR="006F7368" w:rsidRDefault="006F7368">
      <w:pPr>
        <w:widowControl/>
        <w:jc w:val="both"/>
        <w:rPr>
          <w:rFonts w:ascii="Arial" w:hAnsi="Arial" w:cs="Arial"/>
          <w:bCs/>
          <w:color w:val="000000"/>
          <w:sz w:val="18"/>
          <w:szCs w:val="18"/>
          <w:lang w:eastAsia="ar-SA"/>
        </w:rPr>
      </w:pPr>
    </w:p>
    <w:p w14:paraId="6E3BE49E" w14:textId="77777777" w:rsidR="006F7368" w:rsidRDefault="006F7368">
      <w:pPr>
        <w:widowControl/>
        <w:suppressAutoHyphens/>
        <w:spacing w:before="5" w:line="300" w:lineRule="atLeast"/>
        <w:jc w:val="both"/>
        <w:rPr>
          <w:rFonts w:ascii="Arial" w:hAnsi="Arial" w:cs="Arial"/>
          <w:b/>
          <w:sz w:val="18"/>
          <w:szCs w:val="18"/>
        </w:rPr>
      </w:pPr>
    </w:p>
    <w:p w14:paraId="0ABE6A87" w14:textId="7A26FE65" w:rsidR="006F7368" w:rsidRDefault="00095E72">
      <w:pPr>
        <w:pStyle w:val="WW-NormalWeb1"/>
        <w:keepNext w:val="0"/>
        <w:widowControl/>
        <w:numPr>
          <w:ilvl w:val="0"/>
          <w:numId w:val="3"/>
        </w:numPr>
        <w:spacing w:before="220" w:after="80"/>
        <w:ind w:left="142" w:hanging="284"/>
        <w:jc w:val="both"/>
        <w:rPr>
          <w:rFonts w:ascii="Arial" w:hAnsi="Arial" w:cs="Arial"/>
          <w:color w:val="000000"/>
          <w:sz w:val="18"/>
          <w:szCs w:val="18"/>
        </w:rPr>
        <w:pBdr>
          <w:bottom w:val="single" w:sz="8" w:space="3" w:color="1F3864"/>
        </w:pBdr>
      </w:pPr>
      <w:r>
        <w:rPr>
          <w:rFonts w:ascii="Arial" w:hAnsi="Arial" w:cs="Arial" w:eastAsia="Arial"/>
          <w:b/>
          <w:bCs/>
          <w:i w:val="0"/>
          <w:color w:val="1F3864"/>
          <w:sz w:val="22"/>
          <w:szCs w:val="18"/>
        </w:rPr>
        <w:t>ARAŞTIRMA ÖNERİSİNİN BİLİMSEL NİTELİĞİ</w:t>
      </w:r>
    </w:p>
    <w:p w14:paraId="46096A86" w14:textId="77777777" w:rsidR="006F7368" w:rsidRDefault="006F7368">
      <w:pPr>
        <w:pStyle w:val="WW-NormalWeb1"/>
        <w:widowControl/>
        <w:spacing w:before="0" w:after="0"/>
        <w:jc w:val="both"/>
        <w:rPr>
          <w:rFonts w:ascii="Arial" w:hAnsi="Arial" w:cs="Arial"/>
          <w:bCs/>
          <w:sz w:val="18"/>
          <w:szCs w:val="18"/>
        </w:rPr>
      </w:pPr>
    </w:p>
    <w:p w14:paraId="72487A55" w14:textId="54F5F22E" w:rsidR="006F7368" w:rsidRDefault="002E7A1C">
      <w:pPr>
        <w:pStyle w:val="WW-NormalWeb1"/>
        <w:keepNext w:val="0"/>
        <w:widowControl/>
        <w:spacing w:before="160" w:after="60"/>
        <w:jc w:val="both"/>
        <w:rPr>
          <w:rFonts w:ascii="Arial" w:hAnsi="Arial" w:cs="Arial"/>
          <w:b/>
          <w:bCs/>
          <w:sz w:val="18"/>
          <w:szCs w:val="18"/>
        </w:rPr>
      </w:pPr>
      <w:r>
        <w:rPr>
          <w:rFonts w:ascii="Arial" w:hAnsi="Arial" w:cs="Arial" w:eastAsia="Arial"/>
          <w:b/>
          <w:bCs/>
          <w:i w:val="0"/>
          <w:color w:val="1F3864"/>
          <w:sz w:val="19"/>
          <w:szCs w:val="18"/>
        </w:rPr>
        <w:t xml:space="preserve"> 1.1. Konunun Önemi</w:t>
      </w:r>
      <w:r w:rsidR="00013443">
        <w:rPr>
          <w:rFonts w:ascii="Arial" w:hAnsi="Arial" w:cs="Arial" w:eastAsia="Arial"/>
          <w:b/>
          <w:bCs/>
          <w:i w:val="0"/>
          <w:color w:val="1F3864"/>
          <w:sz w:val="19"/>
          <w:szCs w:val="18"/>
        </w:rPr>
        <w:t xml:space="preserve"> ve</w:t>
      </w:r>
      <w:r>
        <w:rPr>
          <w:rFonts w:ascii="Arial" w:hAnsi="Arial" w:cs="Arial" w:eastAsia="Arial"/>
          <w:b/>
          <w:bCs/>
          <w:i w:val="0"/>
          <w:color w:val="1F3864"/>
          <w:sz w:val="19"/>
          <w:szCs w:val="18"/>
        </w:rPr>
        <w:t xml:space="preserve"> Araştırma Önerisinin </w:t>
      </w:r>
      <w:r w:rsidR="00013443">
        <w:rPr>
          <w:rFonts w:ascii="Arial" w:hAnsi="Arial" w:cs="Arial" w:eastAsia="Arial"/>
          <w:b/>
          <w:bCs/>
          <w:i w:val="0"/>
          <w:color w:val="1F3864"/>
          <w:sz w:val="19"/>
          <w:szCs w:val="18"/>
        </w:rPr>
        <w:t>Bilimsel Niteliği</w:t>
      </w:r>
    </w:p>
    <w:p w14:paraId="6189FF0B" w14:textId="77777777" w:rsidR="006F7368" w:rsidRDefault="006F7368">
      <w:pPr>
        <w:pStyle w:val="WW-NormalWeb1"/>
        <w:widowControl/>
        <w:spacing w:before="0" w:after="0"/>
        <w:jc w:val="both"/>
        <w:rPr>
          <w:rFonts w:ascii="Arial" w:hAnsi="Arial" w:cs="Arial"/>
          <w:bCs/>
          <w:sz w:val="18"/>
          <w:szCs w:val="18"/>
        </w:rPr>
      </w:pPr>
    </w:p>
    <w:p>
      <w:pPr>
        <w:keepNext/>
        <w:widowControl/>
        <w:spacing w:before="180" w:after="60"/>
      </w:pPr>
      <w:r>
        <w:rPr>
          <w:rFonts w:ascii="Arial" w:hAnsi="Arial" w:cs="Arial" w:eastAsia="Arial"/>
          <w:b/>
          <w:i w:val="0"/>
          <w:color w:val="1F3864"/>
          <w:sz w:val="18"/>
        </w:rPr>
        <w:t>KONUNUN KAPSAMI, SINIRLARI VE ÖNEMİ</w:t>
      </w:r>
    </w:p>
    <w:p>
      <w:pPr>
        <w:widowControl/>
        <w:spacing w:after="60"/>
        <w:jc w:val="both"/>
      </w:pPr>
      <w:r>
        <w:rPr>
          <w:rFonts w:ascii="Arial" w:hAnsi="Arial" w:cs="Arial" w:eastAsia="Arial"/>
          <w:b w:val="0"/>
          <w:i w:val="0"/>
          <w:sz w:val="18"/>
        </w:rPr>
        <w:t>Kamu evrakında tür belirleme, bilgi unsuru çıkarma, eksik denetimi, dayanak mevzuatı bulma, doğru birime havale ve resmî cevap taslağı bugün el emeğiyle üretilir; yanlış havale evrakı geciktirir, kesin cevap süreleri (dilekçede otuz gün, bilgi edinmede on beş iş günü) kaçırıldığında hukuki sorumluluk doğar. Ön çalışmada derlenen envanter 4.066 kurum içerir; iç birim yapısı ancak dörtte birlik kesimde makine-okunurdur.</w:t>
      </w:r>
    </w:p>
    <w:p>
      <w:pPr>
        <w:widowControl/>
        <w:spacing w:after="60"/>
        <w:jc w:val="both"/>
      </w:pPr>
      <w:r>
        <w:rPr>
          <w:rFonts w:ascii="Arial" w:hAnsi="Arial" w:cs="Arial" w:eastAsia="Arial"/>
          <w:b w:val="0"/>
          <w:i w:val="0"/>
          <w:sz w:val="18"/>
        </w:rPr>
        <w:t>Bilimsel problem şudur: hukuki sonuç doğuran bir alanda model çıktısının kaynağa dayanaklılığı hangi mimari kısıtlarla, hangi ölçüm geçerliliğiyle ve hangi insan gözetimi tasarımıyla güvence altına alınır? Evrak tamamen sentetiktir; amaç ürün değil, mimari kısıtın etkisini kontrollü deneyle ölçmektir.</w:t>
      </w:r>
    </w:p>
    <w:p>
      <w:pPr>
        <w:keepNext/>
        <w:widowControl/>
        <w:spacing w:before="180" w:after="60"/>
      </w:pPr>
      <w:r>
        <w:rPr>
          <w:rFonts w:ascii="Arial" w:hAnsi="Arial" w:cs="Arial" w:eastAsia="Arial"/>
          <w:b/>
          <w:i w:val="0"/>
          <w:color w:val="1F3864"/>
          <w:sz w:val="18"/>
        </w:rPr>
        <w:t>LİTERATÜRÜN BUGÜNKÜ DURUMU</w:t>
      </w:r>
    </w:p>
    <w:p>
      <w:pPr>
        <w:widowControl/>
        <w:spacing w:after="60"/>
        <w:jc w:val="both"/>
      </w:pPr>
      <w:r>
        <w:rPr>
          <w:rFonts w:ascii="Arial" w:hAnsi="Arial" w:cs="Arial" w:eastAsia="Arial"/>
          <w:b w:val="0"/>
          <w:i w:val="0"/>
          <w:sz w:val="18"/>
        </w:rPr>
        <w:t>Belge anlamada standart kıyas kümeleri vardır - bilgi çıkarımı [1] ve uçtan uca belge anlama [2] - ancak İngilizce ve görsel-form odaklıdır; idari yazışmaya özgü unsurları (ilgi zinciri, saklama planı kodu, imza-yetki bağı) modellemez. Türkçede sondan eklemeli yapının etkisi ölçülmüş [3], yapısal zorluklar derlenmiş [4], alan uyarlaması hukuk metinlerinde kalmıştır [5]. En yakın Türkçe çalışma dosya planı numarasını 169 belge ve tek kurumla incelemiş [6]; tür, bilgi çıkarımı ve taslak kalitesi ölçülmemiştir.</w:t>
      </w:r>
    </w:p>
    <w:p>
      <w:pPr>
        <w:widowControl/>
        <w:spacing w:after="60"/>
        <w:jc w:val="both"/>
      </w:pPr>
      <w:r>
        <w:rPr>
          <w:rFonts w:ascii="Arial" w:hAnsi="Arial" w:cs="Arial" w:eastAsia="Arial"/>
          <w:b w:val="0"/>
          <w:i w:val="0"/>
          <w:sz w:val="18"/>
        </w:rPr>
        <w:t>Atfedilebilirlik insan etiketli çerçeveye oturtulmuş [7], öz-sorgulama önerilmiştir [8]. Hukukta geri getirmeyle güçlendirilmiş üretimin uydurmayı ORTADAN KALDIRMADIĞI ölçülmüştür: rastgele kararlarda %58-88 uydurma [9], ticari araçların "uydurmasız" iddiası ön-kayıtlı deneyle çürütülmüş [10]. Geri getirme mimarileri derlenmiş [11]; öz-eleştirili [12] ve düzeltmeli [13] getirme, model-hakem yanlılığı [14] ve çok-ajanlı müzakere kazancı [15] çalışılmıştır. Kamuda yapay zekâ alanyazını etik ve benimseme düzeyinde kalır [16][17].</w:t>
      </w:r>
    </w:p>
    <w:p>
      <w:pPr>
        <w:keepNext/>
        <w:widowControl/>
        <w:spacing w:before="180" w:after="60"/>
      </w:pPr>
      <w:r>
        <w:rPr>
          <w:rFonts w:ascii="Arial" w:hAnsi="Arial" w:cs="Arial" w:eastAsia="Arial"/>
          <w:b/>
          <w:i w:val="0"/>
          <w:color w:val="1F3864"/>
          <w:sz w:val="18"/>
        </w:rPr>
        <w:t>TAM OLARAK HANGİ BOŞLUK AÇIK VE NEDEN KAPANMADI</w:t>
      </w:r>
    </w:p>
    <w:p>
      <w:pPr>
        <w:widowControl/>
        <w:spacing w:after="60"/>
        <w:jc w:val="both"/>
      </w:pPr>
      <w:r>
        <w:rPr>
          <w:rFonts w:ascii="Arial" w:hAnsi="Arial" w:cs="Arial" w:eastAsia="Arial"/>
          <w:b w:val="0"/>
          <w:i w:val="0"/>
          <w:sz w:val="18"/>
        </w:rPr>
        <w:t>Altı alan tek tek olgundur, kesişimleri boştur. (B1) Türkçe idari yazışma için kamuya açık, etiketli, tekrar üretilebilir değerlendirme kümesi yoktur; ölçüm kümesi olmadan iddia yanlışlanamaz [1][2][6]. (B2) Dayanaklılık üretim SONRASI etiketlenir [7][9][10]; üretim ANINDA kısıt olarak kurulup kazancı yanlış-veto maliyetiyle ölçülmemiştir. (B3) Çok-ajanlı yönlendirmede hedef küme kapalı varsayılır; kamu teşkilatında açık uçludur ve doğan hata sınıfı (yanlış kurumla özdeşleştirme) ölçülmemiştir. (B4) Kalibrasyon çalışmaları tek modellidir; çok düğümlü hatlarda sinyaller epistemik türüne (gözlem/çıkarım) göre ayrıştırılıp kalibre bant olarak sunulmamıştır. Zararı ön çalışmada ölçülmüştür: daima "yüksek güven" gösteren gösterge ile mevzuat erişiminde ilk-sıra isabeti 0,598 idi (204 belge); sinyal ölçümle seçilince ayırt edicilik 0,877'den 0,964'e, bant isabetleri 0,971 ile 0,058 arasına ayrışmıştır. (B5) İnsan gözetimi normatif savunulur [16][17], etkinliği müdahale değişkeni olarak sınanmaz. (B6) Müzakerenin YAKINSAMASI - kaç bulgunun kapandığı, direndiği, yeni doğduğu - ölçülmemiştir; ölçüm birimi nihai cevaptır [15].</w:t>
      </w:r>
    </w:p>
    <w:p>
      <w:pPr>
        <w:widowControl/>
        <w:spacing w:after="60"/>
        <w:jc w:val="both"/>
      </w:pPr>
      <w:r>
        <w:rPr>
          <w:rFonts w:ascii="Arial" w:hAnsi="Arial" w:cs="Arial" w:eastAsia="Arial"/>
          <w:b w:val="0"/>
          <w:i w:val="0"/>
          <w:sz w:val="18"/>
        </w:rPr>
        <w:t>Kapanmama nedeni yöntemseldir: ölçüt çoğunlukla sistemin beyanıdır, karşılaştırmalar ön-kayıtsızdır. Ön çalışmada ölçülmeden alınan tek bir değişiklik hedef birim yönlendirmede ilk-sıra isabetini aynı 108 belgede 0,907'den 0,54'e düşürmüş, bulgu farklı bir sürümde tekrarlanmıştır (0,889'a karşı 0,584).</w:t>
      </w:r>
    </w:p>
    <w:p>
      <w:pPr>
        <w:keepNext/>
        <w:widowControl/>
        <w:spacing w:before="180" w:after="60"/>
      </w:pPr>
      <w:r>
        <w:rPr>
          <w:rFonts w:ascii="Arial" w:hAnsi="Arial" w:cs="Arial" w:eastAsia="Arial"/>
          <w:b/>
          <w:i w:val="0"/>
          <w:color w:val="1F3864"/>
          <w:sz w:val="18"/>
        </w:rPr>
        <w:t>KURAMSAL İDDİA VE SINIR KOŞULU</w:t>
      </w:r>
    </w:p>
    <w:p>
      <w:pPr>
        <w:widowControl/>
        <w:spacing w:after="60"/>
        <w:jc w:val="both"/>
      </w:pPr>
      <w:r>
        <w:rPr>
          <w:rFonts w:ascii="Arial" w:hAnsi="Arial" w:cs="Arial" w:eastAsia="Arial"/>
          <w:b w:val="0"/>
          <w:i w:val="0"/>
          <w:sz w:val="18"/>
        </w:rPr>
        <w:t>KISITIN ERKEN BAĞLANMASI ÖNERMESİ: üreteç çıktısı üzerindeki kısıt, üretim SONRASINDA süzgeç değil üretim ANINDA seçim uzayının daraltılması olarak uygulandığında hata ara temsillerde de bastırılır; kazancı girdinin belirsizliği arttıkça BÜYÜR. Yanlışlama ölçütü H2'nin etkileşim terimidir: bozulma arttıkça kollar arasındaki fark sabit kalır ya da daralırsa önerme çürütülür. Sınır koşulu (H9): doğru cevap kapalı kümenin dışındaysa mekanizma sistematik hata kaynağına döner. Önerme Türkçeye özgü değildir; cevap uzayı kapalı tanımlanabilen her üretim görevine (veri çıkarımı, kod üretimi) taşınabilir.</w:t>
      </w:r>
    </w:p>
    <w:p>
      <w:pPr>
        <w:keepNext/>
        <w:widowControl/>
        <w:spacing w:before="180" w:after="60"/>
      </w:pPr>
      <w:r>
        <w:rPr>
          <w:rFonts w:ascii="Arial" w:hAnsi="Arial" w:cs="Arial" w:eastAsia="Arial"/>
          <w:b/>
          <w:i w:val="0"/>
          <w:color w:val="1F3864"/>
          <w:sz w:val="18"/>
        </w:rPr>
        <w:t>ÖNERİNİN ÖZGÜN DEĞERİ</w:t>
      </w:r>
    </w:p>
    <w:p>
      <w:pPr>
        <w:widowControl/>
        <w:spacing w:after="40"/>
        <w:ind w:left="360" w:hanging="360"/>
        <w:jc w:val="both"/>
      </w:pPr>
      <w:r>
        <w:rPr>
          <w:rFonts w:ascii="Arial" w:hAnsi="Arial" w:cs="Arial" w:eastAsia="Arial"/>
          <w:b/>
          <w:i w:val="0"/>
          <w:sz w:val="18"/>
        </w:rPr>
        <w:t xml:space="preserve">(1) </w:t>
      </w:r>
      <w:r>
        <w:rPr>
          <w:rFonts w:ascii="Arial" w:hAnsi="Arial" w:cs="Arial" w:eastAsia="Arial"/>
          <w:b w:val="0"/>
          <w:i w:val="0"/>
          <w:sz w:val="18"/>
        </w:rPr>
        <w:t>Kaynak-dayanaklılık üretim sonrası etiketlenen ölçüt değil, üretim anında dayatılan mimari kısıttır; kazancı aynı belgelerde eşleştirilmiş olarak yanlış-veto maliyetiyle ölçülür. (2) Otomatik dayanaklılık ölçümünün geçerliliği sistemin beyanıyla değil, kör insan uzman yargısına karşı uyum katsayılarıyla ve ölçütün güvenilirliğine göre normalize edilerek sınanır; alandaki dairesellik böylece kırılır. (3) İnsan gözetimi normatif ilke yerine, sistemsiz taban koşulunu da içeren, gerekçe düzeyi manipüle edilmiş kontrollü katılımcı deneyiyle ölçülebilir müdahale değişkenine dönüşür.</w:t>
      </w:r>
    </w:p>
    <w:p>
      <w:pPr>
        <w:keepNext/>
        <w:widowControl/>
        <w:spacing w:before="180" w:after="60"/>
      </w:pPr>
      <w:r>
        <w:rPr>
          <w:rFonts w:ascii="Arial" w:hAnsi="Arial" w:cs="Arial" w:eastAsia="Arial"/>
          <w:b/>
          <w:i w:val="0"/>
          <w:color w:val="1F3864"/>
          <w:sz w:val="18"/>
        </w:rPr>
        <w:t>ARAŞTIRMA SORULARI</w:t>
      </w:r>
    </w:p>
    <w:p>
      <w:pPr>
        <w:widowControl/>
        <w:spacing w:after="60"/>
        <w:jc w:val="both"/>
      </w:pPr>
      <w:r>
        <w:rPr>
          <w:rFonts w:ascii="Arial" w:hAnsi="Arial" w:cs="Arial" w:eastAsia="Arial"/>
          <w:b w:val="0"/>
          <w:i w:val="0"/>
          <w:sz w:val="18"/>
        </w:rPr>
        <w:t>AS1: Karar kaynağı mimarisinin (kural katmanı / kısıtsız tek geçişli üretim / şemaya bağlı ve geri getirmeyle güçlendirilmiş literatür tabanı / kapalı-küme ve kanıt-alıntı kısıtlı hibrit) evrak türü sınıflandırma, hedef birim yönlendirme ve eksik alan tespiti başarımını ne ölçüde ve hangi yönde değiştirdiği; bu etkinin hedef birimin kapalı küme dışında kaldığı belgelerde tersine dönüp dönmediği (H9) ve mimarinin belge başına gecikme bedelinin ne olduğu (H10).</w:t>
      </w:r>
    </w:p>
    <w:p>
      <w:pPr>
        <w:widowControl/>
        <w:spacing w:after="60"/>
        <w:jc w:val="both"/>
      </w:pPr>
      <w:r>
        <w:rPr>
          <w:rFonts w:ascii="Arial" w:hAnsi="Arial" w:cs="Arial" w:eastAsia="Arial"/>
          <w:b w:val="0"/>
          <w:i w:val="0"/>
          <w:sz w:val="18"/>
        </w:rPr>
        <w:t>AS2: Girdideki karakter düzeyi bozulma arttıkça mimarilerin başarım kaybının nasıl farklılaştığı, koruyucu etkinin bozulmayla etkileşip etkileşmediği ve kestirilebilir bir kırılma eşiği bulunup bulunmadığı.</w:t>
      </w:r>
    </w:p>
    <w:p>
      <w:pPr>
        <w:widowControl/>
        <w:spacing w:after="60"/>
        <w:jc w:val="both"/>
      </w:pPr>
      <w:r>
        <w:rPr>
          <w:rFonts w:ascii="Arial" w:hAnsi="Arial" w:cs="Arial" w:eastAsia="Arial"/>
          <w:b w:val="0"/>
          <w:i w:val="0"/>
          <w:sz w:val="18"/>
        </w:rPr>
        <w:t>AS3: Taslaktaki iddiaların dayanaklılığını yargılayan otomatik doğrulayıcının kör insan uzman yargısıyla hangi düzeyde uyuştuğu ve bu uyumun, geçerli ölçüm aracı sayılması için ilan edilen eşiği aşıp aşmadığı.</w:t>
      </w:r>
    </w:p>
    <w:p>
      <w:pPr>
        <w:widowControl/>
        <w:spacing w:after="60"/>
        <w:jc w:val="both"/>
      </w:pPr>
      <w:r>
        <w:rPr>
          <w:rFonts w:ascii="Arial" w:hAnsi="Arial" w:cs="Arial" w:eastAsia="Arial"/>
          <w:b w:val="0"/>
          <w:i w:val="0"/>
          <w:sz w:val="18"/>
        </w:rPr>
        <w:t>AS4: Dayanak doğrulama kapısının sıkılığı artırıldığında dayanaksız iddia azalması ile yanlış-veto artışı arasındaki ödünleşimin hangi biçimi aldığı ve ilan edilmiş tolerans altında en iyi çalışma noktasının nerede olduğu.</w:t>
      </w:r>
    </w:p>
    <w:p>
      <w:pPr>
        <w:widowControl/>
        <w:spacing w:after="60"/>
        <w:jc w:val="both"/>
      </w:pPr>
      <w:r>
        <w:rPr>
          <w:rFonts w:ascii="Arial" w:hAnsi="Arial" w:cs="Arial" w:eastAsia="Arial"/>
          <w:b w:val="0"/>
          <w:i w:val="0"/>
          <w:sz w:val="18"/>
        </w:rPr>
        <w:t>AS5: Rol-tanımlı çok-ajanlı müzakerenin tek geçişli üretime kıyasla dayanaksızlığı ve biçim uyumsuzluğunu azaltıp azaltmadığı, kaçıncı turda doygunluğa ulaştığı ve gecikme-maliyet bedelinin ne olduğu.</w:t>
      </w:r>
    </w:p>
    <w:p>
      <w:pPr>
        <w:widowControl/>
        <w:spacing w:after="60"/>
        <w:jc w:val="both"/>
      </w:pPr>
      <w:r>
        <w:rPr>
          <w:rFonts w:ascii="Arial" w:hAnsi="Arial" w:cs="Arial" w:eastAsia="Arial"/>
          <w:b w:val="0"/>
          <w:i w:val="0"/>
          <w:sz w:val="18"/>
        </w:rPr>
        <w:t>AS6: Karar destek arayüzünün gerekçe düzeyinin (çıktı yok / gerekçesiz öneri / tıklanabilir dayanak / dayanak + kalibre güven bandı) kullanıcının yerleştirilmiş hatayı yakalama oranını, karar süresini ve gereksiz reddetme eğilimini nasıl etkilediği.</w:t>
      </w:r>
    </w:p>
    <w:p>
      <w:pPr>
        <w:keepNext/>
        <w:widowControl/>
        <w:spacing w:before="180" w:after="60"/>
      </w:pPr>
      <w:r>
        <w:rPr>
          <w:rFonts w:ascii="Arial" w:hAnsi="Arial" w:cs="Arial" w:eastAsia="Arial"/>
          <w:b/>
          <w:i w:val="0"/>
          <w:color w:val="1F3864"/>
          <w:sz w:val="18"/>
        </w:rPr>
        <w:t>HİPOTEZLER</w:t>
      </w:r>
    </w:p>
    <w:p>
      <w:pPr>
        <w:widowControl/>
        <w:spacing w:after="60"/>
        <w:jc w:val="both"/>
      </w:pPr>
      <w:r>
        <w:rPr>
          <w:rFonts w:ascii="Arial" w:hAnsi="Arial" w:cs="Arial" w:eastAsia="Arial"/>
          <w:b w:val="0"/>
          <w:i w:val="0"/>
          <w:sz w:val="18"/>
        </w:rPr>
        <w:t>H1 - H0: Kısıtlı hibrit ile literatür tabanı kolunun hedef birim yönlendirme ilk-sıra isabetleri eşittir (eşleşmiş uyumsuz çiftlerde p01 = p10). Ha: Farklıdır, yön hibrit lehinedir. Aynı hipotez tür sınıflandırma ve eksik alan tespiti için ayrı kurulur.</w:t>
      </w:r>
    </w:p>
    <w:p>
      <w:pPr>
        <w:widowControl/>
        <w:spacing w:after="60"/>
        <w:jc w:val="both"/>
      </w:pPr>
      <w:r>
        <w:rPr>
          <w:rFonts w:ascii="Arial" w:hAnsi="Arial" w:cs="Arial" w:eastAsia="Arial"/>
          <w:b w:val="0"/>
          <w:i w:val="0"/>
          <w:sz w:val="18"/>
        </w:rPr>
        <w:t>H2 - H0: Mimari ile girdi bozulma düzeyi arasında etkileşim yoktur. Ha: Etkileşim vardır; bozulma arttıkça kısıtlı hibritin göreli üstünlüğü büyür.</w:t>
      </w:r>
    </w:p>
    <w:p>
      <w:pPr>
        <w:widowControl/>
        <w:spacing w:after="60"/>
        <w:jc w:val="both"/>
      </w:pPr>
      <w:r>
        <w:rPr>
          <w:rFonts w:ascii="Arial" w:hAnsi="Arial" w:cs="Arial" w:eastAsia="Arial"/>
          <w:b w:val="0"/>
          <w:i w:val="0"/>
          <w:sz w:val="18"/>
        </w:rPr>
        <w:t>H3 - H0: Bozulma ile doğruluk arasında monoton eğilim yoktur. Ha: Doğruluk monoton azalır ve en az bir bileşende kestirilebilir kırılma eşiği bulunur.</w:t>
      </w:r>
    </w:p>
    <w:p>
      <w:pPr>
        <w:widowControl/>
        <w:spacing w:after="60"/>
        <w:jc w:val="both"/>
      </w:pPr>
      <w:r>
        <w:rPr>
          <w:rFonts w:ascii="Arial" w:hAnsi="Arial" w:cs="Arial" w:eastAsia="Arial"/>
          <w:b w:val="0"/>
          <w:i w:val="0"/>
          <w:sz w:val="18"/>
        </w:rPr>
        <w:t>H4 - H0: Otomatik doğrulayıcı ile kör insan uzman yargısı arasındaki, ölçütün güvenilirliğine göre normalize edilmiş uyum geçerlilik eşiğinin altındadır. Ha: Eşiği aşar.</w:t>
      </w:r>
    </w:p>
    <w:p>
      <w:pPr>
        <w:widowControl/>
        <w:spacing w:after="60"/>
        <w:jc w:val="both"/>
      </w:pPr>
      <w:r>
        <w:rPr>
          <w:rFonts w:ascii="Arial" w:hAnsi="Arial" w:cs="Arial" w:eastAsia="Arial"/>
          <w:b w:val="0"/>
          <w:i w:val="0"/>
          <w:sz w:val="18"/>
        </w:rPr>
        <w:t>H5 - H0: Kapı açıkken dayanaksız iddia oranı değişmez ve/veya yanlış-veto tolerans dışındadır. Ha: Dayanaksızlık anlamlı düşer VE yanlış-veto 0,05 sınırı içinde kalır; ikisi birlikte sağlanmazsa hipotez reddedilir.</w:t>
      </w:r>
    </w:p>
    <w:p>
      <w:pPr>
        <w:widowControl/>
        <w:spacing w:after="60"/>
        <w:jc w:val="both"/>
      </w:pPr>
      <w:r>
        <w:rPr>
          <w:rFonts w:ascii="Arial" w:hAnsi="Arial" w:cs="Arial" w:eastAsia="Arial"/>
          <w:b w:val="0"/>
          <w:i w:val="0"/>
          <w:sz w:val="18"/>
        </w:rPr>
        <w:t>H6 - H0: Müzakere turu sayısı belge başına bulgu sayısını değiştirmez. Ha: Bulgu sayısı azalır ve belirli bir turdan sonra doygunluğa ulaşır.</w:t>
      </w:r>
    </w:p>
    <w:p>
      <w:pPr>
        <w:widowControl/>
        <w:spacing w:after="60"/>
        <w:jc w:val="both"/>
      </w:pPr>
      <w:r>
        <w:rPr>
          <w:rFonts w:ascii="Arial" w:hAnsi="Arial" w:cs="Arial" w:eastAsia="Arial"/>
          <w:b w:val="0"/>
          <w:i w:val="0"/>
          <w:sz w:val="18"/>
        </w:rPr>
        <w:t>H7 - H0: Arayüzün gerekçe düzeyi yakalama olasılığını değiştirmez; çıktı sunulmayan taban ile üç arayüz koşulu eşittir. Ha: Dayanaklı ve kalibre bantlı koşullarda yakalama tabanın üzerindedir.</w:t>
      </w:r>
    </w:p>
    <w:p>
      <w:pPr>
        <w:widowControl/>
        <w:spacing w:after="60"/>
        <w:jc w:val="both"/>
      </w:pPr>
      <w:r>
        <w:rPr>
          <w:rFonts w:ascii="Arial" w:hAnsi="Arial" w:cs="Arial" w:eastAsia="Arial"/>
          <w:b w:val="0"/>
          <w:i w:val="0"/>
          <w:sz w:val="18"/>
        </w:rPr>
        <w:t>H8 - H0: Kalibre güven bandı doğru önerilerin gereksiz reddedilme oranını artırır. Ha: Gereksiz reddetme koşullar arasında eşdeğerdir (0,05 sınırı); yakalama kazancı aşırı şüphecilik pahasına değildir.</w:t>
      </w:r>
    </w:p>
    <w:p>
      <w:pPr>
        <w:widowControl/>
        <w:spacing w:after="60"/>
        <w:jc w:val="both"/>
      </w:pPr>
      <w:r>
        <w:rPr>
          <w:rFonts w:ascii="Arial" w:hAnsi="Arial" w:cs="Arial" w:eastAsia="Arial"/>
          <w:b w:val="0"/>
          <w:i w:val="0"/>
          <w:sz w:val="18"/>
        </w:rPr>
        <w:t>H9 (SINIR KOŞULU) - H0: Kapalı-küme kısıtının etkisi, hedef biriminin kümede BULUNMADIĞI belgelerde de aynıdır. Ha: Kısıt bu belgelerde kısıtsız kola göre DAHA KÖTÜ sonuç verir; kapsam dışı girdide sistematik hata kaynağına döner.</w:t>
      </w:r>
    </w:p>
    <w:p>
      <w:pPr>
        <w:widowControl/>
        <w:spacing w:after="60"/>
        <w:jc w:val="both"/>
      </w:pPr>
      <w:r>
        <w:rPr>
          <w:rFonts w:ascii="Arial" w:hAnsi="Arial" w:cs="Arial" w:eastAsia="Arial"/>
          <w:b w:val="0"/>
          <w:i w:val="0"/>
          <w:sz w:val="18"/>
        </w:rPr>
        <w:t>H10 (BEDEL) - H0: Kısıtlı hibritin belge başına gecikmesi kısıtsız kolla eşdeğerdir. Ha: Hibrit anlamlı biçimde daha yavaştır; bu durumda H1-H2 kazancı bedelsiz DEĞİLDİR.</w:t>
      </w:r>
    </w:p>
    <w:p>
      <w:pPr>
        <w:widowControl/>
        <w:spacing w:after="60"/>
        <w:jc w:val="both"/>
      </w:pPr>
      <w:r>
        <w:rPr>
          <w:rFonts w:ascii="Arial" w:hAnsi="Arial" w:cs="Arial" w:eastAsia="Arial"/>
          <w:b w:val="0"/>
          <w:i w:val="0"/>
          <w:sz w:val="18"/>
        </w:rPr>
        <w:t>H11 (OTOMASYON YANLILIĞI) - H0: Sistemin yüksek güven gösterip yanıldığı denemelerde yakalama oranı, çıktının sunulmadığı tabanla eşittir. Ha: Yakalama TABANIN ALTINA düşer; sistem kullanıcıyı kendi başına olacağından kötü hâle getirir.</w:t>
      </w:r>
    </w:p>
    <w:p>
      <w:pPr>
        <w:widowControl/>
        <w:spacing w:after="60"/>
        <w:jc w:val="both"/>
      </w:pPr>
      <w:r>
        <w:rPr>
          <w:rFonts w:ascii="Arial" w:hAnsi="Arial" w:cs="Arial" w:eastAsia="Arial"/>
          <w:b w:val="0"/>
          <w:i w:val="0"/>
          <w:sz w:val="18"/>
        </w:rPr>
        <w:t>BİLGİ KAZANCI BEYANI: Her birincil hipotez için H0'ın reddedilmesi VE reddedilememesi hâlinde ne öğrenileceği ön-kayıtta yazılır, iki dal da yayımlanır. H4'te eşik aşılamazsa otomatik dayanaklılık ölçümünün geçerli araç OLMADIĞI ilan edilir; H9 ile H11'in Ha yönünde çıkması mimarinin aleyhinedir ve o hâliyle yayımlanacaktır.</w:t>
      </w:r>
    </w:p>
    <w:p>
      <w:pPr>
        <w:widowControl/>
        <w:spacing w:after="60"/>
        <w:jc w:val="both"/>
      </w:pPr>
      <w:r>
        <w:rPr>
          <w:rFonts w:ascii="Arial" w:hAnsi="Arial" w:cs="Arial" w:eastAsia="Arial"/>
          <w:b w:val="0"/>
          <w:i w:val="0"/>
          <w:sz w:val="18"/>
        </w:rPr>
        <w:t>Öneriyi yazılım geliştirmeden ayıran üç unsur: (a) hipotezler, dışlama ölçütleri ve analiz planı veri toplanmadan ÖNCE sürüm damgalı ön-kayıtla kilitlenir; (b) dayanaklılığın ölçütü sistemin vetosu değil, kararını görmeyen üç bağımsız etiketleyicinin yargısıdır; (c) replikasyon kümesi yalnız son sınamada açılır. Ön çalışmanın sayıları güncel başarım değil fizibilite göstergesidir; taban ölçümler proje başında yeniden koşulacaktır.</w:t>
      </w:r>
    </w:p>
    <w:p>
      <w:pPr>
        <w:keepNext/>
        <w:widowControl/>
        <w:spacing w:before="180" w:after="60"/>
      </w:pPr>
      <w:r>
        <w:rPr>
          <w:rFonts w:ascii="Arial" w:hAnsi="Arial" w:cs="Arial" w:eastAsia="Arial"/>
          <w:b/>
          <w:i w:val="0"/>
          <w:color w:val="1F3864"/>
          <w:sz w:val="18"/>
        </w:rPr>
        <w:t>ÜST POLİTİKA BELGELERİYLE İLİŞKİLENDİRME VE SAĞLANACAK YARAR</w:t>
      </w:r>
    </w:p>
    <w:p>
      <w:pPr>
        <w:widowControl/>
        <w:spacing w:after="60"/>
        <w:jc w:val="both"/>
      </w:pPr>
      <w:r>
        <w:rPr>
          <w:rFonts w:ascii="Arial" w:hAnsi="Arial" w:cs="Arial" w:eastAsia="Arial"/>
          <w:b w:val="0"/>
          <w:i w:val="0"/>
          <w:sz w:val="18"/>
        </w:rPr>
        <w:t>On İkinci Kalkınma Planı m.557 kritik teknoloji alanlarını sayar - ilki "yapay zekâ", dördüncüsü "büyük veri", beşincisi "siber güvenlik"; m.557.1 bu alanlardaki projelerin desteklenmesini hükme bağlar [18], öneri üçünü birlikte kullanır. m.964.7 "dijital teknolojilerin kamu yönetimine etkileri" için araştırma ve yenilik programı öngörür [18]; öneri buna karşılık gelen kontrollü deney programıdır. m.968.2 kamuda güvenilir yapay zekâ etik ilkelerini, m.963.3 otomasyon ile süreç sahipliğini şart koşar - karar daima görevlide kalır, sistem yalnız gerekçeli öneri üretir [18]. 2030 Sanayi ve Teknoloji Stratejisi'nde 6. strateji Türkçe büyük dil modelini, 21. strateji öncelikli alanların birincisi "Bilgisayar Bilimleri" ile onuncusu "Yapay Zekâ"yı, 40. strateji kamu süreçlerinin otomasyonunu önceliklendirir [19]. Ulusal öncelikli Ar-Ge konuları listesi "yapay zekâ", "büyük veri ve bulut bilişim" ve "siber güvenlik"i içerir [20]. Ulusal Yapay Zekâ Stratejisi Türkçe doğal dil işlemeyi önceliklendirir, kamuda güvenilirlik damgası öngörür; ülke kamuda yapay zekâya hazırlıkta 172 ülke içinde 67. sıradadır [21].</w:t>
      </w:r>
    </w:p>
    <w:p>
      <w:pPr>
        <w:widowControl/>
        <w:spacing w:after="60"/>
        <w:jc w:val="both"/>
      </w:pPr>
      <w:r>
        <w:rPr>
          <w:rFonts w:ascii="Arial" w:hAnsi="Arial" w:cs="Arial" w:eastAsia="Arial"/>
          <w:b w:val="0"/>
          <w:i w:val="0"/>
          <w:sz w:val="18"/>
        </w:rPr>
        <w:t>Sağlanacak yarar üç çıktıyla ölçülecektir: (1) kişisel veri içermeyen, sabit tohumlu, tekrar üretilebilir Türkçe idari yazışma değerlendirme kümesi ve açık ölçüm protokolü; (2) otomatik dayanaklılık ölçümünün kör insan yargısına karşı geçerliliğini uyum katsayıları ve güven aralıklarıyla raporlayan ölçüm geçerliliği çalışması; (3) gerekçe düzeyinin insan gözetimi etkinliğine etkisini, sistemsiz taban dâhil kontrollü ölçen sonuç kümesi. Çıktılar açık lisanslıdır; kamu kurumlarının açık kaynağa geçişini hedefleyen politika hükümleriyle örtüşür [18][19].</w:t>
      </w:r>
    </w:p>
    <w:p w14:paraId="00E0A731" w14:textId="77777777" w:rsidR="00BB5D2F" w:rsidRDefault="00BB5D2F" w:rsidP="00190A53">
      <w:pPr>
        <w:pStyle w:val="WW-NormalWeb1"/>
        <w:widowControl/>
        <w:spacing w:before="0" w:after="0"/>
        <w:jc w:val="both"/>
        <w:rPr>
          <w:rFonts w:ascii="Arial" w:hAnsi="Arial" w:cs="Arial"/>
          <w:bCs/>
          <w:sz w:val="18"/>
          <w:szCs w:val="18"/>
        </w:rPr>
      </w:pPr>
    </w:p>
    <w:p w14:paraId="292A44BB" w14:textId="77777777" w:rsidR="006F7368" w:rsidRDefault="006F7368">
      <w:pPr>
        <w:pStyle w:val="WW-NormalWeb1"/>
        <w:widowControl/>
        <w:tabs>
          <w:tab w:val="left" w:pos="993"/>
        </w:tabs>
        <w:spacing w:before="0" w:after="0"/>
        <w:ind w:left="360"/>
        <w:jc w:val="both"/>
        <w:rPr>
          <w:rFonts w:ascii="Arial" w:hAnsi="Arial" w:cs="Arial"/>
          <w:b/>
          <w:bCs/>
          <w:sz w:val="18"/>
          <w:szCs w:val="18"/>
        </w:rPr>
      </w:pPr>
    </w:p>
    <w:p w14:paraId="559B841D" w14:textId="77777777" w:rsidR="006F7368" w:rsidRDefault="002E7A1C">
      <w:pPr>
        <w:pStyle w:val="WW-NormalWeb1"/>
        <w:keepNext w:val="0"/>
        <w:widowControl/>
        <w:numPr>
          <w:ilvl w:val="1"/>
          <w:numId w:val="3"/>
        </w:numPr>
        <w:tabs>
          <w:tab w:val="left" w:pos="993"/>
        </w:tabs>
        <w:spacing w:before="160" w:after="60"/>
        <w:ind w:left="284"/>
        <w:jc w:val="both"/>
        <w:rPr>
          <w:rFonts w:ascii="Arial" w:hAnsi="Arial" w:cs="Arial"/>
          <w:b/>
          <w:bCs/>
          <w:sz w:val="18"/>
          <w:szCs w:val="18"/>
        </w:rPr>
      </w:pPr>
      <w:r>
        <w:rPr>
          <w:rFonts w:ascii="Arial" w:hAnsi="Arial" w:cs="Arial" w:eastAsia="Arial"/>
          <w:b/>
          <w:bCs/>
          <w:i w:val="0"/>
          <w:color w:val="1F3864"/>
          <w:sz w:val="19"/>
          <w:szCs w:val="18"/>
        </w:rPr>
        <w:t>Amaç ve Hedefler</w:t>
      </w:r>
    </w:p>
    <w:p w14:paraId="4A281FA1" w14:textId="77777777" w:rsidR="006F7368" w:rsidRDefault="002E7A1C">
      <w:pPr>
        <w:pStyle w:val="WW-NormalWeb1"/>
        <w:widowControl/>
        <w:spacing w:before="0" w:after="0"/>
        <w:ind w:left="142"/>
        <w:rPr>
          <w:rFonts w:ascii="Arial" w:hAnsi="Arial" w:cs="Arial"/>
          <w:bCs/>
          <w:sz w:val="18"/>
          <w:szCs w:val="18"/>
        </w:rPr>
      </w:pPr>
      <w:r>
        <w:rPr>
          <w:rFonts w:ascii="Arial" w:hAnsi="Arial" w:cs="Arial"/>
          <w:bCs/>
          <w:sz w:val="18"/>
          <w:szCs w:val="18"/>
        </w:rPr>
        <w:t xml:space="preserve">   </w:t>
      </w:r>
    </w:p>
    <w:p w14:paraId="708E5416" w14:textId="77777777" w:rsidR="006F7368" w:rsidRDefault="006F7368">
      <w:pPr>
        <w:pStyle w:val="WW-NormalWeb1"/>
        <w:widowControl/>
        <w:spacing w:before="0" w:after="0"/>
        <w:ind w:left="142" w:firstLine="709"/>
        <w:jc w:val="both"/>
        <w:rPr>
          <w:rFonts w:ascii="Arial" w:hAnsi="Arial" w:cs="Arial"/>
          <w:bCs/>
          <w:sz w:val="18"/>
          <w:szCs w:val="18"/>
        </w:rPr>
      </w:pPr>
    </w:p>
    <w:p>
      <w:pPr>
        <w:keepNext/>
        <w:widowControl/>
        <w:spacing w:before="180" w:after="60"/>
      </w:pPr>
      <w:r>
        <w:rPr>
          <w:rFonts w:ascii="Arial" w:hAnsi="Arial" w:cs="Arial" w:eastAsia="Arial"/>
          <w:b/>
          <w:i w:val="0"/>
          <w:color w:val="1F3864"/>
          <w:sz w:val="18"/>
        </w:rPr>
        <w:t>GENEL AMAÇ</w:t>
      </w:r>
    </w:p>
    <w:p>
      <w:pPr>
        <w:widowControl/>
        <w:spacing w:after="60"/>
        <w:jc w:val="both"/>
      </w:pPr>
      <w:r>
        <w:rPr>
          <w:rFonts w:ascii="Arial" w:hAnsi="Arial" w:cs="Arial" w:eastAsia="Arial"/>
          <w:b w:val="0"/>
          <w:i w:val="0"/>
          <w:sz w:val="18"/>
        </w:rPr>
        <w:t>Bu araştırmanın genel amacı, Türkçe idari yazışma belgelerinin makine ile işlenmesinde karar kaynağının mimari biçiminin - kural katmanı, kısıtsız tek geçişli üretim, şemaya bağlı ve geri getirmeyle güçlendirilmiş literatür tabanı ve kapalı-küme seçim ile kanıt-alıntı kısıtlarıyla donatılmış hibrit katman - belge anlama başarımı, üretilen resmî metnin kaynağa dayanaklılığı ve insan gözetiminin etkinliği üzerindeki etkisini ön-kayıtlı ve kontrollü bir faktöriyel deney düzeneğinde nedensel olarak kestirmek ve elde edilen ölçüm çerçevesini yeniden üretilebilir biçimde belgelemektir.</w:t>
      </w:r>
    </w:p>
    <w:p>
      <w:pPr>
        <w:widowControl/>
        <w:spacing w:after="60"/>
      </w:pPr>
      <w:r>
        <w:rPr>
          <w:rFonts w:ascii="Arial" w:hAnsi="Arial" w:cs="Arial" w:eastAsia="Arial"/>
          <w:b w:val="0"/>
          <w:i w:val="0"/>
          <w:sz w:val="18"/>
        </w:rPr>
        <w:t>Amacın gerekçesi üç tespite dayanır:</w:t>
      </w:r>
    </w:p>
    <w:p>
      <w:pPr>
        <w:widowControl/>
        <w:spacing w:after="40"/>
        <w:ind w:left="280" w:hanging="180"/>
        <w:jc w:val="both"/>
      </w:pPr>
      <w:r>
        <w:rPr>
          <w:rFonts w:ascii="Arial" w:hAnsi="Arial" w:cs="Arial" w:eastAsia="Arial"/>
          <w:b w:val="0"/>
          <w:i w:val="0"/>
          <w:sz w:val="18"/>
        </w:rPr>
        <w:t xml:space="preserve">•  </w:t>
      </w:r>
      <w:r>
        <w:rPr>
          <w:rFonts w:ascii="Arial" w:hAnsi="Arial" w:cs="Arial" w:eastAsia="Arial"/>
          <w:b w:val="0"/>
          <w:i w:val="0"/>
          <w:sz w:val="18"/>
        </w:rPr>
        <w:t>Ölçüm gelenekleri İngilizce ve görsel form odaklıdır [1][2]; Türkçe idari yazışma için kamuya açık, etiketli bir değerlendirme kümesi yoktur, en yakın çalışma tek kurumda ve dar kapsamdadır [6]. Türkçenin sondan eklemeli yapısının başarımı etkilediği ölçülmüştür [3].</w:t>
      </w:r>
    </w:p>
    <w:p>
      <w:pPr>
        <w:widowControl/>
        <w:spacing w:after="40"/>
        <w:ind w:left="280" w:hanging="180"/>
        <w:jc w:val="both"/>
      </w:pPr>
      <w:r>
        <w:rPr>
          <w:rFonts w:ascii="Arial" w:hAnsi="Arial" w:cs="Arial" w:eastAsia="Arial"/>
          <w:b w:val="0"/>
          <w:i w:val="0"/>
          <w:sz w:val="18"/>
        </w:rPr>
        <w:t xml:space="preserve">•  </w:t>
      </w:r>
      <w:r>
        <w:rPr>
          <w:rFonts w:ascii="Arial" w:hAnsi="Arial" w:cs="Arial" w:eastAsia="Arial"/>
          <w:b w:val="0"/>
          <w:i w:val="0"/>
          <w:sz w:val="18"/>
        </w:rPr>
        <w:t>Geri getirmeyle güçlendirilmiş üretim, hukuki metinlerde dayanaksız iddiayı ortadan kaldırmaz [9][10]; atfedilebilirlik ise üretim sonrası etiketlenen bir ölçü olarak ele alınmakta [7], üretim anında dayatılan mimari kısıt olarak ölçülmemektedir.</w:t>
      </w:r>
    </w:p>
    <w:p>
      <w:pPr>
        <w:widowControl/>
        <w:spacing w:after="40"/>
        <w:ind w:left="280" w:hanging="180"/>
        <w:jc w:val="both"/>
      </w:pPr>
      <w:r>
        <w:rPr>
          <w:rFonts w:ascii="Arial" w:hAnsi="Arial" w:cs="Arial" w:eastAsia="Arial"/>
          <w:b w:val="0"/>
          <w:i w:val="0"/>
          <w:sz w:val="18"/>
        </w:rPr>
        <w:t xml:space="preserve">•  </w:t>
      </w:r>
      <w:r>
        <w:rPr>
          <w:rFonts w:ascii="Arial" w:hAnsi="Arial" w:cs="Arial" w:eastAsia="Arial"/>
          <w:b w:val="0"/>
          <w:i w:val="0"/>
          <w:sz w:val="18"/>
        </w:rPr>
        <w:t>Alanyazın insan gözetimini normatif olarak savunmakta [16][17], etkinliğini bağımsız değişken olarak sınayan kontrollü deney sunmamaktadır.</w:t>
      </w:r>
    </w:p>
    <w:p>
      <w:pPr>
        <w:widowControl/>
        <w:spacing w:after="60"/>
      </w:pPr>
      <w:r>
        <w:rPr>
          <w:rFonts w:ascii="Arial" w:hAnsi="Arial" w:cs="Arial" w:eastAsia="Arial"/>
          <w:b w:val="0"/>
          <w:i w:val="0"/>
          <w:sz w:val="18"/>
        </w:rPr>
        <w:t>Proje bu nedenle bir geliştirme işi değil, ölçülebilir hipotezlere bağlı bir sınama programıdır.</w:t>
      </w:r>
    </w:p>
    <w:p>
      <w:pPr>
        <w:widowControl/>
        <w:spacing w:after="60"/>
      </w:pPr>
      <w:r>
        <w:rPr>
          <w:rFonts w:ascii="Arial" w:hAnsi="Arial" w:cs="Arial" w:eastAsia="Arial"/>
          <w:b w:val="0"/>
          <w:i w:val="0"/>
          <w:sz w:val="18"/>
        </w:rPr>
        <w:t>ÖZGÜL HEDEFLER (iş paketi eşlemesiyle)</w:t>
      </w:r>
    </w:p>
    <w:p>
      <w:pPr>
        <w:widowControl/>
        <w:spacing w:after="60"/>
        <w:jc w:val="both"/>
      </w:pPr>
      <w:r>
        <w:rPr>
          <w:rFonts w:ascii="Arial" w:hAnsi="Arial" w:cs="Arial" w:eastAsia="Arial"/>
          <w:b w:val="0"/>
          <w:i w:val="0"/>
          <w:sz w:val="18"/>
        </w:rPr>
        <w:t>Hedef 1 (İP1) - Deneysel çerçeve ve dairesellik denetimi: hipotezler, onaylayıcı test ailesi, dışlama ve aykırı değer ölçütleri ve analiz planı veri toplanmadan önce ön-kayıtla kilitlenir; 19 elemanlı kapalı tür kümesi x üç zorluk düzeyi çaprazında 240 ana + 120 replikasyon belgelik, tamamen sentetik ve kurgu ölçüm kümesi katmanlı örneklemeyle hazırlanır; bozma işleci gerçek taranmış belgelerde ölçülen hata oranına çapalanır. (Başarı ölçütü: ön-kayıt 2. ay sonunda kilitli, güç simülasyonu kilitten önce tamamlanmış; bağımsız iki kaynaktaki altın etiket uyumu en az 0,90; üç bozulma kolunda karakter hata oranının hedeften sapması en fazla 0,01; 13 bağımlı değişkenin tamamı için sürüm damgalı taban ölçüm artefaktı mevcut; değerlendirme-üretim sözlüğü örtüşme oranı sayısal raporlanmış.)</w:t>
      </w:r>
    </w:p>
    <w:p>
      <w:pPr>
        <w:widowControl/>
        <w:spacing w:after="60"/>
        <w:jc w:val="both"/>
      </w:pPr>
      <w:r>
        <w:rPr>
          <w:rFonts w:ascii="Arial" w:hAnsi="Arial" w:cs="Arial" w:eastAsia="Arial"/>
          <w:b w:val="0"/>
          <w:i w:val="0"/>
          <w:sz w:val="18"/>
        </w:rPr>
        <w:t>Hedef 2 (İP2) - Karar kaynağı mimarisinin belge anlama başarımına etkisi: dört mimari kol aynı belgelerde eşleştirilmiş koşulur; evrak türü sınıflandırma, hedef birim yönlendirme ve eksik zorunlu alan tespiti farkları kesin McNemar testi ve hiyerarşik kapı içinde Holm-Bonferroni düzeltmesiyle sınanır. (Başarı ölçütü mutlak başarım DEĞİL karar verilebilirliktir: H1'in üç bağımlı değişkeninin her birinde eşleşmiş etki büyüklüğünün %95 güven aralığı genişliği 0,15'ten dar; en az iki bağımlı değişkende gerçekleşen güç 0,80 üzerinde. Ret de destek de aynı ayrıntıda raporlanır; mutlak düzeyler betimleyici verilir.)</w:t>
      </w:r>
    </w:p>
    <w:p>
      <w:pPr>
        <w:widowControl/>
        <w:spacing w:after="60"/>
        <w:jc w:val="both"/>
      </w:pPr>
      <w:r>
        <w:rPr>
          <w:rFonts w:ascii="Arial" w:hAnsi="Arial" w:cs="Arial" w:eastAsia="Arial"/>
          <w:b w:val="0"/>
          <w:i w:val="0"/>
          <w:sz w:val="18"/>
        </w:rPr>
        <w:t>Hedef 3 (İP2) - Girdi bozulması altında hata yayılımı ve kısıtın koruyucu etkisi: bozulmanın üç seviyesinde mimariler arası fark karma etkili lojistik regresyonla, doğrulayıcı ikinci analiz olarak genelleştirilmiş tahmin denklemleriyle sınanır; varsa kırılma eşiği kestirilir. (Başarı ölçütü: mimari x bozulma etkileşimi iki yöntemde de aynı yönde ve alfa = 0,05 düzeyinde; kırılma eşiği tek sayı değil profil-olabilirlik %95 aralığıyla raporlanır; güç yetersizse ön-kayıttaki üç dallı karar kuralı uygulanır ve uygulanan dal belgelenir.)</w:t>
      </w:r>
    </w:p>
    <w:p>
      <w:pPr>
        <w:widowControl/>
        <w:spacing w:after="60"/>
        <w:jc w:val="both"/>
      </w:pPr>
      <w:r>
        <w:rPr>
          <w:rFonts w:ascii="Arial" w:hAnsi="Arial" w:cs="Arial" w:eastAsia="Arial"/>
          <w:b w:val="0"/>
          <w:i w:val="0"/>
          <w:sz w:val="18"/>
        </w:rPr>
        <w:t>Hedef 4 (İP3) - Otomatik dayanak doğrulayıcısının ölçüm geçerliliği: taslaklardan çıkarılan 300 iddia, sistemin kararını görmeyen üç bağımsız etiketleyici tarafından tam çapraz desende etiketlenir; otomatik yargının insan uzman yargısıyla uyumu, ölçütün kendi güvenilirliğine normalize edilerek kestirilir. (Başarı ölçütü: değerlendiriciler arası güvenilirlikte nokta tahmini en az 0,80 ve kümelenmiş önyükleme %95 alt sınırı en az 0,67; otomatik-insan uyumunun insan-insan uyumuna oranının %95 alt sınırı 0,75'i aşar; beş iddia sınıfının her biri için duyarlılık ve özgüllük Wilson %95 aralığıyla ayrı verilir; eşiğin altında kalınırsa aracın geçerlilik SINIRI bulgu olarak yayımlanır.)</w:t>
      </w:r>
    </w:p>
    <w:p>
      <w:pPr>
        <w:widowControl/>
        <w:spacing w:after="60"/>
        <w:jc w:val="both"/>
      </w:pPr>
      <w:r>
        <w:rPr>
          <w:rFonts w:ascii="Arial" w:hAnsi="Arial" w:cs="Arial" w:eastAsia="Arial"/>
          <w:b w:val="0"/>
          <w:i w:val="0"/>
          <w:sz w:val="18"/>
        </w:rPr>
        <w:t>Hedef 5 (İP4) - Doğrulama kapısının ödünleşim eğrisi ve çok-ajanlı müzakerenin yakınsaması: kapı sıkılığı dokuz noktada süpürülerek dayanaksız iddia oranı ile yanlış-veto oranı arasındaki ödünleşim haritalanır; rol tanımlı müzakerede dört tur seviyesi ve üç rol-çıkarma koşulunda kapanan, direnen ve yeni doğan bulgular ayrı defterlenir [15]. (Başarı ölçütü: seçilen çalışma noktasında yanlış-veto oranının %95 üst sınırı en fazla 0,05 ve eşdeğerlik iki tek yönlü test yordamıyla 0,05 sınırında gösterilir; dayanaksız iddia oranındaki azalma kör insan altın kümesine karşı alfa = 0,05 düzeyinde sınanır; doygunluk turu ile tur başına ek gecikme ve ek maliyet sayısal raporlanır.)</w:t>
      </w:r>
    </w:p>
    <w:p>
      <w:pPr>
        <w:widowControl/>
        <w:spacing w:after="60"/>
        <w:jc w:val="both"/>
      </w:pPr>
      <w:r>
        <w:rPr>
          <w:rFonts w:ascii="Arial" w:hAnsi="Arial" w:cs="Arial" w:eastAsia="Arial"/>
          <w:b w:val="0"/>
          <w:i w:val="0"/>
          <w:sz w:val="18"/>
        </w:rPr>
        <w:t>Hedef 6 (İP5) - İnsan gözetiminin etkinliğinin katılımcı deneyiyle sınanması: arayüzün gerekçe düzeyinin dört seviyesinde - sistem çıktısı hiç sunulmayan taban; gerekçesiz öneri; kaynağa tıklanabilir dayanak gösteren öneri; dayanakla birlikte ölçülmüş isabete kalibre edilmiş güven bandı - katılımcı-içi ve dengelenmiş sıra desende hata yakalama oranı, karar süresi, gereksiz reddetme eğilimi ve öznel güven ölçülür. (Başarı ölçütü: en az 28 katılımcı ve en az 600 tamamlanmış deneme; birincil kontrast taban koşula karşıdır ve etki büyüklüğü %95 güven aralığıyla raporlanır; gereksiz reddetme oranında 0,05 sınırında eşdeğerlik kararı açıkça verilir; otomasyon yanlılığı hipotezi ayrı ve önceden ilan edilmiş biçimde sınanır.)</w:t>
      </w:r>
    </w:p>
    <w:p>
      <w:pPr>
        <w:widowControl/>
        <w:spacing w:after="60"/>
        <w:jc w:val="both"/>
      </w:pPr>
      <w:r>
        <w:rPr>
          <w:rFonts w:ascii="Arial" w:hAnsi="Arial" w:cs="Arial" w:eastAsia="Arial"/>
          <w:b w:val="0"/>
          <w:i w:val="0"/>
          <w:sz w:val="18"/>
        </w:rPr>
        <w:t>Hedef 7 (İP6) - Replikasyon ve yeniden üretilebilirliğin kanıtlanması: ön-kayıtlı birincil hipotezler, ana kümede hiç kullanılmamış 120 belgelik kümede ve kamuya açık kaynaklardan türetilen 60 belgelik dış geçerlilik alt kümesinde doğrulayıcı olarak yeniden sınanır; tüm ölçüm betikleri, dış servis erişimi olmadan deterministik kipte tek komutla koşan bir yeniden üretim paketine dönüştürülür. (Başarı ölçütü: birincil hipotezlerin en az %80'i replikasyon kümesinde aynı yönde sonuçlanır ve yön uyuşmazlıkları gizlenmeden raporlanır; ekip dışından bir kişinin bağımsız koşumunda deterministik metrikler en fazla %1 sapmayla yeniden üretilir; ölçüm kümesi, betikler ve ön-kayıt dosyası izin verici açık lisansla yayımlanır.)</w:t>
      </w:r>
    </w:p>
    <w:p>
      <w:pPr>
        <w:keepNext/>
        <w:widowControl/>
        <w:spacing w:before="180" w:after="60"/>
      </w:pPr>
      <w:r>
        <w:rPr>
          <w:rFonts w:ascii="Arial" w:hAnsi="Arial" w:cs="Arial" w:eastAsia="Arial"/>
          <w:b/>
          <w:i w:val="0"/>
          <w:color w:val="1F3864"/>
          <w:sz w:val="18"/>
        </w:rPr>
        <w:t>ULAŞILABİLİRLİK</w:t>
      </w:r>
    </w:p>
    <w:p>
      <w:pPr>
        <w:widowControl/>
        <w:spacing w:after="60"/>
        <w:jc w:val="both"/>
      </w:pPr>
      <w:r>
        <w:rPr>
          <w:rFonts w:ascii="Arial" w:hAnsi="Arial" w:cs="Arial" w:eastAsia="Arial"/>
          <w:b w:val="0"/>
          <w:i w:val="0"/>
          <w:sz w:val="18"/>
        </w:rPr>
        <w:t>Hedefler gerçekçidir: ölçüm altyapısı (uçtan uca yürütme grafı, altın kümeye karşı koşan değerlendirme takımı, Wilson aralığı ile kesin McNemar ve önyükleme içeren istatistik modülü) ön çalışma olarak çalışır durumdadır; 12 aylık süre altyapı kurmaya değil deney yürütmeye ayrılacaktır. MEVCUT OLAN ile ÜRETİLECEK OLANIN satır satır ayrımı Yöntem bölümündedir (2.7.1); hiçbir iş paketi prototipin mevcut işlevlerini yeniden üretmez. Ön çalışma sayıları "güncel başarım" değil fizibilite göstergesidir; taban ölçümler İP1'de güncel sürümle yeniden üretilir. Araştırma, kalkınma planında kritik teknoloji alanı sayılan yapay zekâ ve büyük veri başlıklarıyla doğrudan ilişkilidir [18].</w:t>
      </w:r>
    </w:p>
    <w:p w14:paraId="13C670F8" w14:textId="77777777" w:rsidR="006F7368" w:rsidRDefault="006F7368">
      <w:pPr>
        <w:pStyle w:val="WW-NormalWeb1"/>
        <w:widowControl/>
        <w:spacing w:before="0" w:after="0"/>
        <w:rPr>
          <w:rFonts w:ascii="Arial" w:hAnsi="Arial" w:cs="Arial"/>
          <w:color w:val="000000"/>
          <w:sz w:val="18"/>
          <w:szCs w:val="18"/>
        </w:rPr>
      </w:pPr>
    </w:p>
    <w:p w14:paraId="3EE884CE" w14:textId="77777777" w:rsidR="00B24604" w:rsidRDefault="00B24604">
      <w:pPr>
        <w:pStyle w:val="WW-NormalWeb1"/>
        <w:widowControl/>
        <w:spacing w:before="0" w:after="0"/>
        <w:rPr>
          <w:rFonts w:ascii="Arial" w:hAnsi="Arial" w:cs="Arial"/>
          <w:color w:val="000000"/>
          <w:sz w:val="18"/>
          <w:szCs w:val="18"/>
        </w:rPr>
      </w:pPr>
    </w:p>
    <w:p w14:paraId="793B9AD7" w14:textId="77777777" w:rsidR="00B24604" w:rsidRDefault="00B24604">
      <w:pPr>
        <w:pStyle w:val="WW-NormalWeb1"/>
        <w:widowControl/>
        <w:spacing w:before="0" w:after="0"/>
        <w:rPr>
          <w:rFonts w:ascii="Arial" w:hAnsi="Arial" w:cs="Arial"/>
          <w:color w:val="000000"/>
          <w:sz w:val="18"/>
          <w:szCs w:val="18"/>
        </w:rPr>
      </w:pPr>
    </w:p>
    <w:p w14:paraId="7EB0194C" w14:textId="77777777" w:rsidR="006F7368" w:rsidRDefault="002E7A1C">
      <w:pPr>
        <w:pStyle w:val="WW-NormalWeb1"/>
        <w:keepNext w:val="0"/>
        <w:widowControl/>
        <w:numPr>
          <w:ilvl w:val="0"/>
          <w:numId w:val="2"/>
        </w:numPr>
        <w:spacing w:before="220" w:after="80"/>
        <w:ind w:left="142" w:hanging="218"/>
        <w:jc w:val="both"/>
        <w:rPr>
          <w:rFonts w:ascii="Arial" w:hAnsi="Arial" w:cs="Arial"/>
          <w:sz w:val="18"/>
          <w:szCs w:val="18"/>
        </w:rPr>
        <w:pBdr>
          <w:bottom w:val="single" w:sz="8" w:space="3" w:color="1F3864"/>
        </w:pBdr>
      </w:pPr>
      <w:r>
        <w:rPr>
          <w:rFonts w:ascii="Arial" w:hAnsi="Arial" w:cs="Arial" w:eastAsia="Arial"/>
          <w:b/>
          <w:bCs/>
          <w:i w:val="0"/>
          <w:color w:val="1F3864"/>
          <w:sz w:val="22"/>
          <w:szCs w:val="18"/>
        </w:rPr>
        <w:t>YÖNTEM</w:t>
      </w:r>
    </w:p>
    <w:p w14:paraId="30E332CC" w14:textId="77777777" w:rsidR="00A17861" w:rsidRDefault="00A17861" w:rsidP="00190A53">
      <w:pPr>
        <w:pStyle w:val="WW-NormalWeb1"/>
        <w:widowControl/>
        <w:spacing w:before="0" w:after="0"/>
        <w:ind w:left="-76"/>
        <w:jc w:val="both"/>
        <w:rPr>
          <w:rFonts w:ascii="Arial" w:hAnsi="Arial" w:cs="Arial"/>
          <w:sz w:val="18"/>
          <w:szCs w:val="18"/>
        </w:rPr>
      </w:pPr>
    </w:p>
    <w:p w14:paraId="26D62095" w14:textId="77777777" w:rsidR="006F7368" w:rsidRDefault="006F7368">
      <w:pPr>
        <w:widowControl/>
        <w:ind w:left="142"/>
        <w:jc w:val="both"/>
        <w:rPr>
          <w:rFonts w:ascii="Arial" w:hAnsi="Arial" w:cs="Arial"/>
          <w:color w:val="000000"/>
          <w:sz w:val="18"/>
          <w:szCs w:val="24"/>
        </w:rPr>
      </w:pPr>
    </w:p>
    <w:p w14:paraId="2371F440" w14:textId="77777777" w:rsidR="006F7368" w:rsidRDefault="006F7368">
      <w:pPr>
        <w:pStyle w:val="WW-NormalWeb1"/>
        <w:widowControl/>
        <w:spacing w:before="0" w:after="0"/>
        <w:jc w:val="both"/>
        <w:rPr>
          <w:rFonts w:ascii="Arial" w:hAnsi="Arial" w:cs="Arial"/>
          <w:color w:val="000000"/>
          <w:sz w:val="18"/>
        </w:rPr>
      </w:pPr>
    </w:p>
    <w:p>
      <w:pPr>
        <w:keepNext/>
        <w:widowControl/>
        <w:spacing w:before="180" w:after="60"/>
      </w:pPr>
      <w:r>
        <w:rPr>
          <w:rFonts w:ascii="Arial" w:hAnsi="Arial" w:cs="Arial" w:eastAsia="Arial"/>
          <w:b/>
          <w:i w:val="0"/>
          <w:color w:val="1F3864"/>
          <w:sz w:val="18"/>
        </w:rPr>
        <w:t>2.1 ARAŞTIRMA TASARIMI</w:t>
      </w:r>
    </w:p>
    <w:p>
      <w:pPr>
        <w:widowControl/>
        <w:spacing w:after="60"/>
        <w:jc w:val="both"/>
      </w:pPr>
      <w:r>
        <w:rPr>
          <w:rFonts w:ascii="Arial" w:hAnsi="Arial" w:cs="Arial" w:eastAsia="Arial"/>
          <w:b w:val="0"/>
          <w:i w:val="0"/>
          <w:sz w:val="18"/>
        </w:rPr>
        <w:t>Bu öneri bir yazılım geliştirme işi değil, ön-kayıtlı hipotezleri kontrollü koşullarda sınayan ampirik bir deney programıdır. Omurga: literatür boşluğu -&gt; araştırma sorusu -&gt; yönü ilan edilmiş hipotez -&gt; bağımsız değişken -&gt; önceden tanımlı bağımlı değişken -&gt; karar kuralı. Dört bağlantılı deney kurulur.</w:t>
      </w:r>
    </w:p>
    <w:p>
      <w:pPr>
        <w:widowControl/>
        <w:spacing w:after="60"/>
      </w:pPr>
      <w:r>
        <w:rPr>
          <w:rFonts w:ascii="Arial" w:hAnsi="Arial" w:cs="Arial" w:eastAsia="Arial"/>
          <w:b w:val="0"/>
          <w:i w:val="0"/>
          <w:sz w:val="18"/>
        </w:rPr>
        <w:t>D1 - Karar mimarisi x girdi bozulması (4 x 3, belge-içi tekrarlı ölçüm). Bağımsız değişken 1, karar kaynağıdır:</w:t>
      </w:r>
    </w:p>
    <w:p>
      <w:pPr>
        <w:widowControl/>
        <w:spacing w:after="40"/>
        <w:ind w:left="280" w:hanging="180"/>
      </w:pPr>
      <w:r>
        <w:rPr>
          <w:rFonts w:ascii="Arial" w:hAnsi="Arial" w:cs="Arial" w:eastAsia="Arial"/>
          <w:b w:val="0"/>
          <w:i w:val="0"/>
          <w:sz w:val="18"/>
        </w:rPr>
        <w:t xml:space="preserve">•  </w:t>
      </w:r>
      <w:r>
        <w:rPr>
          <w:rFonts w:ascii="Arial" w:hAnsi="Arial" w:cs="Arial" w:eastAsia="Arial"/>
          <w:b w:val="0"/>
          <w:i w:val="0"/>
          <w:sz w:val="18"/>
        </w:rPr>
        <w:t>(a) salt deterministik kural ve sözlük katmanı;</w:t>
      </w:r>
    </w:p>
    <w:p>
      <w:pPr>
        <w:widowControl/>
        <w:spacing w:after="40"/>
        <w:ind w:left="280" w:hanging="180"/>
      </w:pPr>
      <w:r>
        <w:rPr>
          <w:rFonts w:ascii="Arial" w:hAnsi="Arial" w:cs="Arial" w:eastAsia="Arial"/>
          <w:b w:val="0"/>
          <w:i w:val="0"/>
          <w:sz w:val="18"/>
        </w:rPr>
        <w:t xml:space="preserve">•  </w:t>
      </w:r>
      <w:r>
        <w:rPr>
          <w:rFonts w:ascii="Arial" w:hAnsi="Arial" w:cs="Arial" w:eastAsia="Arial"/>
          <w:b w:val="0"/>
          <w:i w:val="0"/>
          <w:sz w:val="18"/>
        </w:rPr>
        <w:t>(b) kısıtsız tek geçişli üretim (alt sınır referansı);</w:t>
      </w:r>
    </w:p>
    <w:p>
      <w:pPr>
        <w:widowControl/>
        <w:spacing w:after="40"/>
        <w:ind w:left="280" w:hanging="180"/>
      </w:pPr>
      <w:r>
        <w:rPr>
          <w:rFonts w:ascii="Arial" w:hAnsi="Arial" w:cs="Arial" w:eastAsia="Arial"/>
          <w:b w:val="0"/>
          <w:i w:val="0"/>
          <w:sz w:val="18"/>
        </w:rPr>
        <w:t xml:space="preserve">•  </w:t>
      </w:r>
      <w:r>
        <w:rPr>
          <w:rFonts w:ascii="Arial" w:hAnsi="Arial" w:cs="Arial" w:eastAsia="Arial"/>
          <w:b w:val="0"/>
          <w:i w:val="0"/>
          <w:sz w:val="18"/>
        </w:rPr>
        <w:t>(b2) LİTERATÜR TABANI - şemaya bağlanmış, geri getirmeyle güçlendirilmiş, öz-eleştirili tek geçişli üretim [11][12][13];</w:t>
      </w:r>
    </w:p>
    <w:p>
      <w:pPr>
        <w:widowControl/>
        <w:spacing w:after="40"/>
        <w:ind w:left="280" w:hanging="180"/>
      </w:pPr>
      <w:r>
        <w:rPr>
          <w:rFonts w:ascii="Arial" w:hAnsi="Arial" w:cs="Arial" w:eastAsia="Arial"/>
          <w:b w:val="0"/>
          <w:i w:val="0"/>
          <w:sz w:val="18"/>
        </w:rPr>
        <w:t xml:space="preserve">•  </w:t>
      </w:r>
      <w:r>
        <w:rPr>
          <w:rFonts w:ascii="Arial" w:hAnsi="Arial" w:cs="Arial" w:eastAsia="Arial"/>
          <w:b w:val="0"/>
          <w:i w:val="0"/>
          <w:sz w:val="18"/>
        </w:rPr>
        <w:t>(c) kapalı-küme seçici ve kanıt-alıntı kısıtlarıyla donatılmış hibrit.</w:t>
      </w:r>
    </w:p>
    <w:p>
      <w:pPr>
        <w:widowControl/>
        <w:spacing w:after="60"/>
        <w:jc w:val="both"/>
      </w:pPr>
      <w:r>
        <w:rPr>
          <w:rFonts w:ascii="Arial" w:hAnsi="Arial" w:cs="Arial" w:eastAsia="Arial"/>
          <w:b w:val="0"/>
          <w:i w:val="0"/>
          <w:sz w:val="18"/>
        </w:rPr>
        <w:t>H1'in BİRİNCİL kontrastı (c)-(b2)'dir; (b) kolu kısıtın toplam etkisini görünür kılan alt sınır referansıdır. Bağımsız değişken 2, karakter düzeyi girdi bozulmasıdır (temiz / orta / yüksek). Aynı 240 belge on iki koşulda işlenir: 240 x 4 x 3 = 2.880 gözlem.</w:t>
      </w:r>
    </w:p>
    <w:p>
      <w:pPr>
        <w:widowControl/>
        <w:spacing w:after="60"/>
        <w:jc w:val="both"/>
      </w:pPr>
      <w:r>
        <w:rPr>
          <w:rFonts w:ascii="Arial" w:hAnsi="Arial" w:cs="Arial" w:eastAsia="Arial"/>
          <w:b w:val="0"/>
          <w:i w:val="0"/>
          <w:sz w:val="18"/>
        </w:rPr>
        <w:t>SAĞLAYICI BLOĞU: Sağlayıcı yalnız model içeren kollara uygulanabildiğinden desen KISMEN ÇAPRAZLANMIŞtır. Blok, 80 belgelik alt kümede iki ek sağlayıcıda tekrarlanır (80 x 3 x 3 x 2 = 1.440 ek gözlem); toplam 4.320 gözlemin 720'si deterministik, 3.600'ü model çağrılıdır ve sağlayıcı x mimari etkileşimi olabilirlik-oranı testiyle sınanır.</w:t>
      </w:r>
    </w:p>
    <w:p>
      <w:pPr>
        <w:widowControl/>
        <w:spacing w:after="60"/>
        <w:jc w:val="both"/>
      </w:pPr>
      <w:r>
        <w:rPr>
          <w:rFonts w:ascii="Arial" w:hAnsi="Arial" w:cs="Arial" w:eastAsia="Arial"/>
          <w:b w:val="0"/>
          <w:i w:val="0"/>
          <w:sz w:val="18"/>
        </w:rPr>
        <w:t>D2 - Ölçüm geçerliliği çalışması. Dayanaklılığı yargılayan otomatik doğrulayıcı, sistemin kararını görmeyen üç bağımsız uzman etiketleyicinin yargısıyla karşılaştırılır; altın ölçüt insan etiketidir [7].</w:t>
      </w:r>
    </w:p>
    <w:p>
      <w:pPr>
        <w:widowControl/>
        <w:spacing w:after="60"/>
        <w:jc w:val="both"/>
      </w:pPr>
      <w:r>
        <w:rPr>
          <w:rFonts w:ascii="Arial" w:hAnsi="Arial" w:cs="Arial" w:eastAsia="Arial"/>
          <w:b w:val="0"/>
          <w:i w:val="0"/>
          <w:sz w:val="18"/>
        </w:rPr>
        <w:t>D3 - Doğrulama kapısı sıkılığının 9 noktalı süpürmesi ve rol-tanımlı müzakerenin tur ablasyonu (0/1/2/3 tur ve üç rol-çıkarma koşulu), tekrarlı ölçüm deseniyle.</w:t>
      </w:r>
    </w:p>
    <w:p>
      <w:pPr>
        <w:widowControl/>
        <w:spacing w:after="60"/>
        <w:jc w:val="both"/>
      </w:pPr>
      <w:r>
        <w:rPr>
          <w:rFonts w:ascii="Arial" w:hAnsi="Arial" w:cs="Arial" w:eastAsia="Arial"/>
          <w:b w:val="0"/>
          <w:i w:val="0"/>
          <w:sz w:val="18"/>
        </w:rPr>
        <w:t>D4 - İnsan gözetiminin etkinliği (katılımcı-içi, 4 koşul). K0: sistem çıktısı yok (statü-quo tabanı); K1: gerekçesiz öneri; K2: kaynağa tıklanabilir dayanaklı öneri; K3: dayanak + ölçülmüş isabete kalibre güven bandı. Sıra 4 x 4 dengelenmiş Latin kare ile karşı-dengelenir; 32 katılımcı, sıra başına 8 kişi, katılımcı başına 24 deneme (ilk ikisi ısınma). H7'nin birincil kontrastı K0'a karşı K1, K2 ve K3'tür.</w:t>
      </w:r>
    </w:p>
    <w:p>
      <w:pPr>
        <w:widowControl/>
        <w:spacing w:after="60"/>
        <w:jc w:val="both"/>
      </w:pPr>
      <w:r>
        <w:rPr>
          <w:rFonts w:ascii="Arial" w:hAnsi="Arial" w:cs="Arial" w:eastAsia="Arial"/>
          <w:b w:val="0"/>
          <w:i w:val="0"/>
          <w:sz w:val="18"/>
        </w:rPr>
        <w:t>Tasarımı yazılım kabul testinden ayıran üç öge: (i) tüm birincil hipotezler, onaylayıcı test ailesi ve analiz planı veri toplanmadan önce sürüm damgalı bir ön-kayıt dosyasına kilitlenir; (ii) insan etiketlemesi ve kullanıcı deneyi körlenir; (iii) bağımsız replikasyon kümesi yalnız son doğrulayıcı sınamada açılır [10].</w:t>
      </w:r>
    </w:p>
    <w:p>
      <w:pPr>
        <w:keepNext/>
        <w:widowControl/>
        <w:spacing w:before="180" w:after="60"/>
      </w:pPr>
      <w:r>
        <w:rPr>
          <w:rFonts w:ascii="Arial" w:hAnsi="Arial" w:cs="Arial" w:eastAsia="Arial"/>
          <w:b/>
          <w:i w:val="0"/>
          <w:color w:val="1F3864"/>
          <w:sz w:val="18"/>
        </w:rPr>
        <w:t>2.2 VERİ KÜMESİ VE ÖRNEKLEME</w:t>
      </w:r>
    </w:p>
    <w:p>
      <w:pPr>
        <w:widowControl/>
        <w:spacing w:after="60"/>
        <w:jc w:val="both"/>
      </w:pPr>
      <w:r>
        <w:rPr>
          <w:rFonts w:ascii="Arial" w:hAnsi="Arial" w:cs="Arial" w:eastAsia="Arial"/>
          <w:b w:val="0"/>
          <w:i w:val="0"/>
          <w:sz w:val="18"/>
        </w:rPr>
        <w:t>Belge deneylerinde (İP2, İP4, İP6 ve İP3'ün otomatik bileşeni) hiçbir gerçek kişiye ait veri işlenmez; evrakın tamamı sentetiktir. Gerçek kamu evrakı, kişi adı, kimlik numarası, telefon veya adres kullanılmaz; ad ve numaralar sahtedir. Mevzuat kamuya açıktır.</w:t>
      </w:r>
    </w:p>
    <w:p>
      <w:pPr>
        <w:widowControl/>
        <w:spacing w:after="60"/>
        <w:jc w:val="both"/>
      </w:pPr>
      <w:r>
        <w:rPr>
          <w:rFonts w:ascii="Arial" w:hAnsi="Arial" w:cs="Arial" w:eastAsia="Arial"/>
          <w:b w:val="0"/>
          <w:i w:val="0"/>
          <w:sz w:val="18"/>
        </w:rPr>
        <w:t>İnsan katılımlı iş paketlerinde (İP3, İP5) 6698 sayılı Kişisel Verilerin Korunması Kanunu kapsamında kişisel veri işlenecektir: mesleki deneyim düzeyi, hata yakalama kararları, karar süresi, öznel güven puanı. Veriler takma-adlaştırılmış kodla toplanır; kod-kimlik anahtarı ayrı tutulur, analiz kümesine girmez, proje sonunda imha edilir. Kanun m.10 kapsamında aydınlatma yapılır ve açık rıza yazılı alınır.</w:t>
      </w:r>
    </w:p>
    <w:p>
      <w:pPr>
        <w:widowControl/>
        <w:spacing w:after="60"/>
        <w:jc w:val="both"/>
      </w:pPr>
      <w:r>
        <w:rPr>
          <w:rFonts w:ascii="Arial" w:hAnsi="Arial" w:cs="Arial" w:eastAsia="Arial"/>
          <w:b w:val="0"/>
          <w:i w:val="0"/>
          <w:sz w:val="18"/>
        </w:rPr>
        <w:t>On dokuz elemanlı kapalı tür kümesi ekip tarafından türetilmemiştir: resmî yazışma usul ve esaslarına ilişkin yönetmeliğin belge türü hükümleri ile standart dosya planı başlıkları çapa alınarak kurulmuş, kümenin dış kaynakla eşleme tablosu ön-kayıt ekinde yayımlanır; etiket uzayı belge üretecinden ayrı ve ondan ÖNCE kilitlenir.</w:t>
      </w:r>
    </w:p>
    <w:p>
      <w:pPr>
        <w:widowControl/>
        <w:spacing w:after="60"/>
        <w:jc w:val="both"/>
      </w:pPr>
      <w:r>
        <w:rPr>
          <w:rFonts w:ascii="Arial" w:hAnsi="Arial" w:cs="Arial" w:eastAsia="Arial"/>
          <w:b w:val="0"/>
          <w:i w:val="0"/>
          <w:sz w:val="18"/>
        </w:rPr>
        <w:t>Örnekleme katmanlıdır: 19 elemanlı kapalı küme (18 evrak türü + çekimserlik) x 3 zorluk düzeyi çaprazında her hücrede en az 4 belge; tek/çok konulu oran 3:1; eksik zorunlu alan içeren belge oranı %40. Ana kümenin %20'si (48 belge) hedef birimi kapalı kümenin DIŞINDA kalacak biçimde tasarlanır ve H9 için ön-kayıtta ilan edilir. Ana küme n = 240, replikasyon kümesi n = 120; dış geçerlilik için ayrıca kurumların resmî sitelerindeki, kişisel veri içermeyen örnek yazılardan 12 kurum türünde 60 belge alınır. Küme yaygın etki çıktısıdır: ölçüm gelenekleri İngilizce ve görsel-form odaklıdır [1][2]; Türkçe idari yazışmaya en yakın çalışma tek kurumda 169 belgeyle sınırlı ve paylaşılmamıştır [6].</w:t>
      </w:r>
    </w:p>
    <w:p>
      <w:pPr>
        <w:widowControl/>
        <w:spacing w:after="60"/>
        <w:jc w:val="both"/>
      </w:pPr>
      <w:r>
        <w:rPr>
          <w:rFonts w:ascii="Arial" w:hAnsi="Arial" w:cs="Arial" w:eastAsia="Arial"/>
          <w:b w:val="0"/>
          <w:i w:val="0"/>
          <w:sz w:val="18"/>
        </w:rPr>
        <w:t>SIZINTI DENETİMİ: Ön çalışmanın 108 belgelik kümesi ile 240 ve 120 belgelik kümeler belge kimlikleriyle denetlenerek tamamen ayrık tutulur; altın etiketler, sezgisel kuralları yazan kişiden farklı bir ekip üyesince ve ayrık bir sözlükle kurulur. Gerekçe 2.7'deki sızıntı bulgusudur.</w:t>
      </w:r>
    </w:p>
    <w:p>
      <w:pPr>
        <w:widowControl/>
        <w:spacing w:after="60"/>
        <w:jc w:val="both"/>
      </w:pPr>
      <w:r>
        <w:rPr>
          <w:rFonts w:ascii="Arial" w:hAnsi="Arial" w:cs="Arial" w:eastAsia="Arial"/>
          <w:b w:val="0"/>
          <w:i w:val="0"/>
          <w:sz w:val="18"/>
        </w:rPr>
        <w:t>ETİKETLEME PROTOKOLÜ: 300 iddia, ekip dışından hizmet alımıyla üç bağımsız etiketleyiciye, en az 60 farklı belgeden seçilerek tam çapraz sunulur; etiketleyiciler kaynak belgeyi görür, sistemin kararını görmez. Altın ölçüt model-hakem değil insan yargısıdır: model-hakem konum ve öz-yüceltme yanlılıkları taşır [14].</w:t>
      </w:r>
    </w:p>
    <w:p>
      <w:pPr>
        <w:keepNext/>
        <w:widowControl/>
        <w:spacing w:before="180" w:after="60"/>
      </w:pPr>
      <w:r>
        <w:rPr>
          <w:rFonts w:ascii="Arial" w:hAnsi="Arial" w:cs="Arial" w:eastAsia="Arial"/>
          <w:b/>
          <w:i w:val="0"/>
          <w:color w:val="1F3864"/>
          <w:sz w:val="18"/>
        </w:rPr>
        <w:t>2.3 DEĞİŞKENLER</w:t>
      </w:r>
    </w:p>
    <w:p>
      <w:pPr>
        <w:widowControl/>
        <w:spacing w:after="60"/>
      </w:pPr>
      <w:r>
        <w:rPr>
          <w:rFonts w:ascii="Arial" w:hAnsi="Arial" w:cs="Arial" w:eastAsia="Arial"/>
          <w:b w:val="0"/>
          <w:i w:val="0"/>
          <w:sz w:val="18"/>
        </w:rPr>
        <w:t>Bağımsız (manipüle edilen):</w:t>
      </w:r>
    </w:p>
    <w:p>
      <w:pPr>
        <w:widowControl/>
        <w:spacing w:after="40"/>
        <w:ind w:left="360" w:hanging="360"/>
      </w:pPr>
      <w:r>
        <w:rPr>
          <w:rFonts w:ascii="Arial" w:hAnsi="Arial" w:cs="Arial" w:eastAsia="Arial"/>
          <w:b/>
          <w:i w:val="0"/>
          <w:sz w:val="18"/>
        </w:rPr>
        <w:t xml:space="preserve">(1) </w:t>
      </w:r>
      <w:r>
        <w:rPr>
          <w:rFonts w:ascii="Arial" w:hAnsi="Arial" w:cs="Arial" w:eastAsia="Arial"/>
          <w:b w:val="0"/>
          <w:i w:val="0"/>
          <w:sz w:val="18"/>
        </w:rPr>
        <w:t>Karar kaynağı mimarisi - 4 seviye, 2.1'deki (a), (b), (b2) ve (c) kolları; sınıflayıcı.</w:t>
      </w:r>
    </w:p>
    <w:p>
      <w:pPr>
        <w:widowControl/>
        <w:spacing w:after="40"/>
        <w:ind w:left="360" w:hanging="360"/>
        <w:jc w:val="both"/>
      </w:pPr>
      <w:r>
        <w:rPr>
          <w:rFonts w:ascii="Arial" w:hAnsi="Arial" w:cs="Arial" w:eastAsia="Arial"/>
          <w:b/>
          <w:i w:val="0"/>
          <w:sz w:val="18"/>
        </w:rPr>
        <w:t xml:space="preserve">(2) </w:t>
      </w:r>
      <w:r>
        <w:rPr>
          <w:rFonts w:ascii="Arial" w:hAnsi="Arial" w:cs="Arial" w:eastAsia="Arial"/>
          <w:b w:val="0"/>
          <w:i w:val="0"/>
          <w:sz w:val="18"/>
        </w:rPr>
        <w:t>Girdi bozulma düzeyi - 3 seviye, sıralı; en yüksek seviye İP1'de en az 50 belgede ölçülecek ortalama karakter hata oranına çapalanır; ön çalışmadaki 0,1123 yalnız üç belgeden geldiğinden KİLİTLENMEMİŞTİR ve ön-kayıt seviyeyi gözlenen ortalama ile %95 güven aralığıyla sabitler.</w:t>
      </w:r>
    </w:p>
    <w:p>
      <w:pPr>
        <w:widowControl/>
        <w:spacing w:after="40"/>
        <w:ind w:left="360" w:hanging="360"/>
      </w:pPr>
      <w:r>
        <w:rPr>
          <w:rFonts w:ascii="Arial" w:hAnsi="Arial" w:cs="Arial" w:eastAsia="Arial"/>
          <w:b/>
          <w:i w:val="0"/>
          <w:sz w:val="18"/>
        </w:rPr>
        <w:t xml:space="preserve">(3) </w:t>
      </w:r>
      <w:r>
        <w:rPr>
          <w:rFonts w:ascii="Arial" w:hAnsi="Arial" w:cs="Arial" w:eastAsia="Arial"/>
          <w:b w:val="0"/>
          <w:i w:val="0"/>
          <w:sz w:val="18"/>
        </w:rPr>
        <w:t>Kaynak-dayanak doğrulama kapısı - açık/kapalı, ayrıca 9 noktalı sıkılık eşiği.</w:t>
      </w:r>
    </w:p>
    <w:p>
      <w:pPr>
        <w:widowControl/>
        <w:spacing w:after="40"/>
        <w:ind w:left="360" w:hanging="360"/>
      </w:pPr>
      <w:r>
        <w:rPr>
          <w:rFonts w:ascii="Arial" w:hAnsi="Arial" w:cs="Arial" w:eastAsia="Arial"/>
          <w:b/>
          <w:i w:val="0"/>
          <w:sz w:val="18"/>
        </w:rPr>
        <w:t xml:space="preserve">(4) </w:t>
      </w:r>
      <w:r>
        <w:rPr>
          <w:rFonts w:ascii="Arial" w:hAnsi="Arial" w:cs="Arial" w:eastAsia="Arial"/>
          <w:b w:val="0"/>
          <w:i w:val="0"/>
          <w:sz w:val="18"/>
        </w:rPr>
        <w:t>Müzakere yoğunluğu - tur sayısı 4 seviye (0-3), rol kümesi 4 seviye (tam kadro + üç rol-çıkarma).</w:t>
      </w:r>
    </w:p>
    <w:p>
      <w:pPr>
        <w:widowControl/>
        <w:spacing w:after="40"/>
        <w:ind w:left="360" w:hanging="360"/>
      </w:pPr>
      <w:r>
        <w:rPr>
          <w:rFonts w:ascii="Arial" w:hAnsi="Arial" w:cs="Arial" w:eastAsia="Arial"/>
          <w:b/>
          <w:i w:val="0"/>
          <w:sz w:val="18"/>
        </w:rPr>
        <w:t xml:space="preserve">(5) </w:t>
      </w:r>
      <w:r>
        <w:rPr>
          <w:rFonts w:ascii="Arial" w:hAnsi="Arial" w:cs="Arial" w:eastAsia="Arial"/>
          <w:b w:val="0"/>
          <w:i w:val="0"/>
          <w:sz w:val="18"/>
        </w:rPr>
        <w:t>Arayüzün sunduğu gerekçe düzeyi - 4 seviye (K0-K3).</w:t>
      </w:r>
    </w:p>
    <w:p>
      <w:pPr>
        <w:widowControl/>
        <w:spacing w:after="40"/>
        <w:ind w:left="360" w:hanging="360"/>
      </w:pPr>
      <w:r>
        <w:rPr>
          <w:rFonts w:ascii="Arial" w:hAnsi="Arial" w:cs="Arial" w:eastAsia="Arial"/>
          <w:b/>
          <w:i w:val="0"/>
          <w:sz w:val="18"/>
        </w:rPr>
        <w:t xml:space="preserve">(6) </w:t>
      </w:r>
      <w:r>
        <w:rPr>
          <w:rFonts w:ascii="Arial" w:hAnsi="Arial" w:cs="Arial" w:eastAsia="Arial"/>
          <w:b w:val="0"/>
          <w:i w:val="0"/>
          <w:sz w:val="18"/>
        </w:rPr>
        <w:t>Model sağlayıcı - 3 seviye, blok değişkeni (varsayım 2.1'de sınanır).</w:t>
      </w:r>
    </w:p>
    <w:p>
      <w:pPr>
        <w:widowControl/>
        <w:spacing w:after="60"/>
        <w:jc w:val="both"/>
      </w:pPr>
      <w:r>
        <w:rPr>
          <w:rFonts w:ascii="Arial" w:hAnsi="Arial" w:cs="Arial" w:eastAsia="Arial"/>
          <w:b w:val="0"/>
          <w:i w:val="0"/>
          <w:sz w:val="18"/>
        </w:rPr>
        <w:t>Bağımlı (ölçülen) - ön-kayıtta 13 değişken olarak kilitlenir: (1) evrak türü sınıflandırma başarımı; (2) hedef birim ilk-sıra isabeti; (3) eksik zorunlu alan tespiti; (4) iddia düzeyi dayanaksızlık oranı; (5) yanlış-veto oranı; (6) otomatik doğrulayıcı ile insan yargısı uyumu; (7) tohumlanmış hatayı yakalama oranı; (8) belge başına karar süresi (logaritmik); (9) gereksiz reddetme oranı; (10) öznel güven (1-7); (11) uçtan uca gecikme (p50, p95); (12) belge başına işlem maliyeti; (13) geçersiz çıktı oranı. BİRİNCİL değişkenler (1), (2), (3) ve (4)'tür; kalan dokuzu ikincildir, ölçütleri 2.5'tedir.</w:t>
      </w:r>
    </w:p>
    <w:p>
      <w:pPr>
        <w:widowControl/>
        <w:spacing w:after="60"/>
        <w:jc w:val="both"/>
      </w:pPr>
      <w:r>
        <w:rPr>
          <w:rFonts w:ascii="Arial" w:hAnsi="Arial" w:cs="Arial" w:eastAsia="Arial"/>
          <w:b w:val="0"/>
          <w:i w:val="0"/>
          <w:sz w:val="18"/>
        </w:rPr>
        <w:t>Kontrol / sabit tutulan: Sabit tutulan şey istem ve şema değil, GÖREV TANIMI ile BİLGİ ERİŞİMİDİR. Dört kol da aynı görev yönergesini, kaynak belgeyi ve erişim çıktısını alır; jeton bütçesi, sıcaklık ve tohum aynıdır, değişen tek şey KISIT düzeyidir. İstem metinleri ön-kayıt ekinde yayımlanır ve sözcük farkı %10'u aşmaz (manipülasyon kontrolü); belge uzunluğu ortak, zorluk düzeyi katman değişkenidir; kişisel veri maskeleme tüm koşullarda açıktır.</w:t>
      </w:r>
    </w:p>
    <w:p>
      <w:pPr>
        <w:widowControl/>
        <w:spacing w:after="60"/>
        <w:jc w:val="both"/>
      </w:pPr>
      <w:r>
        <w:rPr>
          <w:rFonts w:ascii="Arial" w:hAnsi="Arial" w:cs="Arial" w:eastAsia="Arial"/>
          <w:b w:val="0"/>
          <w:i w:val="0"/>
          <w:sz w:val="18"/>
        </w:rPr>
        <w:t>GEÇERSİZ ÇIKTI: Ayrıştırılamayan veya kapalı küme dışına çıkan çıktı birincil analizlerde YANLIŞ kodlanır (niyet-tedavi ilkesi), oranı ikincil değişkendir.</w:t>
      </w:r>
    </w:p>
    <w:p>
      <w:pPr>
        <w:keepNext/>
        <w:widowControl/>
        <w:spacing w:before="180" w:after="60"/>
      </w:pPr>
      <w:r>
        <w:rPr>
          <w:rFonts w:ascii="Arial" w:hAnsi="Arial" w:cs="Arial" w:eastAsia="Arial"/>
          <w:b/>
          <w:i w:val="0"/>
          <w:color w:val="1F3864"/>
          <w:sz w:val="18"/>
        </w:rPr>
        <w:t>2.4 UYGULANACAK YÖNTEM VE TEKNİKLER</w:t>
      </w:r>
    </w:p>
    <w:p>
      <w:pPr>
        <w:widowControl/>
        <w:spacing w:after="60"/>
        <w:jc w:val="both"/>
      </w:pPr>
      <w:r>
        <w:rPr>
          <w:rFonts w:ascii="Arial" w:hAnsi="Arial" w:cs="Arial" w:eastAsia="Arial"/>
          <w:b w:val="0"/>
          <w:i w:val="0"/>
          <w:sz w:val="18"/>
        </w:rPr>
        <w:t>Çekirdek, koşullu kenarlı ve kısmen paralel bir çok-ajanlı yürütme grafıdır; çok-ajanlı düzenleme olgusal doğruluğu artırır [15], ancak orada ölçüm birimi nihai cevaptır. Belge üretiminde asıl soru eleştirilerin revizyondan sonra kapanmasıdır: müzakere motoru revize metni yeniden ölçer ve bulguları düşen / direnen / yeni doğan olarak defterler (D3).</w:t>
      </w:r>
    </w:p>
    <w:p>
      <w:pPr>
        <w:widowControl/>
        <w:spacing w:after="60"/>
        <w:jc w:val="both"/>
      </w:pPr>
      <w:r>
        <w:rPr>
          <w:rFonts w:ascii="Arial" w:hAnsi="Arial" w:cs="Arial" w:eastAsia="Arial"/>
          <w:b w:val="0"/>
          <w:i w:val="0"/>
          <w:sz w:val="18"/>
        </w:rPr>
        <w:t>Anlama ve üretim düğümleri büyük dil modeli (BDM) tabanlıdır ve her birinin deterministik yedeği vardır. Türkçenin sondan eklemeli yapısının ölçülmüş etkisi [3] ve alanın yapısal zorlukları [4] nedeniyle dile özgü kırılma noktaları (noktalı/noktasız i, çekim kökü eşleştirme, resmî üslup) ayrı ölçütlere bağlanır; Türkçe alan-uyarlaması hukuk metinlerinde yoğunlaşmakta [5], idari yazışma kapsam dışı kalmaktadır.</w:t>
      </w:r>
    </w:p>
    <w:p>
      <w:pPr>
        <w:widowControl/>
        <w:spacing w:after="60"/>
        <w:jc w:val="both"/>
      </w:pPr>
      <w:r>
        <w:rPr>
          <w:rFonts w:ascii="Arial" w:hAnsi="Arial" w:cs="Arial" w:eastAsia="Arial"/>
          <w:b w:val="0"/>
          <w:i w:val="0"/>
          <w:sz w:val="18"/>
        </w:rPr>
        <w:t>Mevzuat erişimi olasılıksal seyrek erişim ağırlıklandırmasıyla yapılır; üzerine geri getirmeyle güçlendirilmiş üretimin [11] iki katmanı biner: düzeltmeli erişim [13] ve uyarlanabilir erişim [12]. Birincil erişim sinyali deterministiktir; BDM yalnız yeniden sıralar veya doğrular.</w:t>
      </w:r>
    </w:p>
    <w:p>
      <w:pPr>
        <w:widowControl/>
        <w:spacing w:after="60"/>
        <w:jc w:val="both"/>
      </w:pPr>
      <w:r>
        <w:rPr>
          <w:rFonts w:ascii="Arial" w:hAnsi="Arial" w:cs="Arial" w:eastAsia="Arial"/>
          <w:b w:val="0"/>
          <w:i w:val="0"/>
          <w:sz w:val="18"/>
        </w:rPr>
        <w:t>Dayanaklılık bir mimari kısıttır: taslaktaki somut çapalar (sayı, tarih, ad, mevzuat atfı, hüküm iddiası) kaynakta aranır, doğrulanamayan çapa üretime geçmez; BDM yalnız çapa referanslı öneri verir, değişikliği deterministik kod uygular. Öz-doğrulama uydurmayı azaltır [8], fakat geri getirme tek başına hukuki alanda uydurmayı ortadan kaldırmaz [9][10]. Kamu yönetimi alanyazını insan gözetimini normatif savunmakta [16][17], etkinliğini müdahale değişkeni olarak sınamamaktadır; D4 bu boşluğu hedefler.</w:t>
      </w:r>
    </w:p>
    <w:p>
      <w:pPr>
        <w:keepNext/>
        <w:widowControl/>
        <w:spacing w:before="180" w:after="60"/>
      </w:pPr>
      <w:r>
        <w:rPr>
          <w:rFonts w:ascii="Arial" w:hAnsi="Arial" w:cs="Arial" w:eastAsia="Arial"/>
          <w:b/>
          <w:i w:val="0"/>
          <w:color w:val="1F3864"/>
          <w:sz w:val="18"/>
        </w:rPr>
        <w:t>2.5 DEĞERLENDİRME ÖLÇÜTLERİ</w:t>
      </w:r>
    </w:p>
    <w:p>
      <w:pPr>
        <w:widowControl/>
        <w:spacing w:after="60"/>
        <w:jc w:val="both"/>
      </w:pPr>
      <w:r>
        <w:rPr>
          <w:rFonts w:ascii="Arial" w:hAnsi="Arial" w:cs="Arial" w:eastAsia="Arial"/>
          <w:b w:val="0"/>
          <w:i w:val="0"/>
          <w:sz w:val="18"/>
        </w:rPr>
        <w:t>Ölçüt-değişken eşlemesi: tür sınıflandırma - makro-F1; eksik alan tespiti - F_beta (beta = 2, ön-kayıtta gerekçelendirilir), kesinlik, geri çağırma; birim yönlendirme - ilk-sıra, ilk-üç, MRR; girdi bozulması - Levenshtein tabanlı CER ve WER; değerlendirici uyumu - Cohen kappa, Krippendorff alfa, Gwet AC1; ayırt edicilik - ROC eğrisi altındaki alan. Oranlar Wilson skor %95 güven aralığıyla, bileşik ölçüler 2.000 yeniden örneklemeli BCa önyükleme aralığıyla verilir.</w:t>
      </w:r>
    </w:p>
    <w:p>
      <w:pPr>
        <w:widowControl/>
        <w:spacing w:after="60"/>
        <w:jc w:val="both"/>
      </w:pPr>
      <w:r>
        <w:rPr>
          <w:rFonts w:ascii="Arial" w:hAnsi="Arial" w:cs="Arial" w:eastAsia="Arial"/>
          <w:b w:val="0"/>
          <w:i w:val="0"/>
          <w:sz w:val="18"/>
        </w:rPr>
        <w:t>KATMANLI RAPORLAMA: H1'in birincil karşılaştırması iki katmanda verilir; Katman A ayrıştırılamayan çıktıyı yanlış sayar, Katman B aynı testi yalnız iki kolun da geçerli çıktı ürettiği alt kümede tekrarlar. Önceden bağlayıcı kural: Katman A'daki üstünlük Katman B'de kaybolursa bulgu anlamsal katkı DEĞİL biçim dayatması sayılır ve yayımlanır.</w:t>
      </w:r>
    </w:p>
    <w:p>
      <w:pPr>
        <w:widowControl/>
        <w:spacing w:after="60"/>
        <w:jc w:val="both"/>
      </w:pPr>
      <w:r>
        <w:rPr>
          <w:rFonts w:ascii="Arial" w:hAnsi="Arial" w:cs="Arial" w:eastAsia="Arial"/>
          <w:b w:val="0"/>
          <w:i w:val="0"/>
          <w:sz w:val="18"/>
        </w:rPr>
        <w:t>ZAYIFLATMA TAVANI: Krippendorff alfanın kümelenmiş önyükleme %95 alt sınırı 0,67'yi aşmazsa H4 "kararsız" ilan edilir ve buna dayanan ikincil çıkarımlar geri çekilir; birincil karar ölçütü, insan-insan uyumuna göre normalize edilmiş uyum oranının önyükleme %95 alt sınırının 0,75'i aşmasıdır.</w:t>
      </w:r>
    </w:p>
    <w:p>
      <w:pPr>
        <w:widowControl/>
        <w:spacing w:after="60"/>
        <w:jc w:val="both"/>
      </w:pPr>
      <w:r>
        <w:rPr>
          <w:rFonts w:ascii="Arial" w:hAnsi="Arial" w:cs="Arial" w:eastAsia="Arial"/>
          <w:b w:val="0"/>
          <w:i w:val="0"/>
          <w:sz w:val="18"/>
        </w:rPr>
        <w:t>KÜMELENME DÜZELTMESİ: Güven aralıkları belge düzeyinde kümelenmiş önyükleme (2.000 tekrar) ile hesaplanır; etkin örneklem DEFF = 1 + (m - 1) x ICC ile düzeltilir (ICC İP1 pilotunda kestirilecek; ICC = 0,20 ve m = 5 varsayımında DEFF = 1,8).</w:t>
      </w:r>
    </w:p>
    <w:p>
      <w:pPr>
        <w:keepNext/>
        <w:widowControl/>
        <w:spacing w:before="180" w:after="60"/>
      </w:pPr>
      <w:r>
        <w:rPr>
          <w:rFonts w:ascii="Arial" w:hAnsi="Arial" w:cs="Arial" w:eastAsia="Arial"/>
          <w:b/>
          <w:i w:val="0"/>
          <w:color w:val="1F3864"/>
          <w:sz w:val="18"/>
        </w:rPr>
        <w:t>2.6 İSTATİSTİKSEL ANALİZ</w:t>
      </w:r>
    </w:p>
    <w:p>
      <w:pPr>
        <w:keepNext/>
        <w:widowControl/>
        <w:spacing w:before="180" w:after="60"/>
      </w:pPr>
      <w:r>
        <w:rPr>
          <w:rFonts w:ascii="Arial" w:hAnsi="Arial" w:cs="Arial" w:eastAsia="Arial"/>
          <w:b/>
          <w:i w:val="0"/>
          <w:color w:val="1F3864"/>
          <w:sz w:val="18"/>
        </w:rPr>
        <w:t>HİPOTEZ-TEST EŞLEME TABLOSU</w:t>
      </w:r>
    </w:p>
    <w:tbl>
      <w:tblPr>
        <w:tblW w:type="auto" w:w="0"/>
        <w:jc w:val="left"/>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Hipotez</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Deney</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Bağımsız değişken (seviye)</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Birincil bağımlı değişken</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Test ve karar kuralı</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1F3864"/>
          </w:tcPr>
          <w:p>
            <w:pPr>
              <w:widowControl/>
              <w:spacing w:after="20" w:before="20"/>
            </w:pPr>
            <w:r>
              <w:rPr>
                <w:rFonts w:ascii="Arial" w:hAnsi="Arial" w:cs="Arial" w:eastAsia="Arial"/>
                <w:b/>
                <w:i w:val="0"/>
                <w:color w:val="FFFFFF"/>
                <w:sz w:val="15"/>
              </w:rPr>
              <w:t>İP</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H1</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D1</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Mimari (4)</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Tür / birim / eksik alan</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Kesin McNemar; Holm, kapı 1</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İP2</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i w:val="0"/>
                <w:color w:val="1F3864"/>
                <w:sz w:val="15"/>
              </w:rPr>
              <w:t>H2</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D1</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Mimari (4) x Bozulma (3)</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Belge düzeyi doğru/yanlış</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Karma etkili lojistik regresyonda etkileşim terimi, olabilirlik-oranı testi; doğrulayıcı GEE</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İP2</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H3</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D1</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Bozulma (3, sıralı)</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Belge düzeyi doğru/yanlış</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Jonckheere-Terpstra eğilim testi + parçalı lojistik regresyon</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İP2</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i w:val="0"/>
                <w:color w:val="1F3864"/>
                <w:sz w:val="15"/>
              </w:rPr>
              <w:t>H4</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D2</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(ölçüm geçerliliği)</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Otomatik-insan uyumu</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Kümelenmiş önyüklemeli kappa/alfa; normalize oran alt sınırı &gt; 0,75</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İP3</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H5</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D3</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Kapı (açık/kapalı; 9 eşik)</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Dayanaksızlık oranı; yanlış-veto</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Kesin McNemar + iki tek yönlü test (TOST, delta=0,05); eşleştirilmiş DeLong</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İP4</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i w:val="0"/>
                <w:color w:val="1F3864"/>
                <w:sz w:val="15"/>
              </w:rPr>
              <w:t>H6</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D3</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Tur (4), rol kümesi (4)</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Belge başına bulgu sayısı</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Cochran Q; Friedman + Holm düzeltmeli Wilcoxon; doygunluk karma Poisson kontrastlarıyla</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İP4</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H7</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D4</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Gerekçe düzeyi (4, K0 dâhil)</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Yakalama oranı</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Karma etkili lojistik regresyon, K0'a karşı kontrastlar</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İP5</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i w:val="0"/>
                <w:color w:val="1F3864"/>
                <w:sz w:val="15"/>
              </w:rPr>
              <w:t>H8</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D4</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Gerekçe düzeyi (4)</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Gereksiz reddetme oranı</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TOST (delta=0,05)</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İP5</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H9</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D1</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Mimari (4) x hedef küme içi/dışı</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Birim yönlendirme isabeti</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Karma etkili lojistik regresyonda alt grup etkileşimi</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İP2</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i w:val="0"/>
                <w:color w:val="1F3864"/>
                <w:sz w:val="15"/>
              </w:rPr>
              <w:t>H10</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D1/D3</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Mimari (4)</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Belge başına gecikme</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TOST (delta=%20); maliyet betimleyici</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shd w:val="clear" w:color="auto" w:fill="EEF2F8"/>
          </w:tcPr>
          <w:p>
            <w:pPr>
              <w:widowControl/>
              <w:spacing w:after="20" w:before="20"/>
            </w:pPr>
            <w:r>
              <w:rPr>
                <w:rFonts w:ascii="Arial" w:hAnsi="Arial" w:cs="Arial" w:eastAsia="Arial"/>
                <w:b w:val="0"/>
                <w:i w:val="0"/>
                <w:color w:val="111111"/>
                <w:sz w:val="15"/>
              </w:rPr>
              <w:t>İP4</w:t>
            </w:r>
          </w:p>
        </w:tc>
      </w:tr>
      <w:tr>
        <w:trPr>
          <w:cantSplit/>
        </w:trPr>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i w:val="0"/>
                <w:color w:val="1F3864"/>
                <w:sz w:val="15"/>
              </w:rPr>
              <w:t>H11</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D4</w:t>
            </w:r>
          </w:p>
        </w:tc>
        <w:tc>
          <w:tcPr>
            <w:tcW w:type="dxa" w:w="2338"/>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K0'a karşı K3 (yüksek güvenli yanlış alt grubu)</w:t>
            </w:r>
          </w:p>
        </w:tc>
        <w:tc>
          <w:tcPr>
            <w:tcW w:type="dxa" w:w="159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Yakalama oranı</w:t>
            </w:r>
          </w:p>
        </w:tc>
        <w:tc>
          <w:tcPr>
            <w:tcW w:type="dxa" w:w="3702"/>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Karma etkili lojistik regresyon, tek yönlü</w:t>
            </w:r>
          </w:p>
        </w:tc>
        <w:tc>
          <w:tcPr>
            <w:tcW w:type="dxa" w:w="555"/>
            <w:tcBorders>
              <w:top w:val="single" w:sz="4" w:color="8EA9DB"/>
              <w:left w:val="single" w:sz="4" w:color="8EA9DB"/>
              <w:bottom w:val="single" w:sz="4" w:color="8EA9DB"/>
              <w:right w:val="single" w:sz="4" w:color="8EA9DB"/>
            </w:tcBorders>
            <w:tcMar>
              <w:top w:w="30" w:type="dxa"/>
              <w:bottom w:w="30" w:type="dxa"/>
              <w:start w:w="70" w:type="dxa"/>
              <w:end w:w="70" w:type="dxa"/>
            </w:tcMar>
          </w:tcPr>
          <w:p>
            <w:pPr>
              <w:widowControl/>
              <w:spacing w:after="20" w:before="20"/>
            </w:pPr>
            <w:r>
              <w:rPr>
                <w:rFonts w:ascii="Arial" w:hAnsi="Arial" w:cs="Arial" w:eastAsia="Arial"/>
                <w:b w:val="0"/>
                <w:i w:val="0"/>
                <w:color w:val="111111"/>
                <w:sz w:val="15"/>
              </w:rPr>
              <w:t>İP5</w:t>
            </w:r>
          </w:p>
        </w:tc>
      </w:tr>
    </w:tbl>
    <w:p>
      <w:pPr>
        <w:widowControl/>
        <w:spacing w:after="100"/>
      </w:pPr>
      <w:r>
        <w:rPr>
          <w:rFonts w:ascii="Arial" w:hAnsi="Arial" w:cs="Arial" w:eastAsia="Arial"/>
          <w:b w:val="0"/>
          <w:i w:val="0"/>
          <w:sz w:val="10"/>
        </w:rPr>
      </w:r>
    </w:p>
    <w:p>
      <w:pPr>
        <w:widowControl/>
        <w:spacing w:after="60"/>
      </w:pPr>
      <w:r>
        <w:rPr>
          <w:rFonts w:ascii="Arial" w:hAnsi="Arial" w:cs="Arial" w:eastAsia="Arial"/>
          <w:b w:val="0"/>
          <w:i w:val="0"/>
          <w:sz w:val="18"/>
        </w:rPr>
        <w:t>Eşdeğerlik yalnız TOST ile kurulur; "fark bulunamaması" kanıt sayılmaz.</w:t>
      </w:r>
    </w:p>
    <w:p>
      <w:pPr>
        <w:widowControl/>
        <w:spacing w:after="60"/>
        <w:jc w:val="both"/>
      </w:pPr>
      <w:r>
        <w:rPr>
          <w:rFonts w:ascii="Arial" w:hAnsi="Arial" w:cs="Arial" w:eastAsia="Arial"/>
          <w:b w:val="0"/>
          <w:i w:val="0"/>
          <w:sz w:val="18"/>
        </w:rPr>
        <w:t>ONAYLAYICI TEST AİLESİ VE HİYERARŞİK KAPI: Aile ön-kayıtta kilitlenir; listede olmayan HER test keşifseldir. Aile on altı testtir: H1 için üç bağımlı değişkende birincil kontrast (3), H2 (1), H3 (1), H9 (1), H4 (1), H5 (2), H6 (1), H10 (1), H7 için üç kontrast (3), H8 (1), H11 (1). Kapılar: 1 = H1 (3 test); 2 = H2, H3, H9 - yalnız ilgili bağımlı değişkende H1'in H0'ı reddedilirse; 3 = H4; 4 = H5 - kapı H4'ün eşiğine değil kör insan altın kümesinin tamamlanmasına bağlanır; 5 = H6, H10; 6 = H7; 7 = H8, H11 - yalnız H7 geçerse. Her kapıda Holm-Bonferroni uygulanır, ailesel hata iki yönlü 0,05'te tutulur. Aile dışındaki analizler (ablasyonlar, dokuz eşik, sağlayıcı kırılımları, alt gruplar) düzeltilmemiş p değerleriyle raporlanır.</w:t>
      </w:r>
    </w:p>
    <w:p>
      <w:pPr>
        <w:widowControl/>
        <w:spacing w:after="60"/>
        <w:jc w:val="both"/>
      </w:pPr>
      <w:r>
        <w:rPr>
          <w:rFonts w:ascii="Arial" w:hAnsi="Arial" w:cs="Arial" w:eastAsia="Arial"/>
          <w:b w:val="0"/>
          <w:i w:val="0"/>
          <w:sz w:val="18"/>
        </w:rPr>
        <w:t>GÜÇ ANALİZİ: Birincil hesap, birim yönlendirme ilk-sıra isabeti (eşleştirilmiş ikili sonuç) üzerinde muhafazakâr etki varsayımıyla yapılmıştır (p01 = 0,15; p10 = 0,05; eşleşmiş odds oranı 3,0; mutlak fark 0,10). İki yönlü alfa = 0,05 ve güç 0,80 için kesin McNemar n = 155; Kapı 1'de üç test olduğundan Holm'un en katı basamağında (alfa = 0,0167) n = 207 gerekir. Dışlama payıyla ana küme n = 240 planlanmıştır; saptanabilecek en küçük mutlak fark yaklaşık 9 yüzde puanıdır.</w:t>
      </w:r>
    </w:p>
    <w:p>
      <w:pPr>
        <w:widowControl/>
        <w:spacing w:after="60"/>
        <w:jc w:val="both"/>
      </w:pPr>
      <w:r>
        <w:rPr>
          <w:rFonts w:ascii="Arial" w:hAnsi="Arial" w:cs="Arial" w:eastAsia="Arial"/>
          <w:b w:val="0"/>
          <w:i w:val="0"/>
          <w:sz w:val="18"/>
        </w:rPr>
        <w:t>H2 ve H7 için güç, ön-kayıt kilitlenmeden ÖNCE, sınanacak modelin kendisi üzerinde 1.000 tekrarlı Monte Carlo simülasyonuyla kestirilir (H2'de belge-içi korelasyon 0,50). KARAR KURALI ÖNCEDEN BAĞLAYICIDIR: (i) güç 0,80 veya üzeriyse tasarım değişmez; (ii) 0,70-0,80 aralığındaysa bozulma faktörü üçten ikiye (temiz ve yüksek) iner, boşalan bütçe belge sayısını 240'tan 320'ye çıkarır; (iii) 0,70'in altındaysa H2 keşifsel etiketlenir, yerine 0,80 güçle sınanabilen basit etki hipotezi birincil ilan edilir. Uygulanan dal ön-kayıt geçmişinde tarih damgalıdır.</w:t>
      </w:r>
    </w:p>
    <w:p>
      <w:pPr>
        <w:widowControl/>
        <w:spacing w:after="60"/>
        <w:jc w:val="both"/>
      </w:pPr>
      <w:r>
        <w:rPr>
          <w:rFonts w:ascii="Arial" w:hAnsi="Arial" w:cs="Arial" w:eastAsia="Arial"/>
          <w:b w:val="0"/>
          <w:i w:val="0"/>
          <w:sz w:val="18"/>
        </w:rPr>
        <w:t>H7 simülasyonu, katılımcı ve belge için çapraz rastgele kesişimli karma etkili lojistik model üzerinde koşulur; beklenen yakalama oranları ön-kayıtta ilan edilir (K0 = 0,40; K1 = 0,45; K2 = 0,58; K3 = 0,64), rastgele kesişim standart sapması katılımcı için 0,60, belge için 0,40 varsayılır. Güç K0-K2 kontrastı üzerinde hesaplanır; 0,80'in altındaysa katılımcı başına deneme 24'ten 32'ye, yetmezse katılımcı sayısı 32'den 40'a çıkarılır. Cohen f temelli varyans analizi örneklem gerekçesi olarak KULLANILMAZ. Eşdeğerlik sınanan H8 için gereken n, 0,05 sınırında ön-kayıtta ilan edilir.</w:t>
      </w:r>
    </w:p>
    <w:p>
      <w:pPr>
        <w:widowControl/>
        <w:spacing w:after="60"/>
        <w:jc w:val="both"/>
      </w:pPr>
      <w:r>
        <w:rPr>
          <w:rFonts w:ascii="Arial" w:hAnsi="Arial" w:cs="Arial" w:eastAsia="Arial"/>
          <w:b w:val="0"/>
          <w:i w:val="0"/>
          <w:sz w:val="18"/>
        </w:rPr>
        <w:t>Ölçüm geçerliliği için H0: kappa &lt;= 0,60'a karşı H1: kappa = 0,80, taban yaygınlık 0,25, tek yönlü alfa = 0,05 ve güç 0,80 ile 150 iddia gerekir; kümelenme düzeltmesiyle (DEFF = 1,8) 270'e yükselir, planlanan 300 iddia bunu karşılar. Müzakere ablasyonunda dört eşleşmiş koşul ve n = 240 ile Cochran Q'nun en küçük saptanabilir farkı ön-kayıtta simülasyonla belirlenir.</w:t>
      </w:r>
    </w:p>
    <w:p>
      <w:pPr>
        <w:keepNext/>
        <w:widowControl/>
        <w:spacing w:before="180" w:after="60"/>
      </w:pPr>
      <w:r>
        <w:rPr>
          <w:rFonts w:ascii="Arial" w:hAnsi="Arial" w:cs="Arial" w:eastAsia="Arial"/>
          <w:b/>
          <w:i w:val="0"/>
          <w:color w:val="1F3864"/>
          <w:sz w:val="18"/>
        </w:rPr>
        <w:t>2.7 ÖN ÇALIŞMA VE FİZİBİLİTE BULGULARI</w:t>
      </w:r>
    </w:p>
    <w:p>
      <w:pPr>
        <w:widowControl/>
        <w:spacing w:after="60"/>
        <w:jc w:val="both"/>
      </w:pPr>
      <w:r>
        <w:rPr>
          <w:rFonts w:ascii="Arial" w:hAnsi="Arial" w:cs="Arial" w:eastAsia="Arial"/>
          <w:b w:val="0"/>
          <w:i w:val="0"/>
          <w:sz w:val="18"/>
        </w:rPr>
        <w:t>Ön çalışma, ekip üyelerinin ders ve kulüp kapsamında, kamu desteği almadan geliştirdiği çalışır bir prototiptir; aşağıdaki değerler orada ölçülmüştür, güncel başarım iddiası DEĞİLDİR.</w:t>
      </w:r>
    </w:p>
    <w:p>
      <w:pPr>
        <w:widowControl/>
        <w:spacing w:after="60"/>
        <w:jc w:val="both"/>
      </w:pPr>
      <w:r>
        <w:rPr>
          <w:rFonts w:ascii="Arial" w:hAnsi="Arial" w:cs="Arial" w:eastAsia="Arial"/>
          <w:b w:val="0"/>
          <w:i w:val="0"/>
          <w:sz w:val="18"/>
        </w:rPr>
        <w:t>H1/H2'yi besleyen kontrollü karşılaştırma: aynı 108 belgede yalnız yönlendirme düğümünün karar kaynağı değiştirildiğinde deterministik/kısıtlı kolda hedef birim ilk-sıra isabeti 0,907, kısıtsız model kolunda 0,537-0,593 ölçülmüş; daha yeni model sürümünde de sonuç aynı yöndedir (0,889'a karşı 0,584). UYARI: bu değerler hizmet dışı bırakılmış bir model sürümüyle, iki yüzü aşkın sürüm önce üretildiği için BAYATTIR; İP1'de YENİDEN ÖLÇÜLECEKTİR.</w:t>
      </w:r>
    </w:p>
    <w:p>
      <w:pPr>
        <w:widowControl/>
        <w:spacing w:after="60"/>
        <w:jc w:val="both"/>
      </w:pPr>
      <w:r>
        <w:rPr>
          <w:rFonts w:ascii="Arial" w:hAnsi="Arial" w:cs="Arial" w:eastAsia="Arial"/>
          <w:b w:val="0"/>
          <w:i w:val="0"/>
          <w:sz w:val="18"/>
        </w:rPr>
        <w:t>Metodolojik öz-denetim kaydı: deterministik yedeğin sezgisel kuralları bir genelleme kümesinin cümlelerine uyarlandığı için o kümede yapay yüksek başarım ürettiği tespit edilmiş ve küme taban olarak kullanılamaz ilan edilmiştir; 2.2'deki sızıntı denetiminin gerekçesi budur. Bozma işlecinin çapası ölçülmüştür: ortalama CER 0,1123, yalnız 3 belgeden; İP1'de en az 50 belgede yeniden ölçülecektir. Güven bandı kalibrasyonunda üç bandın isabeti 204 belgede ölçülmüş, taban 0,598 bulunmuştur.</w:t>
      </w:r>
    </w:p>
    <w:p>
      <w:pPr>
        <w:widowControl/>
        <w:spacing w:after="60"/>
        <w:jc w:val="both"/>
      </w:pPr>
      <w:r>
        <w:rPr>
          <w:rFonts w:ascii="Arial" w:hAnsi="Arial" w:cs="Arial" w:eastAsia="Arial"/>
          <w:b w:val="0"/>
          <w:i w:val="0"/>
          <w:sz w:val="18"/>
        </w:rPr>
        <w:t>Ölçülmemiş olanlar açıkça beyan edilir ve projenin gerekçesini oluşturur: uçtan uca p95 gecikme; belge başına maliyet (tahmindir); özet ve üslup için hakem değerlendirmesi; müzakerenin yakınsaması; düğümlerin yaklaşık yarısı; kullanıcı üzerinde kontrollü çalışma. Bu altı boşluk D1-D4'ün bağımlı değişkenlerine dönüştürülmüştür.</w:t>
      </w:r>
    </w:p>
    <w:p>
      <w:pPr>
        <w:keepNext/>
        <w:widowControl/>
        <w:spacing w:before="180" w:after="60"/>
      </w:pPr>
      <w:r>
        <w:rPr>
          <w:rFonts w:ascii="Arial" w:hAnsi="Arial" w:cs="Arial" w:eastAsia="Arial"/>
          <w:b/>
          <w:i w:val="0"/>
          <w:color w:val="1F3864"/>
          <w:sz w:val="18"/>
        </w:rPr>
        <w:t>2.7.1 ÖN ÇALIŞMADA MEVCUT OLAN İLE BU ARAŞTIRMADA ÜRETİLECEK OLANIN AYRIMI</w:t>
      </w:r>
    </w:p>
    <w:p>
      <w:pPr>
        <w:widowControl/>
        <w:spacing w:after="60"/>
        <w:jc w:val="both"/>
      </w:pPr>
      <w:r>
        <w:rPr>
          <w:rFonts w:ascii="Arial" w:hAnsi="Arial" w:cs="Arial" w:eastAsia="Arial"/>
          <w:b w:val="0"/>
          <w:i w:val="0"/>
          <w:sz w:val="18"/>
        </w:rPr>
        <w:t>Ön çalışma bir ürün değil, bu önerinin ölçüm aracıdır. MEVCUT OLAN üçtür: (i) düğümleri ve deterministik yedekleri kurulu bir yürütme grafı; (ii) ön-kayıtsız, körlemesiz, tek koşullu bir değerlendirme betiği; (iii) tek düğümde, tek değişkenli, 108 belgelik ve sızıntı denetiminden geçmemiş bir gözlem.</w:t>
      </w:r>
    </w:p>
    <w:p>
      <w:pPr>
        <w:widowControl/>
        <w:spacing w:after="60"/>
      </w:pPr>
      <w:r>
        <w:rPr>
          <w:rFonts w:ascii="Arial" w:hAnsi="Arial" w:cs="Arial" w:eastAsia="Arial"/>
          <w:b w:val="0"/>
          <w:i w:val="0"/>
          <w:sz w:val="18"/>
        </w:rPr>
        <w:t>ÜRETİLECEK OLAN yedidir ve hiçbiri ön çalışmada yoktur:</w:t>
      </w:r>
    </w:p>
    <w:p>
      <w:pPr>
        <w:widowControl/>
        <w:spacing w:after="40"/>
        <w:ind w:left="360" w:hanging="360"/>
      </w:pPr>
      <w:r>
        <w:rPr>
          <w:rFonts w:ascii="Arial" w:hAnsi="Arial" w:cs="Arial" w:eastAsia="Arial"/>
          <w:b/>
          <w:i w:val="0"/>
          <w:sz w:val="18"/>
        </w:rPr>
        <w:t xml:space="preserve">(1) </w:t>
      </w:r>
      <w:r>
        <w:rPr>
          <w:rFonts w:ascii="Arial" w:hAnsi="Arial" w:cs="Arial" w:eastAsia="Arial"/>
          <w:b w:val="0"/>
          <w:i w:val="0"/>
          <w:sz w:val="18"/>
        </w:rPr>
        <w:t>dört kolun aynı görev yönergesi, bilgi erişimi ve jeton bütçesiyle karşılaştırılabilir kılınması;</w:t>
      </w:r>
    </w:p>
    <w:p>
      <w:pPr>
        <w:widowControl/>
        <w:spacing w:after="40"/>
        <w:ind w:left="360" w:hanging="360"/>
      </w:pPr>
      <w:r>
        <w:rPr>
          <w:rFonts w:ascii="Arial" w:hAnsi="Arial" w:cs="Arial" w:eastAsia="Arial"/>
          <w:b/>
          <w:i w:val="0"/>
          <w:sz w:val="18"/>
        </w:rPr>
        <w:t xml:space="preserve">(2) </w:t>
      </w:r>
      <w:r>
        <w:rPr>
          <w:rFonts w:ascii="Arial" w:hAnsi="Arial" w:cs="Arial" w:eastAsia="Arial"/>
          <w:b w:val="0"/>
          <w:i w:val="0"/>
          <w:sz w:val="18"/>
        </w:rPr>
        <w:t>girdi bozulma faktörü ve mimari x bozulma etkileşimi - bozulma HİÇ MANİPÜLE EDİLMEMİŞTİR;</w:t>
      </w:r>
    </w:p>
    <w:p>
      <w:pPr>
        <w:widowControl/>
        <w:spacing w:after="40"/>
        <w:ind w:left="360" w:hanging="360"/>
      </w:pPr>
      <w:r>
        <w:rPr>
          <w:rFonts w:ascii="Arial" w:hAnsi="Arial" w:cs="Arial" w:eastAsia="Arial"/>
          <w:b/>
          <w:i w:val="0"/>
          <w:sz w:val="18"/>
        </w:rPr>
        <w:t xml:space="preserve">(3) </w:t>
      </w:r>
      <w:r>
        <w:rPr>
          <w:rFonts w:ascii="Arial" w:hAnsi="Arial" w:cs="Arial" w:eastAsia="Arial"/>
          <w:b w:val="0"/>
          <w:i w:val="0"/>
          <w:sz w:val="18"/>
        </w:rPr>
        <w:t>kör insan ölçütüne karşı ölçüm geçerliliği - dayanaklılık yalnız sistemin kendi beyanıyla ölçülmüştür;</w:t>
      </w:r>
    </w:p>
    <w:p>
      <w:pPr>
        <w:widowControl/>
        <w:spacing w:after="40"/>
        <w:ind w:left="360" w:hanging="360"/>
      </w:pPr>
      <w:r>
        <w:rPr>
          <w:rFonts w:ascii="Arial" w:hAnsi="Arial" w:cs="Arial" w:eastAsia="Arial"/>
          <w:b/>
          <w:i w:val="0"/>
          <w:sz w:val="18"/>
        </w:rPr>
        <w:t xml:space="preserve">(4) </w:t>
      </w:r>
      <w:r>
        <w:rPr>
          <w:rFonts w:ascii="Arial" w:hAnsi="Arial" w:cs="Arial" w:eastAsia="Arial"/>
          <w:b w:val="0"/>
          <w:i w:val="0"/>
          <w:sz w:val="18"/>
        </w:rPr>
        <w:t>kapının dokuz noktalı eşik süpürmesi ve yanlış-veto eşdeğerlik sınaması;</w:t>
      </w:r>
    </w:p>
    <w:p>
      <w:pPr>
        <w:widowControl/>
        <w:spacing w:after="40"/>
        <w:ind w:left="360" w:hanging="360"/>
      </w:pPr>
      <w:r>
        <w:rPr>
          <w:rFonts w:ascii="Arial" w:hAnsi="Arial" w:cs="Arial" w:eastAsia="Arial"/>
          <w:b/>
          <w:i w:val="0"/>
          <w:sz w:val="18"/>
        </w:rPr>
        <w:t xml:space="preserve">(5) </w:t>
      </w:r>
      <w:r>
        <w:rPr>
          <w:rFonts w:ascii="Arial" w:hAnsi="Arial" w:cs="Arial" w:eastAsia="Arial"/>
          <w:b w:val="0"/>
          <w:i w:val="0"/>
          <w:sz w:val="18"/>
        </w:rPr>
        <w:t>müzakerenin yakınsamasının sayısal ölçümü;</w:t>
      </w:r>
    </w:p>
    <w:p>
      <w:pPr>
        <w:widowControl/>
        <w:spacing w:after="40"/>
        <w:ind w:left="360" w:hanging="360"/>
      </w:pPr>
      <w:r>
        <w:rPr>
          <w:rFonts w:ascii="Arial" w:hAnsi="Arial" w:cs="Arial" w:eastAsia="Arial"/>
          <w:b/>
          <w:i w:val="0"/>
          <w:sz w:val="18"/>
        </w:rPr>
        <w:t xml:space="preserve">(6) </w:t>
      </w:r>
      <w:r>
        <w:rPr>
          <w:rFonts w:ascii="Arial" w:hAnsi="Arial" w:cs="Arial" w:eastAsia="Arial"/>
          <w:b w:val="0"/>
          <w:i w:val="0"/>
          <w:sz w:val="18"/>
        </w:rPr>
        <w:t>insan katılımcılı kontrollü deney;</w:t>
      </w:r>
    </w:p>
    <w:p>
      <w:pPr>
        <w:widowControl/>
        <w:spacing w:after="40"/>
        <w:ind w:left="360" w:hanging="360"/>
      </w:pPr>
      <w:r>
        <w:rPr>
          <w:rFonts w:ascii="Arial" w:hAnsi="Arial" w:cs="Arial" w:eastAsia="Arial"/>
          <w:b/>
          <w:i w:val="0"/>
          <w:sz w:val="18"/>
        </w:rPr>
        <w:t xml:space="preserve">(7) </w:t>
      </w:r>
      <w:r>
        <w:rPr>
          <w:rFonts w:ascii="Arial" w:hAnsi="Arial" w:cs="Arial" w:eastAsia="Arial"/>
          <w:b w:val="0"/>
          <w:i w:val="0"/>
          <w:sz w:val="18"/>
        </w:rPr>
        <w:t>ön-kayıt, körleme, bağımsız replikasyon kümesi ve ekip dışı yeniden koşum.</w:t>
      </w:r>
    </w:p>
    <w:p>
      <w:pPr>
        <w:keepNext/>
        <w:widowControl/>
        <w:spacing w:before="180" w:after="60"/>
      </w:pPr>
      <w:r>
        <w:rPr>
          <w:rFonts w:ascii="Arial" w:hAnsi="Arial" w:cs="Arial" w:eastAsia="Arial"/>
          <w:b/>
          <w:i w:val="0"/>
          <w:color w:val="1F3864"/>
          <w:sz w:val="18"/>
        </w:rPr>
        <w:t>2.8 YÖNTEM - ÇALIŞMA TAKVİMİ İLİŞKİSİ VE ETİK</w:t>
      </w:r>
    </w:p>
    <w:p>
      <w:pPr>
        <w:widowControl/>
        <w:spacing w:after="60"/>
        <w:jc w:val="both"/>
      </w:pPr>
      <w:r>
        <w:rPr>
          <w:rFonts w:ascii="Arial" w:hAnsi="Arial" w:cs="Arial" w:eastAsia="Arial"/>
          <w:b w:val="0"/>
          <w:i w:val="0"/>
          <w:sz w:val="18"/>
        </w:rPr>
        <w:t>İP1 (1-3. ay): ön-kaydın kilitlenmesi, güç simülasyonları, katmanlı küme ve bağımsız altın etiketler, sızıntı denetimi, bozma işlecinin kalibrasyonu, bayat ölçümlerin yeniden koşulması (2.1, 2.2, 2.5, 2.6, 2.7). İP2 (3-5. ay): 4 x 3 faktöriyel deney; H1, H2, H3, H9 (2.3, 2.4, 2.6). İP3 (4-7. ay): kör etiketleme ve ölçüm geçerliliği; H4 (2.2, 2.5). İP4 (6-8. ay): eşik süpürmesi, müzakere ablasyonu, bedel ölçümü; H5, H6, H10 (2.4, 2.6). İP5 (7-10. ay): katılımcı deneyi; H7, H8, H11 (2.1, 2.3, 2.6). İP6 (10-12. ay): replikasyon ve dış geçerlilik kümelerinde doğrulayıcı sınama, bağımsız yeniden koşum (2.1, 2.2, 2.6).</w:t>
      </w:r>
    </w:p>
    <w:p>
      <w:pPr>
        <w:widowControl/>
        <w:spacing w:after="60"/>
        <w:jc w:val="both"/>
      </w:pPr>
      <w:r>
        <w:rPr>
          <w:rFonts w:ascii="Arial" w:hAnsi="Arial" w:cs="Arial" w:eastAsia="Arial"/>
          <w:b w:val="0"/>
          <w:i w:val="0"/>
          <w:sz w:val="18"/>
        </w:rPr>
        <w:t>Etik: makine tarafındaki deneyler insan katılımcı içermez ve kişisel veri işlemez. İnsan verisi üreten İP3 ve İP5 için etik kurul onayı BAŞVURU ÖNCESİNDE alınmış, onay belgesi başvuru ekinde sunulmuştur; onay kapsamı dışında veri toplanmaz, aydınlatılmış onam sunulur, katılım gönüllüdür ve gerekçesiz çekilme hakkı tanınır.</w:t>
      </w:r>
    </w:p>
    <w:p w14:paraId="1F50FA0B" w14:textId="77777777" w:rsidR="006F7368" w:rsidRDefault="006F7368">
      <w:pPr>
        <w:widowControl/>
        <w:sectPr w:rsidR="006F7368">
          <w:headerReference w:type="default" r:id="rId9"/>
          <w:footerReference w:type="default" r:id="rId10"/>
          <w:pgSz w:w="11906" w:h="16838"/>
          <w:pgMar w:top="1418" w:right="1418" w:bottom="1418" w:left="1418" w:header="709" w:footer="709" w:gutter="0"/>
          <w:cols w:space="708"/>
          <w:formProt w:val="0"/>
          <w:docGrid w:linePitch="360" w:charSpace="24576"/>
        </w:sectPr>
      </w:pPr>
    </w:p>
    <w:p w14:paraId="0095384A" w14:textId="77777777" w:rsidR="006F7368" w:rsidRDefault="002E7A1C" w:rsidP="00190A53">
      <w:pPr>
        <w:pStyle w:val="WW-NormalWeb1"/>
        <w:keepNext w:val="0"/>
        <w:widowControl/>
        <w:numPr>
          <w:ilvl w:val="0"/>
          <w:numId w:val="2"/>
        </w:numPr>
        <w:spacing w:before="220" w:after="80"/>
        <w:ind w:left="142" w:hanging="218"/>
        <w:jc w:val="both"/>
        <w:rPr>
          <w:rFonts w:ascii="Arial" w:hAnsi="Arial" w:cs="Arial"/>
          <w:b/>
          <w:bCs/>
          <w:sz w:val="18"/>
          <w:szCs w:val="18"/>
        </w:rPr>
        <w:pBdr>
          <w:bottom w:val="single" w:sz="8" w:space="3" w:color="1F3864"/>
        </w:pBdr>
      </w:pPr>
      <w:r>
        <w:rPr>
          <w:rFonts w:ascii="Arial" w:hAnsi="Arial" w:cs="Arial" w:eastAsia="Arial"/>
          <w:b/>
          <w:bCs/>
          <w:i w:val="0"/>
          <w:color w:val="1F3864"/>
          <w:sz w:val="22"/>
          <w:szCs w:val="18"/>
        </w:rPr>
        <w:lastRenderedPageBreak/>
        <w:t xml:space="preserve"> PROJE YÖNETİMİ </w:t>
      </w:r>
    </w:p>
    <w:p w14:paraId="779D1C83" w14:textId="77777777" w:rsidR="006F7368" w:rsidRDefault="006F7368">
      <w:pPr>
        <w:pStyle w:val="WW-NormalWeb1"/>
        <w:widowControl/>
        <w:tabs>
          <w:tab w:val="left" w:pos="280"/>
          <w:tab w:val="left" w:pos="426"/>
        </w:tabs>
        <w:spacing w:before="0" w:after="0"/>
        <w:ind w:left="284"/>
        <w:jc w:val="both"/>
        <w:rPr>
          <w:rFonts w:ascii="Arial" w:hAnsi="Arial" w:cs="Arial"/>
          <w:b/>
          <w:bCs/>
          <w:sz w:val="18"/>
          <w:szCs w:val="18"/>
        </w:rPr>
      </w:pPr>
    </w:p>
    <w:p w14:paraId="615BBF2E" w14:textId="301776F5" w:rsidR="006F7368" w:rsidRDefault="00725BCE">
      <w:pPr>
        <w:pStyle w:val="WW-NormalWeb1"/>
        <w:keepNext w:val="0"/>
        <w:widowControl/>
        <w:numPr>
          <w:ilvl w:val="1"/>
          <w:numId w:val="4"/>
        </w:numPr>
        <w:spacing w:before="160" w:after="60"/>
        <w:jc w:val="both"/>
        <w:rPr>
          <w:rFonts w:ascii="Arial" w:hAnsi="Arial" w:cs="Arial"/>
          <w:b/>
          <w:bCs/>
          <w:sz w:val="18"/>
          <w:szCs w:val="18"/>
        </w:rPr>
      </w:pPr>
      <w:r>
        <w:rPr>
          <w:rFonts w:ascii="Arial" w:hAnsi="Arial" w:cs="Arial" w:eastAsia="Arial"/>
          <w:b/>
          <w:bCs/>
          <w:i w:val="0"/>
          <w:color w:val="1F3864"/>
          <w:sz w:val="19"/>
          <w:szCs w:val="18"/>
        </w:rPr>
        <w:t>Çalışma Takvimi</w:t>
      </w:r>
    </w:p>
    <w:p w14:paraId="17C23B2E" w14:textId="77777777" w:rsidR="006F7368" w:rsidRDefault="006F7368">
      <w:pPr>
        <w:pStyle w:val="WW-NormalWeb1"/>
        <w:widowControl/>
        <w:spacing w:before="0" w:after="0"/>
        <w:ind w:left="360"/>
        <w:jc w:val="both"/>
        <w:rPr>
          <w:rFonts w:ascii="Arial" w:hAnsi="Arial" w:cs="Arial"/>
          <w:b/>
          <w:bCs/>
          <w:sz w:val="18"/>
          <w:szCs w:val="18"/>
        </w:rPr>
      </w:pPr>
    </w:p>
    <w:p w14:paraId="225830B4" w14:textId="77777777" w:rsidR="006F7368" w:rsidRDefault="006F7368" w:rsidP="00190A53">
      <w:pPr>
        <w:pStyle w:val="WW-NormalWeb1"/>
        <w:widowControl/>
        <w:spacing w:before="0" w:after="0"/>
        <w:ind w:left="426"/>
        <w:jc w:val="both"/>
        <w:rPr>
          <w:rFonts w:ascii="Arial" w:hAnsi="Arial" w:cs="Arial"/>
          <w:sz w:val="18"/>
          <w:szCs w:val="18"/>
        </w:rPr>
      </w:pPr>
    </w:p>
    <w:p w14:paraId="4031B249" w14:textId="5E21D584" w:rsidR="006F7368" w:rsidRDefault="00725BCE">
      <w:pPr>
        <w:pStyle w:val="WW-NormalWeb1"/>
        <w:keepNext w:val="0"/>
        <w:widowControl/>
        <w:spacing w:before="160" w:after="60"/>
        <w:jc w:val="center"/>
        <w:rPr>
          <w:rFonts w:ascii="Arial" w:hAnsi="Arial" w:cs="Arial"/>
          <w:sz w:val="16"/>
          <w:szCs w:val="16"/>
        </w:rPr>
      </w:pPr>
      <w:r>
        <w:rPr>
          <w:rFonts w:ascii="Arial" w:hAnsi="Arial" w:cs="Arial" w:eastAsia="Arial"/>
          <w:b/>
          <w:bCs/>
          <w:i w:val="0"/>
          <w:color w:val="1F3864"/>
          <w:sz w:val="19"/>
          <w:szCs w:val="18"/>
        </w:rPr>
        <w:t xml:space="preserve">ÇALIŞMA TAKVİMİ </w:t>
      </w:r>
      <w:r w:rsidR="002E7A1C">
        <w:rPr>
          <w:rFonts w:ascii="Arial" w:hAnsi="Arial" w:cs="Arial" w:eastAsia="Arial"/>
          <w:b/>
          <w:bCs/>
          <w:i w:val="0"/>
          <w:color w:val="1F3864"/>
          <w:sz w:val="19"/>
          <w:szCs w:val="18"/>
        </w:rPr>
        <w:t>(*)</w:t>
      </w:r>
    </w:p>
    <w:p w14:paraId="4D91679F" w14:textId="77777777" w:rsidR="006F7368" w:rsidRDefault="002E7A1C">
      <w:pPr>
        <w:pStyle w:val="WW-NormalWeb1"/>
        <w:widowControl/>
        <w:spacing w:before="0" w:after="0"/>
        <w:rPr>
          <w:rFonts w:ascii="Arial" w:hAnsi="Arial" w:cs="Arial"/>
          <w:sz w:val="16"/>
          <w:szCs w:val="16"/>
        </w:rPr>
      </w:pPr>
      <w:r>
        <w:rPr>
          <w:rFonts w:ascii="Arial" w:hAnsi="Arial"/>
          <w:bCs/>
          <w:sz w:val="16"/>
          <w:szCs w:val="18"/>
        </w:rPr>
        <w:t xml:space="preserve">  </w:t>
      </w:r>
      <w:r>
        <w:rPr>
          <w:rFonts w:ascii="Arial" w:hAnsi="Arial" w:cs="Arial"/>
          <w:sz w:val="16"/>
          <w:szCs w:val="16"/>
        </w:rPr>
        <w:t xml:space="preserve">      </w:t>
      </w:r>
    </w:p>
    <w:tbl>
      <w:tblPr>
        <w:tblW w:w="4728" w:type="pct"/>
        <w:tblInd w:w="496" w:type="dxa"/>
        <w:tblCellMar>
          <w:left w:w="70" w:type="dxa"/>
          <w:right w:w="70" w:type="dxa"/>
        </w:tblCellMar>
        <w:tblLook w:val="04A0" w:firstRow="1" w:lastRow="0" w:firstColumn="1" w:lastColumn="0" w:noHBand="0" w:noVBand="1"/>
      </w:tblPr>
      <w:tblGrid>
        <w:gridCol w:w="1920"/>
        <w:gridCol w:w="1878"/>
        <w:gridCol w:w="2340"/>
        <w:gridCol w:w="2429"/>
      </w:tblGrid>
      <w:tr w:rsidR="000D0AB4" w14:paraId="5C084324" w14:textId="77777777" w:rsidTr="00190A53">
        <w:trPr>
          <w:trHeight w:val="658"/>
          <w:tblHeader w:val="true"/>
        </w:trPr>
        <w:tc>
          <w:tcPr>
            <w:tcW w:w="1920"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5E411514" w14:textId="77777777" w:rsidR="000D0AB4" w:rsidRDefault="000D0AB4" w:rsidP="000D0AB4">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Tarih Aralığı</w:t>
            </w:r>
          </w:p>
          <w:p w14:paraId="01D283B3" w14:textId="5A766FD1" w:rsidR="000D0AB4" w:rsidRDefault="000D0AB4" w:rsidP="000D0AB4">
            <w:pPr>
              <w:widowControl/>
              <w:spacing w:before="280" w:after="119"/>
              <w:contextualSpacing/>
              <w:jc w:val="center"/>
              <w:rPr>
                <w:rFonts w:ascii="Arial" w:hAnsi="Arial" w:cs="Arial"/>
                <w:b/>
                <w:bCs/>
                <w:sz w:val="18"/>
                <w:szCs w:val="18"/>
              </w:rPr>
            </w:pPr>
          </w:p>
        </w:tc>
        <w:tc>
          <w:tcPr>
            <w:tcW w:w="1878"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04131EEE" w14:textId="0CAC8476" w:rsidR="000D0AB4" w:rsidRDefault="000D0AB4" w:rsidP="000D0AB4">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Faaliyetler</w:t>
            </w:r>
            <w:r w:rsidR="00C05F64">
              <w:rPr>
                <w:rFonts w:ascii="Arial" w:hAnsi="Arial" w:cs="Arial" w:eastAsia="Arial"/>
                <w:b/>
                <w:bCs/>
                <w:i w:val="0"/>
                <w:color w:val="FFFFFF"/>
                <w:sz w:val="17"/>
                <w:szCs w:val="18"/>
              </w:rPr>
              <w:t>**</w:t>
            </w:r>
          </w:p>
        </w:tc>
        <w:tc>
          <w:tcPr>
            <w:tcW w:w="2340"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5D17E713" w14:textId="7EC8A4D6" w:rsidR="000D0AB4" w:rsidRDefault="000D0AB4">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Kim(ler) Tarafından Gerçekleştirileceği</w:t>
            </w:r>
            <w:r w:rsidDel="000D0AB4">
              <w:rPr>
                <w:rFonts w:ascii="Arial" w:hAnsi="Arial" w:cs="Arial" w:eastAsia="Arial"/>
                <w:b/>
                <w:bCs/>
                <w:i w:val="0"/>
                <w:color w:val="FFFFFF"/>
                <w:sz w:val="17"/>
                <w:szCs w:val="18"/>
              </w:rPr>
              <w:t xml:space="preserve"> </w:t>
            </w:r>
          </w:p>
        </w:tc>
        <w:tc>
          <w:tcPr>
            <w:tcW w:w="242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7908A754" w14:textId="726898C1" w:rsidR="000D0AB4" w:rsidRDefault="000D0AB4" w:rsidP="000E39BE">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 xml:space="preserve">Başarı Ölçütü ve </w:t>
            </w:r>
            <w:bookmarkStart w:id="1" w:name="_Hlk516083478"/>
            <w:r>
              <w:rPr>
                <w:rFonts w:ascii="Arial" w:hAnsi="Arial" w:cs="Arial" w:eastAsia="Arial"/>
                <w:b/>
                <w:bCs/>
                <w:i w:val="0"/>
                <w:color w:val="FFFFFF"/>
                <w:sz w:val="17"/>
                <w:szCs w:val="18"/>
              </w:rPr>
              <w:t xml:space="preserve">Araştırmanın Başarısına Katkısı*** </w:t>
            </w:r>
            <w:bookmarkEnd w:id="1"/>
          </w:p>
        </w:tc>
      </w:tr>
      <w:tr w:rsidR="000D0AB4" w14:paraId="712CA0B1" w14:textId="77777777" w:rsidTr="00190A53">
        <w:trPr>
          <w:trHeight w:val="439"/>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1-3.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i w:val="0"/>
                <w:sz w:val="18"/>
              </w:rPr>
              <w:t>İP1 — Deneysel çerçevenin kurulması, ön-kaydın kilitlenmesi ve katmanlı ölçüm kümesinin hazırlanması</w:t>
            </w:r>
          </w:p>
          <w:p>
            <w:pPr>
              <w:widowControl/>
              <w:spacing w:after="40" w:before="0"/>
            </w:pPr>
            <w:r>
              <w:rPr>
                <w:rFonts w:ascii="Arial" w:hAnsi="Arial" w:cs="Arial" w:eastAsia="Arial"/>
                <w:b w:val="0"/>
                <w:i w:val="0"/>
                <w:sz w:val="18"/>
              </w:rPr>
              <w:t>Ön-kaydın kilitlenmesi. Monte Carlo güç simülasyonu. 19 tür x üç zorluk çaprazında 240 ana ve 120 replikasyon belgesinin sabit tohumla üretimi, altın etiketlenmesi. En az 50 taranmış belgede karakter hata oranı ölçümü, bozma işlecinin kalibrasyonu. Bayat taban metriklerin yeniden koşumu; 20 belgelik maliyet pilotu. Etik kurul protokolünün yordamlaştırılması.</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Proje yürütücüsü öğrenci (ön-kayıt, güç simülasyonu, bayat taban metriklerin yeniden koşulması); Araştırmacı öğrenci 1 (maliyet pilotu, bozma işleci kalibrasyonu; ayrıca altın etiketin ikinci bağımsız kaynağı — belge üretecini ve üretim sözlüğünü görmez, uyuşmazlıklar danışman hakemliğinde çözülür); Araştırmacı öğrenci 2 (belge üretimi, altın etiketleme); danışman (ön-kayıt onayı)</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Ön-kayıt 2. ay sonunda değiştirilemez kayıtla kilitli; gücü 0,80 altına düşen hücreler ilan edilmiş. 360 belgede altın etiket iki bağımsız kaynakta en az 0,90 uyumlu. Üç bozulma seviyesinde karakter hata oranı sapması 0,01'i geçmiyor. 13 bağımlı değişken için sürüm damgalı taban artefaktı mevcut.</w:t>
            </w:r>
          </w:p>
          <w:p>
            <w:pPr>
              <w:widowControl/>
              <w:spacing w:after="40" w:before="0"/>
            </w:pPr>
            <w:r>
              <w:rPr>
                <w:rFonts w:ascii="Arial" w:hAnsi="Arial" w:cs="Arial" w:eastAsia="Arial"/>
                <w:b w:val="0"/>
                <w:i w:val="0"/>
                <w:sz w:val="18"/>
              </w:rPr>
              <w:t>Katkı: %15</w:t>
            </w:r>
          </w:p>
        </w:tc>
      </w:tr>
      <w:tr w:rsidR="000D0AB4" w14:paraId="06CE70FC" w14:textId="77777777" w:rsidTr="00190A53">
        <w:trPr>
          <w:trHeight w:val="435"/>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3-5.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i w:val="0"/>
                <w:sz w:val="18"/>
              </w:rPr>
              <w:t>İP2 — Karar kaynağı mimarisi ile girdi bozulma düzeyinin faktöriyel deneyi ve hata yayılımı analizi</w:t>
            </w:r>
          </w:p>
          <w:p>
            <w:pPr>
              <w:widowControl/>
              <w:spacing w:after="40" w:before="0"/>
            </w:pPr>
            <w:r>
              <w:rPr>
                <w:rFonts w:ascii="Arial" w:hAnsi="Arial" w:cs="Arial" w:eastAsia="Arial"/>
                <w:b w:val="0"/>
                <w:i w:val="0"/>
                <w:sz w:val="18"/>
              </w:rPr>
              <w:t>Dört mimari kolun (kural katmanı, kısıtsız üretim, geri getirmeli üretim, kısıtlı hibrit) üç bozulma düzeyiyle çaprazlanması; 240 belgenin on iki koşulda sabit tohumla koşumu (2.880 gözlem). Sağlayıcı bloğunun 80 belgelik alt kümede iki ek sağlayıcıda tekrarı (1.440 ek gözlem). H1, H2, H3 ve H9'un ön-kayıtlı testlerle sınanması; Katman A/B raporlaması.</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Proje yürütücüsü öğrenci (deney tasarımının yürütülmesi, analiz); Araştırmacı öğrenci 1 (koşum orkestrasyonu ve sağlayıcı blok koşumları); Araştırmacı öğrenci 2 (artefakt sürüm damgalama ve bütünlük denetimi); danışman (istatistiksel model denetimi)</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4.320 koşum artefaktının en az %98'i eksiksiz, sürüm damgalı ve yeniden üretilebilir. H1, H2, H3, H9 için etki büyüklüğü ve %95 güven aralığı; H1'in üç bağımlı değişkeninde aralık genişliği 0,15'ten dar, en az ikisinde güç 0,80 üzeri. Ön-kayıt planına uyum %100. Kırılma eşiği profil-olabilirlik %95 aralığıyla.</w:t>
            </w:r>
          </w:p>
          <w:p>
            <w:pPr>
              <w:widowControl/>
              <w:spacing w:after="40" w:before="0"/>
            </w:pPr>
            <w:r>
              <w:rPr>
                <w:rFonts w:ascii="Arial" w:hAnsi="Arial" w:cs="Arial" w:eastAsia="Arial"/>
                <w:b w:val="0"/>
                <w:i w:val="0"/>
                <w:sz w:val="18"/>
              </w:rPr>
              <w:t>Katkı: %18</w:t>
            </w:r>
          </w:p>
        </w:tc>
      </w:tr>
      <w:tr w:rsidR="000D0AB4" w14:paraId="7F55FA8A" w14:textId="77777777" w:rsidTr="00190A53">
        <w:trPr>
          <w:trHeight w:val="441"/>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4-7.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i w:val="0"/>
                <w:sz w:val="18"/>
              </w:rPr>
              <w:t>İP3 — Otomatik dayanak doğrulayıcısının ölçüm geçerliliği ve değerlendiriciler arası uyumun belirlenmesi</w:t>
            </w:r>
          </w:p>
          <w:p>
            <w:pPr>
              <w:widowControl/>
              <w:spacing w:after="40" w:before="0"/>
            </w:pPr>
            <w:r>
              <w:rPr>
                <w:rFonts w:ascii="Arial" w:hAnsi="Arial" w:cs="Arial" w:eastAsia="Arial"/>
                <w:b w:val="0"/>
                <w:i w:val="0"/>
                <w:sz w:val="18"/>
              </w:rPr>
              <w:t>İddia düzeyinde çapa çıkarımı; en az 60 belgeden, belge başına en fazla 6 iddia ile 300 iddialık kör etiketleme kümesinin kurulması. Kodlama kılavuzu ve tek seferlik revizyon turu. Üç bağımsız etiketleyicinin, sistem kararını görmeden kör etiketlemesi. Krippendorff alfa, Cohen kappa ve Gwet AC1'in önyüklemeyle hesabı. Beş iddia sınıfında H4'ün sınanması.</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Araştırmacı öğrenci 2 (etiketleme kılavuzu, etiketleyici koordinasyonu); Proje yürütücüsü öğrenci (çapa çıkarımı, uyum analizi); Araştırmacı öğrenci 1 (kör atama ve veri işleme altyapısı); danışman (kodlama kılavuzu hakemliği)</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300 iddianın tamamı üç etiketleyici tarafından etiketlenmiş (tam çapraz). Krippendorff alfa kümelenmiş önyükleme %95 alt sınırı en az 0,67, nokta tahmini en az 0,80. Otomatik-insan / insan-insan uyum oranının %95 alt sınırının 0,75'i aşıp aşmadığı ilan edilmiş. Beş iddia sınıfı için ayrı duyarlılık-özgüllük tablosu.</w:t>
            </w:r>
          </w:p>
          <w:p>
            <w:pPr>
              <w:widowControl/>
              <w:spacing w:after="40" w:before="0"/>
            </w:pPr>
            <w:r>
              <w:rPr>
                <w:rFonts w:ascii="Arial" w:hAnsi="Arial" w:cs="Arial" w:eastAsia="Arial"/>
                <w:b w:val="0"/>
                <w:i w:val="0"/>
                <w:sz w:val="18"/>
              </w:rPr>
              <w:t>Katkı: %18</w:t>
            </w:r>
          </w:p>
        </w:tc>
      </w:tr>
      <w:tr w:rsidR="000D0AB4" w14:paraId="501C55BB" w14:textId="77777777" w:rsidTr="00190A53">
        <w:trPr>
          <w:trHeight w:val="425"/>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6-8.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i w:val="0"/>
                <w:sz w:val="18"/>
              </w:rPr>
              <w:t>İP4 — Doğrulama kapısı sıkılığının ödünleşim eğrisi, müzakerenin yakınsaması ve mimarinin bedeli</w:t>
            </w:r>
          </w:p>
          <w:p>
            <w:pPr>
              <w:widowControl/>
              <w:spacing w:after="40" w:before="0"/>
            </w:pPr>
            <w:r>
              <w:rPr>
                <w:rFonts w:ascii="Arial" w:hAnsi="Arial" w:cs="Arial" w:eastAsia="Arial"/>
                <w:b w:val="0"/>
                <w:i w:val="0"/>
                <w:sz w:val="18"/>
              </w:rPr>
              <w:t>Kapı sıkılık eşiğinin 9 noktada süpürülmesi; dayanaksız iddia ve yanlış-veto oranlarının kör insan altın kümesine karşı ölçümü. ROC alanı, DeLong karşılaştırması ve çalışma noktasının seçimi (H5). Müzakerenin 0, 1, 2 ve 3 tur ile üç rol-çıkarma koşulunda koşumu; H6'nın sınanması ve doygunluk turunun kestirimi. Gecikme ve maliyetin defterden okunması (H10).</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Proje yürütücüsü öğrenci (eşik süpürmesi ve ödünleşim eğrisi); Araştırmacı öğrenci 2 (müzakere tur ve rol ablasyonu); Araştırmacı öğrenci 1 (gecikme ve maliyet telemetrisi); danışman (karar ölçütü)</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Dokuz eşik noktası için ödünleşim eğrisi ve ROC alanı %95 güven aralığıyla üretilmiş. Seçilen çalışma noktasında yanlış-veto oranının %95 üst sınırı 0,05 veya altında; eşdeğerlik kararı açık. Doygunluk turu kestirilmiş; üç rol-çıkarma koşulunun her biri için kapanma oranı ayrı. Belge başına ek gecikme (saniye) ve ek maliyet (TL) sayısal; H10 kararı yazılmış.</w:t>
            </w:r>
          </w:p>
          <w:p>
            <w:pPr>
              <w:widowControl/>
              <w:spacing w:after="40" w:before="0"/>
            </w:pPr>
            <w:r>
              <w:rPr>
                <w:rFonts w:ascii="Arial" w:hAnsi="Arial" w:cs="Arial" w:eastAsia="Arial"/>
                <w:b w:val="0"/>
                <w:i w:val="0"/>
                <w:sz w:val="18"/>
              </w:rPr>
              <w:t>Katkı: %15</w:t>
            </w:r>
          </w:p>
        </w:tc>
      </w:tr>
      <w:tr w:rsidR="000D0AB4" w14:paraId="2E5C5ED5" w14:textId="77777777" w:rsidTr="00190A53">
        <w:trPr>
          <w:trHeight w:val="431"/>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7-10.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i w:val="0"/>
                <w:sz w:val="18"/>
              </w:rPr>
              <w:t>İP5 — İnsan gözetiminin etkinliği: gerekçe düzeyinin kontrollü katılımcı deneyiyle sınanması</w:t>
            </w:r>
          </w:p>
          <w:p>
            <w:pPr>
              <w:widowControl/>
              <w:spacing w:after="40" w:before="0"/>
            </w:pPr>
            <w:r>
              <w:rPr>
                <w:rFonts w:ascii="Arial" w:hAnsi="Arial" w:cs="Arial" w:eastAsia="Arial"/>
                <w:b w:val="0"/>
                <w:i w:val="0"/>
                <w:sz w:val="18"/>
              </w:rPr>
              <w:t>Aydınlatılmış onam süreci. Dört arayüz koşulunun (çıktı yok; gerekçesiz öneri; tıklanabilir dayanak; dayanak + kalibre güven bandı) tek fark ilkesiyle hazırlanması. Belgelerin yarısına kör hata tohumlanması; puanlama anahtarının kilitlenmesi. 32 katılımcının 4 x 4 dengelenmiş Latin kare sırada, koşul başına 6 belge, toplam 24 belge değerlendirmesi (ilk iki deneme ısınma). H7, H8 ve H11'in sınanması.</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Proje yürütücüsü öğrenci (deney yürütme, analiz); Araştırmacı öğrenci 2 (arayüz koşullarının hazırlanması, körleme, hata tohumlama); Araştırmacı öğrenci 1 (katılımcı planı, oturum lojistiği, kimliksizleştirme); danışman (etik protokol ve uygulama denetimi)</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En az 28 katılımcı (hedef 32; bırakma %15 veya altı) ve en az 600 analiz edilebilir deneme kaydı tam. H7 birincil kontrastı taban koşula karşı, odds oranı ve %95 güven aralığıyla. H8 eşdeğerlik sınaması 0,05 sınırında sonuçlandırılmış. H11 tek yönlü sınanmış, sonucu aleyhte çıksa dahi raporlanmış. Her koşulda en az dört tohumlanmış hata sınıfı.</w:t>
            </w:r>
          </w:p>
          <w:p>
            <w:pPr>
              <w:widowControl/>
              <w:spacing w:after="40" w:before="0"/>
            </w:pPr>
            <w:r>
              <w:rPr>
                <w:rFonts w:ascii="Arial" w:hAnsi="Arial" w:cs="Arial" w:eastAsia="Arial"/>
                <w:b w:val="0"/>
                <w:i w:val="0"/>
                <w:sz w:val="18"/>
              </w:rPr>
              <w:t>Katkı: %22</w:t>
            </w:r>
          </w:p>
        </w:tc>
      </w:tr>
      <w:tr w:rsidR="000D0AB4" w14:paraId="2E5C5ED5" w14:textId="77777777" w:rsidTr="00190A53">
        <w:trPr>
          <w:trHeight w:val="431"/>
        </w:trPr>
        <w:tc>
          <w:tcPr>
            <w:tcW w:w="192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10-12. ay</w:t>
            </w:r>
          </w:p>
        </w:tc>
        <w:tc>
          <w:tcPr>
            <w:tcW w:w="1878"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i w:val="0"/>
                <w:sz w:val="18"/>
              </w:rPr>
              <w:t>İP6 — Bütünleşik model, doğrulayıcı replikasyon, dış geçerlilik ve bağımsız yeniden koşum sınaması</w:t>
            </w:r>
          </w:p>
          <w:p>
            <w:pPr>
              <w:widowControl/>
              <w:spacing w:after="40" w:before="0"/>
            </w:pPr>
            <w:r>
              <w:rPr>
                <w:rFonts w:ascii="Arial" w:hAnsi="Arial" w:cs="Arial" w:eastAsia="Arial"/>
                <w:b w:val="0"/>
                <w:i w:val="0"/>
                <w:sz w:val="18"/>
              </w:rPr>
              <w:t>Dört deneyin bağımlı değişkenlerinin tek karma etkili modelde birleştirilmesi; mimari kısıt katkılarının ayrıştırılması. Ön-kayıtlı birincil hipotezlerin, ana kümede kullanılmamış 120 belgelik replikasyon kümesinde yeniden sınanması. En az 12 kurum türünden 60 belgelik dış geçerlilik kümesinde H1 ve H5'in sınanması. Ölçüm betiklerinin tek komutlu yeniden üretim paketine dönüştürülüp ekip dışından koşturulması.</w:t>
            </w:r>
          </w:p>
        </w:tc>
        <w:tc>
          <w:tcPr>
            <w:tcW w:w="2340"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Proje yürütücüsü öğrenci (bütünleşik karma model); Araştırmacı öğrenci 1 (yeniden üretim paketi, bağımsız koşum koordinasyonu); Araştırmacı öğrenci 2 (dış geçerlilik kümesi); danışman (model denetimi)</w:t>
            </w:r>
          </w:p>
        </w:tc>
        <w:tc>
          <w:tcPr>
            <w:tcW w:w="242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Ön-kayıtlı birincil hipotezlerin en az %80'i replikasyon kümesinde aynı yönde; uyuşmazlıklar raporlanmış. Bağımsız koşumda deterministik metrikler %1 veya daha küçük sapmayla yeniden üretilmiş. Dış geçerlilikte en az beş dağılım ölçüsünde fark sayısal; gözlenen etki saptanabilir en küçük farkın altındaysa genelleme iddiası daraltılmış. Her mimari kısıtın katkısı %95 güven aralığıyla tek tabloda.</w:t>
            </w:r>
          </w:p>
          <w:p>
            <w:pPr>
              <w:widowControl/>
              <w:spacing w:after="40" w:before="0"/>
            </w:pPr>
            <w:r>
              <w:rPr>
                <w:rFonts w:ascii="Arial" w:hAnsi="Arial" w:cs="Arial" w:eastAsia="Arial"/>
                <w:b w:val="0"/>
                <w:i w:val="0"/>
                <w:sz w:val="18"/>
              </w:rPr>
              <w:t>Katkı: %12</w:t>
            </w:r>
          </w:p>
        </w:tc>
      </w:tr>
    </w:tbl>
    <w:p w14:paraId="3EE05ADB" w14:textId="77777777" w:rsidR="000E39BE" w:rsidRDefault="000E39BE" w:rsidP="000E39BE">
      <w:pPr>
        <w:pStyle w:val="WW-NormalWeb1"/>
        <w:widowControl/>
        <w:spacing w:before="0" w:after="0"/>
        <w:ind w:left="567"/>
        <w:rPr>
          <w:rFonts w:ascii="Arial" w:hAnsi="Arial"/>
          <w:bCs/>
          <w:sz w:val="16"/>
          <w:szCs w:val="18"/>
        </w:rPr>
      </w:pPr>
    </w:p>
    <w:p w14:paraId="61782E55" w14:textId="77777777" w:rsidR="001B2CDB" w:rsidRDefault="001B2CDB" w:rsidP="000D0AB4">
      <w:pPr>
        <w:pStyle w:val="WW-NormalWeb1"/>
        <w:widowControl/>
        <w:spacing w:before="0" w:after="0"/>
        <w:ind w:left="567"/>
        <w:rPr>
          <w:rFonts w:ascii="Arial" w:hAnsi="Arial"/>
          <w:bCs/>
          <w:sz w:val="16"/>
          <w:szCs w:val="18"/>
        </w:rPr>
      </w:pPr>
    </w:p>
    <w:p w14:paraId="5A965F4D" w14:textId="77777777" w:rsidR="000D0AB4" w:rsidRDefault="000D0AB4" w:rsidP="000D0AB4">
      <w:pPr>
        <w:pStyle w:val="WW-NormalWeb1"/>
        <w:widowControl/>
        <w:spacing w:before="0" w:after="0"/>
        <w:ind w:left="567"/>
        <w:rPr>
          <w:rFonts w:ascii="Arial" w:hAnsi="Arial" w:cs="Arial"/>
          <w:sz w:val="18"/>
          <w:szCs w:val="18"/>
        </w:rPr>
      </w:pPr>
    </w:p>
    <w:p w14:paraId="55D2E071" w14:textId="77777777" w:rsidR="006F7368" w:rsidRDefault="002E7A1C" w:rsidP="000D0AB4">
      <w:pPr>
        <w:keepNext w:val="0"/>
        <w:widowControl/>
        <w:numPr>
          <w:ilvl w:val="1"/>
          <w:numId w:val="4"/>
        </w:numPr>
        <w:spacing w:line="480" w:lineRule="auto" w:before="160" w:after="60"/>
        <w:ind w:left="284" w:firstLine="142"/>
        <w:jc w:val="both"/>
        <w:rPr>
          <w:rFonts w:ascii="Arial" w:hAnsi="Arial" w:cs="Arial"/>
          <w:sz w:val="18"/>
          <w:szCs w:val="18"/>
        </w:rPr>
      </w:pPr>
      <w:r>
        <w:rPr>
          <w:rFonts w:ascii="Arial" w:hAnsi="Arial" w:cs="Arial" w:eastAsia="Arial"/>
          <w:b/>
          <w:bCs/>
          <w:i w:val="0"/>
          <w:color w:val="1F3864"/>
          <w:sz w:val="19"/>
          <w:szCs w:val="18"/>
        </w:rPr>
        <w:t>Risk Yönetimi</w:t>
      </w:r>
    </w:p>
    <w:p w14:paraId="14A22D7C" w14:textId="77777777" w:rsidR="006F7368" w:rsidRDefault="006F7368">
      <w:pPr>
        <w:pStyle w:val="WW-NormalWeb1"/>
        <w:widowControl/>
        <w:spacing w:before="0" w:after="0"/>
        <w:jc w:val="both"/>
        <w:rPr>
          <w:rFonts w:ascii="Arial" w:hAnsi="Arial" w:cs="Arial"/>
          <w:color w:val="FF0000"/>
          <w:sz w:val="18"/>
          <w:szCs w:val="18"/>
        </w:rPr>
      </w:pPr>
    </w:p>
    <w:p w14:paraId="2CB79C6E" w14:textId="77777777" w:rsidR="006F7368" w:rsidRDefault="002E7A1C">
      <w:pPr>
        <w:keepNext w:val="0"/>
        <w:widowControl/>
        <w:spacing w:before="160" w:after="60"/>
        <w:ind w:left="792"/>
        <w:rPr>
          <w:rFonts w:ascii="Arial" w:hAnsi="Arial" w:cs="Arial"/>
          <w:b/>
          <w:bCs/>
          <w:sz w:val="18"/>
          <w:szCs w:val="18"/>
        </w:rPr>
      </w:pPr>
      <w:r>
        <w:rPr>
          <w:rFonts w:ascii="Arial" w:hAnsi="Arial" w:cs="Arial" w:eastAsia="Arial"/>
          <w:b/>
          <w:bCs/>
          <w:i w:val="0"/>
          <w:color w:val="1F3864"/>
          <w:sz w:val="19"/>
          <w:szCs w:val="18"/>
        </w:rPr>
        <w:t xml:space="preserve">                                                       RİSK YÖNETİMİ TABLOSU*</w:t>
      </w:r>
    </w:p>
    <w:tbl>
      <w:tblPr>
        <w:tblW w:w="4546" w:type="pct"/>
        <w:jc w:val="center"/>
        <w:tblCellMar>
          <w:left w:w="70" w:type="dxa"/>
          <w:right w:w="70" w:type="dxa"/>
        </w:tblCellMar>
        <w:tblLook w:val="04A0" w:firstRow="1" w:lastRow="0" w:firstColumn="1" w:lastColumn="0" w:noHBand="0" w:noVBand="1"/>
      </w:tblPr>
      <w:tblGrid>
        <w:gridCol w:w="3902"/>
        <w:gridCol w:w="4335"/>
      </w:tblGrid>
      <w:tr w:rsidR="000D0AB4" w14:paraId="3520C56E" w14:textId="77777777" w:rsidTr="00190A53">
        <w:trPr>
          <w:trHeight w:val="495"/>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1AF8EC26" w14:textId="77777777" w:rsidR="000D0AB4" w:rsidRDefault="000D0AB4">
            <w:pPr>
              <w:widowControl/>
              <w:jc w:val="center"/>
              <w:rPr>
                <w:rFonts w:ascii="Arial" w:hAnsi="Arial" w:cs="Arial"/>
                <w:b/>
                <w:bCs/>
                <w:sz w:val="18"/>
                <w:szCs w:val="18"/>
              </w:rPr>
            </w:pPr>
            <w:r>
              <w:rPr>
                <w:rFonts w:ascii="Arial" w:hAnsi="Arial" w:cs="Arial" w:eastAsia="Arial"/>
                <w:b/>
                <w:bCs/>
                <w:i w:val="0"/>
                <w:color w:val="FFFFFF"/>
                <w:sz w:val="17"/>
                <w:szCs w:val="18"/>
              </w:rPr>
              <w:t>En Önemli Riskler</w:t>
            </w:r>
          </w:p>
        </w:tc>
        <w:tc>
          <w:tcPr>
            <w:tcW w:w="4335"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5A882C85" w14:textId="22367616" w:rsidR="000D0AB4" w:rsidRDefault="000D0AB4">
            <w:pPr>
              <w:widowControl/>
              <w:jc w:val="center"/>
              <w:rPr>
                <w:rFonts w:ascii="Arial" w:hAnsi="Arial" w:cs="Arial"/>
                <w:b/>
                <w:bCs/>
                <w:sz w:val="18"/>
                <w:szCs w:val="18"/>
              </w:rPr>
            </w:pPr>
            <w:r>
              <w:rPr>
                <w:rFonts w:ascii="Arial" w:hAnsi="Arial" w:cs="Arial" w:eastAsia="Arial"/>
                <w:b/>
                <w:bCs/>
                <w:i w:val="0"/>
                <w:color w:val="FFFFFF"/>
                <w:sz w:val="17"/>
                <w:szCs w:val="18"/>
              </w:rPr>
              <w:t>Alınacak Tedbirler (B Planı)</w:t>
            </w:r>
          </w:p>
        </w:tc>
      </w:tr>
      <w:tr w:rsidR="000D0AB4" w14:paraId="3E19A3D4"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[İP5] Evrak ve yazı işleri görevi yürüten yeterli sayıda katılımcıya erişilememesi; 32 kişilik örneklemin tamamlanamaması.</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Hipotezler, koşullar ve bağımlı değişkenler DEĞİŞMEZ; yalnız örneklem bileşimi değişir: kamu yönetimi, hukuk ve büro yönetimi alanlarında lisans/lisansüstü düzeyde, standart eğitim modülüyle görev yeterliliği sınanmış vekil katılımcılar kullanılır. Dış geçerlilik sınırı nicel raporlanır.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[İP2] Bulut dil modeli servisinin sürüm/ad değiştirmesi ya da erişimin kesilmesi.</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Sağlayıcı, ilgi konusu etki değil blok değişkenidir; birincil koşullar iki bağımsız bulut servisinde ve bir yerel açık ağırlıklı modelde tekrarlanır. Bir servis erişilemezse hipotezler değil yalnız bir blok seviyesi düşer. Her artefakta model ve kod sürümü damgalanır.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[İP2 ve İP4] Ücretli servis kullanımının pilotta ölçülenden pahalı çıkması; bütçe tavanının aşılması.</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Ana hipotezler ücretli servise bağımlı değildir; dört koldan biri ve hibrit kolun omurgası deterministiktir. Harcama, rezervasyonlu yalnız-ekleme defteriyle ve İP1 pilotunda ölçülen üst sınırla sınırlanır. Tavana yaklaşıldığında sağlayıcı bloğu üç seviyeden ikiye iner, tekrar koşumlar yerel modele kayar; aşımın hangi BLOK SEVİYESİNİ düşüreceği önceden sabittir.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[İP3] Etiketleyiciler arası uyumun hedefin altında kalması (kümelenmiş önyükleme alt sınırı 0,67'yi aşmaz).</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Düşük uyum gizlenmez, bulgunun kendisi olur. Tek seferlik kalibrasyon turuyla kodlama kılavuzu revize edilir; revizyon öncesi ve sonrası uyum ayrı yayımlanır, uyuşmazlıklar üçüncü hakem turuyla çözülür. Düşük uyumlu iddia sınıfları geçerlilik SINIRI olarak raporlanır; H4 'kararsız' ilan edilir. Diğer üç deney H4'ten bağımsız yürür.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[İP6] Sentetik değerlendirme kümesinin gerçek evrak dağılımını temsil etmemesi.</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Kişisel veri içermeyen, kamuya açık kaynaklardan türetilen 60 belgelik ikinci alt küme ilan edilmiş tarama protokolüyle oluşturulur; iki ön-kayıtlı hipotez orada onaylayıcı sınanır. Temsil farkı en az beş dağılım ölçüsünde nicel raporlanır. Gözlenen etki saptanabilir en küçük farkın altındaysa genelleme iddiası daraltılır.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[İP1] Ön çalışma başarım sayılarının bayat olması ve bunların güncel başarım sanılması.</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Hiçbir ön çalışma sayısı 'güncel başarım' sayılmaz; tümü ölçüm tarihi ve sürüm mesafesiyle fizibilite göstergesi olarak sunulur. İP1 çıktılarından biri, 13 bağımlı değişken için taban metriklerin güncel sürümle yeniden koşulmasıdır. Artefaktı olmayan iddialar 'gözlem' olarak nitelenir.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[İP1 ve İP3] Veri sızıntısı veya dairesellik: altın etiketleri üreten betiğin, değerlendirilen sistemle aynı sezgisel kuralları paylaşması.</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Altın etiketler, sistemin sezgisel kurallarını yazan kişiden farklı bir ekip üyesince ve üretim sözlüğünden ayrık bir sözlükle kurulur; örtüşme oranı raporlanır. Ölçüt, sistemin kendi vetosu değil KÖR İNSAN yargısıdır. Sızıntı bulunursa ilgili küme taban olarak KULLANILMAZ.</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[İP5] Onaylı etik kurul protokolünün, deney tasarımının olgunlaşmasıyla revizyon gerektirmesi.</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Onay belgesi başvuru ekindedir; başvuru İP4 penceresinde yapılır. Revizyon İP5 penceresini aşarsa İP6, ondan bağımsız iki faaliyetiyle (replikasyon, bağımsız yeniden koşum) 10. ayda başlatılır; bütünleşik model D1-D3 ile kurulup D4 son ay eklenir. D4 verisi 11. ay sonuna kadar tamamlanamazsa modelden çıkarılır, İP5 katkısı 22'den 18'e, İP6 katkısı 12'den 8'e düşürülüp fark İP4'e aktarılarak toplam 100 korunur.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[İP2] Kısıtsız kolda kapalı küme dışına çıkan veya ayrıştırılamayan çıktı üretilmesi.</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Ayrıştırılamayan çıktı sessizce yedeğe düşürülmez; birincil analizlerde niyet-tedavi ilkesiyle yanlış cevap kodlanır, geçersiz çıktı oranı ikincil bağımlı değişken olarak raporlanır. Ayrıştırma ve yeniden deneme kuralları tüm koşullarda aynıdır.</w:t>
            </w:r>
          </w:p>
        </w:tc>
      </w:tr>
      <w:tr w:rsidR="000D0AB4" w14:paraId="708F72DA" w14:textId="77777777" w:rsidTr="00190A53">
        <w:trPr>
          <w:trHeight w:val="534"/>
          <w:jc w:val="center"/>
        </w:trPr>
        <w:tc>
          <w:tcPr>
            <w:tcW w:w="3902" w:type="dxa"/>
            <w:tcBorders>
              <w:top w:val="single" w:sz="4" w:space="0" w:color="000000"/>
              <w:left w:val="single" w:sz="4" w:space="0" w:color="000000"/>
              <w:bottom w:val="single" w:sz="4" w:space="0" w:color="000000"/>
              <w:right w:val="single" w:sz="4" w:space="0" w:color="000000"/>
            </w:tcBorders>
            <w:shd w:val="clear" w:color="auto" w:fill="auto"/>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[İP1 ve İP2] Etkileşim hipotezi (H2) ya da katılımcı deneyi kontrastları için simülasyonda gücün 0,80'in altında çıkması.</w:t>
            </w:r>
          </w:p>
        </w:tc>
        <w:tc>
          <w:tcPr>
            <w:tcW w:w="4335"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Ön-kayıtta üç dallı bağlayıcı karar kuralı ilan edilmiştir: güç 0,80 ve üzeriyse tasarım değişmez; 0,70-0,80 aralığındaysa bozulma faktörü ikiye indirilip belge sayısı 320'ye çıkarılır; 0,70'in altındaysa H2 keşifsel etiketlenir ve yerine aynı veriyle 0,80 güçle sınanabilen basit etki hipotezi birincil ilan edilir. Katılımcı deneyinde deneme sayısı 24'ten 32'ye, gerekirse katılımcı sayısı 32'den 40'a çıkarılır. Uygulanan dal ön-kayıtta görünür.</w:t>
            </w:r>
          </w:p>
        </w:tc>
      </w:tr>
    </w:tbl>
    <w:p w14:paraId="3B06F2D4" w14:textId="77777777" w:rsidR="006F7368" w:rsidRPr="000E39BE" w:rsidRDefault="006F7368" w:rsidP="00190A53">
      <w:pPr>
        <w:widowControl/>
      </w:pPr>
    </w:p>
    <w:p w14:paraId="149E7633" w14:textId="77777777" w:rsidR="006F7368" w:rsidRPr="00190A53" w:rsidRDefault="00A17861" w:rsidP="00190A53">
      <w:pPr>
        <w:keepNext w:val="0"/>
        <w:widowControl/>
        <w:suppressAutoHyphens/>
        <w:spacing w:before="160" w:after="60" w:line="300" w:lineRule="atLeast"/>
        <w:ind w:left="360"/>
        <w:jc w:val="both"/>
        <w:rPr>
          <w:rFonts w:ascii="Arial" w:hAnsi="Arial" w:cs="Arial"/>
          <w:b/>
          <w:sz w:val="18"/>
          <w:szCs w:val="18"/>
        </w:rPr>
      </w:pPr>
      <w:r>
        <w:rPr>
          <w:rFonts w:ascii="Arial" w:hAnsi="Arial" w:cs="Arial" w:eastAsia="Arial"/>
          <w:b/>
          <w:i w:val="0"/>
          <w:color w:val="1F3864"/>
          <w:sz w:val="19"/>
          <w:szCs w:val="18"/>
        </w:rPr>
        <w:t>3.3.</w:t>
      </w:r>
      <w:r w:rsidR="002E7A1C" w:rsidRPr="00190A53">
        <w:rPr>
          <w:rFonts w:ascii="Arial" w:hAnsi="Arial" w:cs="Arial" w:eastAsia="Arial"/>
          <w:b/>
          <w:i w:val="0"/>
          <w:color w:val="1F3864"/>
          <w:sz w:val="19"/>
          <w:szCs w:val="18"/>
        </w:rPr>
        <w:t>Araştırma Olanakları</w:t>
      </w:r>
    </w:p>
    <w:p w14:paraId="7377FD63" w14:textId="77777777" w:rsidR="006F7368" w:rsidRDefault="006F7368">
      <w:pPr>
        <w:widowControl/>
        <w:suppressAutoHyphens/>
        <w:ind w:left="357"/>
        <w:jc w:val="both"/>
        <w:rPr>
          <w:rFonts w:ascii="Arial" w:hAnsi="Arial" w:cs="Arial"/>
          <w:bCs/>
          <w:sz w:val="18"/>
          <w:szCs w:val="18"/>
        </w:rPr>
      </w:pPr>
    </w:p>
    <w:p w14:paraId="5D40AB9C" w14:textId="77777777" w:rsidR="006F7368" w:rsidRDefault="002E7A1C">
      <w:pPr>
        <w:keepNext w:val="0"/>
        <w:widowControl/>
        <w:spacing w:before="160" w:after="60"/>
        <w:contextualSpacing/>
        <w:jc w:val="center"/>
        <w:rPr>
          <w:rFonts w:ascii="Arial" w:hAnsi="Arial"/>
          <w:b/>
          <w:bCs/>
          <w:sz w:val="16"/>
          <w:szCs w:val="18"/>
        </w:rPr>
      </w:pPr>
      <w:r>
        <w:rPr>
          <w:rFonts w:ascii="Arial" w:hAnsi="Arial" w:cs="Arial" w:eastAsia="Arial"/>
          <w:b/>
          <w:bCs/>
          <w:i w:val="0"/>
          <w:color w:val="1F3864"/>
          <w:sz w:val="19"/>
          <w:szCs w:val="18"/>
        </w:rPr>
        <w:t xml:space="preserve">ARAŞTIRMA OLANAKLARI TABLOSU </w:t>
      </w:r>
      <w:r>
        <w:rPr>
          <w:rFonts w:ascii="Arial" w:hAnsi="Arial" w:cs="Arial" w:eastAsia="Arial"/>
          <w:b/>
          <w:bCs/>
          <w:i w:val="0"/>
          <w:color w:val="1F3864"/>
          <w:sz w:val="19"/>
          <w:szCs w:val="18"/>
        </w:rPr>
        <w:t>(*)</w:t>
      </w:r>
    </w:p>
    <w:p w14:paraId="15046833" w14:textId="77777777" w:rsidR="006F7368" w:rsidRDefault="006F7368">
      <w:pPr>
        <w:widowControl/>
        <w:spacing w:before="280" w:after="119"/>
        <w:contextualSpacing/>
        <w:jc w:val="center"/>
        <w:rPr>
          <w:rFonts w:ascii="Arial" w:hAnsi="Arial" w:cs="Arial"/>
          <w:b/>
          <w:bCs/>
          <w:color w:val="000000"/>
          <w:sz w:val="18"/>
          <w:szCs w:val="18"/>
        </w:rPr>
      </w:pPr>
    </w:p>
    <w:tbl>
      <w:tblPr>
        <w:tblW w:w="4545" w:type="pct"/>
        <w:jc w:val="center"/>
        <w:tblCellMar>
          <w:left w:w="70" w:type="dxa"/>
          <w:right w:w="70" w:type="dxa"/>
        </w:tblCellMar>
        <w:tblLook w:val="04A0" w:firstRow="1" w:lastRow="0" w:firstColumn="1" w:lastColumn="0" w:noHBand="0" w:noVBand="1"/>
      </w:tblPr>
      <w:tblGrid>
        <w:gridCol w:w="4299"/>
        <w:gridCol w:w="3937"/>
      </w:tblGrid>
      <w:tr w:rsidR="006F7368" w14:paraId="55E9FBF8" w14:textId="77777777" w:rsidTr="000D0AB4">
        <w:trPr>
          <w:trHeight w:val="550"/>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651E2EE9" w14:textId="77777777" w:rsidR="006F7368" w:rsidRDefault="002E7A1C">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Kuruluşta Bulunan Altyapı/Ekipman Türü, Modeli</w:t>
            </w:r>
          </w:p>
          <w:p w14:paraId="51FA9E4C" w14:textId="77777777" w:rsidR="006F7368" w:rsidRDefault="002E7A1C">
            <w:pPr>
              <w:widowControl/>
              <w:spacing w:before="280" w:after="119"/>
              <w:contextualSpacing/>
              <w:jc w:val="center"/>
              <w:rPr>
                <w:rFonts w:ascii="Arial" w:hAnsi="Arial" w:cs="Arial"/>
                <w:sz w:val="18"/>
                <w:szCs w:val="18"/>
              </w:rPr>
            </w:pPr>
            <w:r>
              <w:rPr>
                <w:rFonts w:ascii="Arial" w:hAnsi="Arial" w:cs="Arial" w:eastAsia="Arial"/>
                <w:b/>
                <w:i w:val="0"/>
                <w:color w:val="FFFFFF"/>
                <w:sz w:val="17"/>
                <w:szCs w:val="18"/>
              </w:rPr>
              <w:t>(Laboratuvar, Araç, Makine-Teçhizat, vb.)</w:t>
            </w:r>
          </w:p>
        </w:tc>
        <w:tc>
          <w:tcPr>
            <w:tcW w:w="3937"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1697BAE7" w14:textId="77777777" w:rsidR="006F7368" w:rsidRDefault="002E7A1C">
            <w:pPr>
              <w:widowControl/>
              <w:spacing w:before="280" w:after="119"/>
              <w:contextualSpacing/>
              <w:jc w:val="center"/>
              <w:rPr>
                <w:rFonts w:ascii="Arial" w:hAnsi="Arial" w:cs="Arial"/>
                <w:b/>
                <w:bCs/>
                <w:sz w:val="18"/>
                <w:szCs w:val="18"/>
              </w:rPr>
            </w:pPr>
            <w:r>
              <w:rPr>
                <w:rFonts w:ascii="Arial" w:hAnsi="Arial" w:cs="Arial" w:eastAsia="Arial"/>
                <w:b/>
                <w:bCs/>
                <w:i w:val="0"/>
                <w:color w:val="FFFFFF"/>
                <w:sz w:val="17"/>
                <w:szCs w:val="18"/>
              </w:rPr>
              <w:t>Projede Kullanım Amacı</w:t>
            </w:r>
          </w:p>
        </w:tc>
      </w:tr>
      <w:tr w:rsidR="006F7368" w14:paraId="1F6B5715"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Genel yaklaşım</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Proje, ek bir altyapı yatırımı gerektirmeyecek biçimde tasarlanmıştır.</w:t>
            </w:r>
          </w:p>
        </w:tc>
      </w:tr>
      <w:tr w:rsidR="006F7368" w14:paraId="6A7B7FEB"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Donanım</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Deneyler ekip üyelerinin mevcut kişisel bilgisayarlarında yürütülür; donanım alımı talep edilmemektedir. Birincil deney makinesi 6 çekirdekli / 12 iş parçacıklı, yaklaşık 3,8 GHz masaüstü işlemci, 48 GB sistem belleği, 12 GB görüntü belleğine sahip bir hesaplama hızlandırıcısı ve 1 TB katı hâl sürücü içerir. Yerel açık ağırlıklı model 4-bit nicelemeli çalıştırılacağından yaklaşık 6 GB görüntü belleği yeterlidir; mevcut 12 GB, bu kolu toplu koşumla tam kapasitede yürütmeye elverişlidir ve sağlayıcı bloğunun yerel seviyesi için ek kaynak gerektirmez. Katılımcı oturumları danışmanın bölümündeki mevcut derslik ve çalışma odalarında yürütülür.</w:t>
            </w:r>
          </w:p>
        </w:tc>
      </w:tr>
      <w:tr w:rsidR="006F7368" w14:paraId="6A7B7FEB"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Yazılım ve ölçüm altyapısı</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Uçtan uca yürütme grafı, altın kümeye karşı koşan değerlendirme takımı, Wilson güven aralığı ile kesin McNemar ve önyükleme yordamlarını içeren istatistik modülü ve deterministik yedek katmanı ön çalışma kapsamında kurulmuş, çalışır durumdadır; proje süresi altyapı kurmaya değil deney yürütmeye ayrılacaktır. Kullanılacak tüm çözümleme araçları açık kaynaklıdır ve lisans bedeli doğurmamaktadır.</w:t>
            </w:r>
          </w:p>
        </w:tc>
      </w:tr>
      <w:tr w:rsidR="006F7368" w14:paraId="6A7B7FEB"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Veri</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Belge kümesi proje kapsamında sentetik olarak üretilecektir; mevzuat metinleri kamuya açık kaynaklardan derlenir. Gerçek kamu verisine, kurum içi sisteme veya kişisel veri barındıran hiçbir kaynağa erişim ihtiyacı yoktur; bu, projenin hem etik hem de fizibilite bakımından bağımsız yürüyebilmesini sağlar.</w:t>
            </w:r>
          </w:p>
        </w:tc>
      </w:tr>
      <w:tr w:rsidR="006F7368" w14:paraId="6A7B7FEB"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pPr>
            <w:r>
              <w:rPr>
                <w:rFonts w:ascii="Arial" w:hAnsi="Arial" w:cs="Arial" w:eastAsia="Arial"/>
                <w:b w:val="0"/>
                <w:i w:val="0"/>
                <w:sz w:val="18"/>
              </w:rPr>
              <w:t>Danışman desteği</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Danışman öğretim üyesi, ön-kayıt onayı, istatistiksel model denetimi, kodlama kılavuzu hakemliği ve etik uygunluk denetimi başlıklarında düzenli olarak katkı verecek; ayrıca katılımcı deneyi için bölüm içi duyuru ve mekân desteği sağlayacaktır.</w:t>
            </w:r>
          </w:p>
        </w:tc>
      </w:tr>
      <w:tr w:rsidR="006F7368" w14:paraId="6A7B7FEB" w14:textId="77777777" w:rsidTr="000D0AB4">
        <w:trPr>
          <w:trHeight w:val="479"/>
          <w:jc w:val="center"/>
        </w:trPr>
        <w:tc>
          <w:tcPr>
            <w:tcW w:w="4299"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pPr>
            <w:r>
              <w:rPr>
                <w:rFonts w:ascii="Arial" w:hAnsi="Arial" w:cs="Arial" w:eastAsia="Arial"/>
                <w:b w:val="0"/>
                <w:i w:val="0"/>
                <w:sz w:val="18"/>
              </w:rPr>
              <w:t>Dış hizmet</w:t>
            </w:r>
          </w:p>
        </w:tc>
        <w:tc>
          <w:tcPr>
            <w:tcW w:w="3937" w:type="dxa"/>
            <w:tcBorders>
              <w:top w:val="single" w:sz="4" w:space="0" w:color="000000"/>
              <w:left w:val="single" w:sz="4" w:space="0" w:color="000000"/>
              <w:bottom w:val="single" w:sz="4" w:space="0" w:color="000000"/>
              <w:right w:val="single" w:sz="4" w:space="0" w:color="000000"/>
            </w:tcBorders>
            <w:shd w:val="clear" w:color="auto" w:fill="auto"/>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EEF2F8"/>
          </w:tcPr>
          <w:p>
            <w:pPr>
              <w:widowControl/>
              <w:spacing w:after="40" w:before="0"/>
              <w:jc w:val="both"/>
            </w:pPr>
            <w:r>
              <w:rPr>
                <w:rFonts w:ascii="Arial" w:hAnsi="Arial" w:cs="Arial" w:eastAsia="Arial"/>
                <w:b w:val="0"/>
                <w:i w:val="0"/>
                <w:sz w:val="18"/>
              </w:rPr>
              <w:t>Yalnız iki kalemde ekip dışı hizmet alınacaktır - kör etiketleme (üç bağımsız etiketleyici) ve yeniden üretim paketinin ekip dışı bir kişi tarafından bağımsız koşturulması. Her ikisi de bütçede hizmet alımı olarak yer almakta olup proje ekibi üyesi değildirler.</w:t>
            </w:r>
          </w:p>
        </w:tc>
      </w:tr>
    </w:tbl>
    <w:p w14:paraId="2AB0406A" w14:textId="77777777" w:rsidR="000E39BE" w:rsidRDefault="000E39BE">
      <w:pPr>
        <w:pStyle w:val="WW-NormalWeb1"/>
        <w:widowControl/>
        <w:spacing w:before="0" w:after="0"/>
        <w:contextualSpacing/>
        <w:jc w:val="both"/>
        <w:rPr>
          <w:rFonts w:ascii="Arial" w:hAnsi="Arial" w:cs="Arial"/>
          <w:sz w:val="16"/>
          <w:szCs w:val="16"/>
        </w:rPr>
      </w:pPr>
    </w:p>
    <w:p w14:paraId="46A3F155" w14:textId="77777777" w:rsidR="006F7368" w:rsidRDefault="000E39BE">
      <w:pPr>
        <w:pStyle w:val="WW-NormalWeb1"/>
        <w:keepNext w:val="0"/>
        <w:widowControl/>
        <w:numPr>
          <w:ilvl w:val="0"/>
          <w:numId w:val="5"/>
        </w:numPr>
        <w:spacing w:before="220" w:after="80"/>
        <w:jc w:val="both"/>
        <w:rPr>
          <w:rFonts w:ascii="Arial" w:hAnsi="Arial" w:cs="Arial"/>
          <w:bCs/>
          <w:sz w:val="18"/>
          <w:szCs w:val="18"/>
        </w:rPr>
        <w:pBdr>
          <w:bottom w:val="single" w:sz="8" w:space="3" w:color="1F3864"/>
        </w:pBdr>
      </w:pPr>
      <w:r>
        <w:rPr>
          <w:rFonts w:ascii="Arial" w:hAnsi="Arial" w:cs="Arial" w:eastAsia="Arial"/>
          <w:b/>
          <w:bCs/>
          <w:i w:val="0"/>
          <w:color w:val="1F3864"/>
          <w:sz w:val="22"/>
          <w:szCs w:val="18"/>
        </w:rPr>
        <w:t xml:space="preserve">ARAŞTIRMA ÖNERİSİNİN </w:t>
      </w:r>
      <w:r w:rsidR="002E7A1C">
        <w:rPr>
          <w:rFonts w:ascii="Arial" w:hAnsi="Arial" w:cs="Arial" w:eastAsia="Arial"/>
          <w:b/>
          <w:bCs/>
          <w:i w:val="0"/>
          <w:color w:val="1F3864"/>
          <w:sz w:val="22"/>
          <w:szCs w:val="18"/>
        </w:rPr>
        <w:t>YAYGIN ETKİ</w:t>
      </w:r>
      <w:r>
        <w:rPr>
          <w:rFonts w:ascii="Arial" w:hAnsi="Arial" w:cs="Arial" w:eastAsia="Arial"/>
          <w:b/>
          <w:bCs/>
          <w:i w:val="0"/>
          <w:color w:val="1F3864"/>
          <w:sz w:val="22"/>
          <w:szCs w:val="18"/>
        </w:rPr>
        <w:t>Sİ</w:t>
      </w:r>
    </w:p>
    <w:p w14:paraId="1A6E2704" w14:textId="77777777" w:rsidR="006F7368" w:rsidRDefault="006F7368">
      <w:pPr>
        <w:pStyle w:val="WW-NormalWeb1"/>
        <w:widowControl/>
        <w:tabs>
          <w:tab w:val="left" w:pos="426"/>
        </w:tabs>
        <w:spacing w:before="0" w:after="0"/>
        <w:jc w:val="both"/>
        <w:rPr>
          <w:rFonts w:ascii="Arial" w:hAnsi="Arial" w:cs="Arial"/>
          <w:b/>
          <w:bCs/>
          <w:sz w:val="16"/>
          <w:szCs w:val="16"/>
        </w:rPr>
      </w:pPr>
    </w:p>
    <w:p w14:paraId="0801771F" w14:textId="71D24CDC" w:rsidR="006F7368" w:rsidRDefault="006F7368">
      <w:pPr>
        <w:widowControl/>
        <w:jc w:val="center"/>
        <w:rPr>
          <w:rFonts w:ascii="Arial" w:hAnsi="Arial" w:cs="Arial"/>
          <w:b/>
          <w:sz w:val="18"/>
          <w:szCs w:val="18"/>
        </w:rPr>
      </w:pPr>
    </w:p>
    <w:tbl>
      <w:tblPr>
        <w:tblW w:w="4850" w:type="pct"/>
        <w:tblInd w:w="109" w:type="dxa"/>
        <w:shd w:val="clear" w:color="auto" w:fill="FFFFFF"/>
        <w:tblLook w:val="04A0" w:firstRow="1" w:lastRow="0" w:firstColumn="1" w:lastColumn="0" w:noHBand="0" w:noVBand="1"/>
      </w:tblPr>
      <w:tblGrid>
        <w:gridCol w:w="4089"/>
        <w:gridCol w:w="4699"/>
      </w:tblGrid>
      <w:tr w:rsidR="006F7368" w14:paraId="13C30C03" w14:textId="77777777" w:rsidTr="00BB5D2F">
        <w:trPr>
          <w:trHeight w:val="515"/>
        </w:trPr>
        <w:tc>
          <w:tcPr>
            <w:tcW w:w="408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3B438427" w14:textId="1D50951B" w:rsidR="006F7368" w:rsidRDefault="000E39BE" w:rsidP="00190A53">
            <w:pPr>
              <w:widowControl/>
              <w:rPr>
                <w:rFonts w:ascii="Arial" w:hAnsi="Arial" w:cs="Arial"/>
                <w:b/>
                <w:bCs/>
                <w:sz w:val="18"/>
                <w:szCs w:val="18"/>
              </w:rPr>
            </w:pPr>
            <w:r>
              <w:rPr>
                <w:rFonts w:ascii="Arial" w:hAnsi="Arial" w:cs="Arial" w:eastAsia="Arial"/>
                <w:b/>
                <w:bCs/>
                <w:i w:val="0"/>
                <w:color w:val="FFFFFF"/>
                <w:sz w:val="17"/>
                <w:szCs w:val="18"/>
              </w:rPr>
              <w:t>Çıktı</w:t>
            </w:r>
            <w:r w:rsidR="00BB5D2F">
              <w:rPr>
                <w:rFonts w:ascii="Arial" w:hAnsi="Arial" w:cs="Arial" w:eastAsia="Arial"/>
                <w:b/>
                <w:bCs/>
                <w:i w:val="0"/>
                <w:color w:val="FFFFFF"/>
                <w:sz w:val="17"/>
                <w:szCs w:val="18"/>
              </w:rPr>
              <w:t>, Etki ve Kazanımlar</w:t>
            </w:r>
          </w:p>
        </w:tc>
        <w:tc>
          <w:tcPr>
            <w:tcW w:w="469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shd w:val="clear" w:color="auto" w:fill="1F3864"/>
          </w:tcPr>
          <w:p w14:paraId="2831A63C" w14:textId="1A993903" w:rsidR="006F7368" w:rsidRDefault="000E39BE" w:rsidP="00190A53">
            <w:pPr>
              <w:widowControl/>
              <w:rPr>
                <w:rFonts w:ascii="Arial" w:hAnsi="Arial" w:cs="Arial"/>
                <w:b/>
                <w:bCs/>
                <w:sz w:val="18"/>
                <w:szCs w:val="18"/>
              </w:rPr>
            </w:pPr>
            <w:r>
              <w:rPr>
                <w:rFonts w:ascii="Arial" w:hAnsi="Arial" w:cs="Arial" w:eastAsia="Arial"/>
                <w:b/>
                <w:bCs/>
                <w:i w:val="0"/>
                <w:color w:val="FFFFFF"/>
                <w:sz w:val="17"/>
                <w:szCs w:val="18"/>
              </w:rPr>
              <w:t>Öngörülen</w:t>
            </w:r>
            <w:r w:rsidR="002E7A1C">
              <w:rPr>
                <w:rFonts w:ascii="Arial" w:hAnsi="Arial" w:cs="Arial" w:eastAsia="Arial"/>
                <w:b/>
                <w:bCs/>
                <w:i w:val="0"/>
                <w:color w:val="FFFFFF"/>
                <w:sz w:val="17"/>
                <w:szCs w:val="18"/>
              </w:rPr>
              <w:t xml:space="preserve"> Çıktı</w:t>
            </w:r>
            <w:r>
              <w:rPr>
                <w:rFonts w:ascii="Arial" w:hAnsi="Arial" w:cs="Arial" w:eastAsia="Arial"/>
                <w:b/>
                <w:bCs/>
                <w:i w:val="0"/>
                <w:color w:val="FFFFFF"/>
                <w:sz w:val="17"/>
                <w:szCs w:val="18"/>
              </w:rPr>
              <w:t>(lar)</w:t>
            </w:r>
            <w:r w:rsidR="00BB5D2F">
              <w:rPr>
                <w:rFonts w:ascii="Arial" w:hAnsi="Arial" w:cs="Arial" w:eastAsia="Arial"/>
                <w:b/>
                <w:bCs/>
                <w:i w:val="0"/>
                <w:color w:val="FFFFFF"/>
                <w:sz w:val="17"/>
                <w:szCs w:val="18"/>
              </w:rPr>
              <w:t>, Etki(ler) ve Kazanım(lar)</w:t>
            </w:r>
          </w:p>
        </w:tc>
      </w:tr>
      <w:tr w:rsidR="00BB5D2F" w14:paraId="39CAE594" w14:textId="77777777" w:rsidTr="00190A53">
        <w:trPr>
          <w:trHeight w:val="1194"/>
        </w:trPr>
        <w:tc>
          <w:tcPr>
            <w:tcW w:w="408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14:paraId="30FF034B" w14:textId="77777777" w:rsidR="00BB5D2F" w:rsidRDefault="00BB5D2F" w:rsidP="00BB5D2F">
            <w:pPr>
              <w:widowControl/>
              <w:rPr>
                <w:rFonts w:ascii="Arial" w:hAnsi="Arial" w:cs="Arial"/>
                <w:b/>
                <w:bCs/>
                <w:sz w:val="18"/>
                <w:szCs w:val="18"/>
              </w:rPr>
            </w:pPr>
            <w:r>
              <w:rPr>
                <w:rFonts w:ascii="Arial" w:hAnsi="Arial" w:cs="Arial"/>
                <w:b/>
                <w:bCs/>
                <w:sz w:val="18"/>
                <w:szCs w:val="18"/>
              </w:rPr>
              <w:t>Bilimsel/Akademik Çıktılar</w:t>
            </w:r>
          </w:p>
          <w:p w14:paraId="5E61FA3F" w14:textId="183FDA06" w:rsidR="00BB5D2F" w:rsidRDefault="00BB5D2F" w:rsidP="00BB5D2F">
            <w:pPr>
              <w:widowControl/>
              <w:rPr>
                <w:rFonts w:ascii="Arial" w:hAnsi="Arial" w:cs="Arial"/>
                <w:bCs/>
                <w:sz w:val="16"/>
                <w:szCs w:val="16"/>
              </w:rPr>
            </w:pPr>
            <w:r>
              <w:rPr>
                <w:rFonts w:ascii="Arial" w:hAnsi="Arial" w:cs="Arial"/>
                <w:bCs/>
                <w:sz w:val="16"/>
                <w:szCs w:val="16"/>
              </w:rPr>
              <w:t>(Ulusal/Uluslararası Makale, Kitap Bölümü, Kitap, Bildiri vb.)</w:t>
            </w:r>
          </w:p>
        </w:tc>
        <w:tc>
          <w:tcPr>
            <w:tcW w:w="4699" w:type="dxa"/>
            <w:tcBorders>
              <w:top w:val="single" w:sz="4" w:space="0" w:color="000000"/>
              <w:left w:val="single" w:sz="4" w:space="0" w:color="000000"/>
              <w:bottom w:val="single" w:sz="4" w:space="0" w:color="000000"/>
              <w:right w:val="single" w:sz="4" w:space="0" w:color="000000"/>
            </w:tcBorders>
            <w:shd w:val="clear" w:color="auto" w:fill="FFFFFF"/>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Çıktıların büyük bölümü iş paketleriyle (İP1-İP6) eşleştirilmiştir; her biri sayılı ve tarihlidir, belirleyici olanların kabul ölçütü önceden ilan edilmiştir. Ön-kayıtta kilitlenen hipotezlerden anlamsız çıkanlar da anlamlı çıkanlarla aynı ayrıntıda yayımlanacaktır; olumsuz bulgunun gizlenmesi bir çıktı kazancı değil, geçerlilik kaybı sayılır.</w:t>
            </w:r>
          </w:p>
          <w:p>
            <w:pPr>
              <w:widowControl/>
              <w:spacing w:after="40" w:before="0"/>
              <w:jc w:val="both"/>
            </w:pPr>
            <w:r>
              <w:rPr>
                <w:rFonts w:ascii="Arial" w:hAnsi="Arial" w:cs="Arial" w:eastAsia="Arial"/>
                <w:b w:val="0"/>
                <w:i w:val="0"/>
                <w:sz w:val="18"/>
              </w:rPr>
              <w:t>- Açık erişimli ön-kayıt belgesi - 1 adet - 2. ay. Hipotezler, onaylayıcı test ailesi, dışlama ve aykırı değer ölçütleri ve analiz planı veri toplanmadan önce kamuya açılır. Kabul ölçütü: belgenin değiştirilemez zaman damgasıyla erişime açılması.</w:t>
            </w:r>
          </w:p>
          <w:p>
            <w:pPr>
              <w:widowControl/>
              <w:spacing w:after="40" w:before="0"/>
              <w:jc w:val="both"/>
            </w:pPr>
            <w:r>
              <w:rPr>
                <w:rFonts w:ascii="Arial" w:hAnsi="Arial" w:cs="Arial" w:eastAsia="Arial"/>
                <w:b w:val="0"/>
                <w:i w:val="0"/>
                <w:sz w:val="18"/>
              </w:rPr>
              <w:t>- Ulusal hakemli kongre bildirisi - 1 adet - 10. ay. İçerik: katmanlı ölçüm kümesi ile mimari x girdi bozulma düzeyi faktöriyel deneyi (İP1-İP2). Kabul ölçütü: tam metnin hakem değerlendirmesinden geçip bildiri kitabında yayımlanması.</w:t>
            </w:r>
          </w:p>
          <w:p>
            <w:pPr>
              <w:widowControl/>
              <w:spacing w:after="40" w:before="0"/>
              <w:jc w:val="both"/>
            </w:pPr>
            <w:r>
              <w:rPr>
                <w:rFonts w:ascii="Arial" w:hAnsi="Arial" w:cs="Arial" w:eastAsia="Arial"/>
                <w:b w:val="0"/>
                <w:i w:val="0"/>
                <w:sz w:val="18"/>
              </w:rPr>
              <w:t>- Uluslararası hakemli konferans bildirisi - 1 adet - 12. ayda gönderim. İçerik: kaynak-dayanak doğrulama kapısının sıkılık-ödünleşim eğrisi ve ölçüm geçerliliği; dayanaklılığı üretim sonrası etiketleyen çerçeveler [7] ve geri getirmeyle güçlendirilmiş üretimin hukuki alanda uydurmayı ortadan kaldırmadığı bulguları [9][10] üzerine, kısıtın mimariye gömüldüğü karşılaştırmalı ölçüm koyar.</w:t>
            </w:r>
          </w:p>
          <w:p>
            <w:pPr>
              <w:widowControl/>
              <w:spacing w:after="40" w:before="0"/>
              <w:jc w:val="both"/>
            </w:pPr>
            <w:r>
              <w:rPr>
                <w:rFonts w:ascii="Arial" w:hAnsi="Arial" w:cs="Arial" w:eastAsia="Arial"/>
                <w:b w:val="0"/>
                <w:i w:val="0"/>
                <w:sz w:val="18"/>
              </w:rPr>
              <w:t>- Ulusal hakemli dergi makalesi - 1 adet - 12. ayda gönderim. İçerik: insan gözetiminin etkinliğini gerekçe düzeyi müdahalesi ve sistemsiz taban koşuluyla sınayan kontrollü katılımcı deneyi (İP5); gözetimi normatif düzeyde savunan alanyazına [16][17] ampirik ölçüm sunar.</w:t>
            </w:r>
          </w:p>
          <w:p>
            <w:pPr>
              <w:widowControl/>
              <w:spacing w:after="40" w:before="0"/>
            </w:pPr>
            <w:r>
              <w:rPr>
                <w:rFonts w:ascii="Arial" w:hAnsi="Arial" w:cs="Arial" w:eastAsia="Arial"/>
                <w:b w:val="0"/>
                <w:i w:val="0"/>
                <w:sz w:val="18"/>
              </w:rPr>
              <w:t>- Lisans bitirme çalışması / öğrenci semineri - 2 adet - 8. ve 12. ay.</w:t>
            </w:r>
          </w:p>
          <w:p>
            <w:pPr>
              <w:widowControl/>
              <w:spacing w:after="40" w:before="0"/>
              <w:jc w:val="both"/>
            </w:pPr>
            <w:r>
              <w:rPr>
                <w:rFonts w:ascii="Arial" w:hAnsi="Arial" w:cs="Arial" w:eastAsia="Arial"/>
                <w:b w:val="0"/>
                <w:i w:val="0"/>
                <w:sz w:val="18"/>
              </w:rPr>
              <w:t>- Kitap, kitap bölümü ve patent hedeflenmemektedir; on iki aylık sürede ve bu ekip büyüklüğünde gerçekçi bulunmamıştır. Hedefin abartılmaması bilinçli bir tercihtir.</w:t>
            </w:r>
          </w:p>
        </w:tc>
      </w:tr>
      <w:tr w:rsidR="00BB5D2F" w14:paraId="4D634948" w14:textId="77777777" w:rsidTr="00190A53">
        <w:trPr>
          <w:trHeight w:val="1194"/>
        </w:trPr>
        <w:tc>
          <w:tcPr>
            <w:tcW w:w="408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14:paraId="17116015" w14:textId="77777777" w:rsidR="00BB5D2F" w:rsidRDefault="00BB5D2F" w:rsidP="00BB5D2F">
            <w:pPr>
              <w:widowControl/>
              <w:jc w:val="both"/>
              <w:rPr>
                <w:rFonts w:ascii="Arial" w:eastAsia="Calibri" w:hAnsi="Arial" w:cs="Arial"/>
                <w:b/>
                <w:bCs/>
                <w:sz w:val="18"/>
                <w:szCs w:val="18"/>
                <w:lang w:eastAsia="en-US"/>
              </w:rPr>
            </w:pPr>
            <w:r>
              <w:rPr>
                <w:rFonts w:ascii="Arial" w:eastAsia="Calibri" w:hAnsi="Arial" w:cs="Arial"/>
                <w:b/>
                <w:bCs/>
                <w:sz w:val="18"/>
                <w:szCs w:val="18"/>
                <w:lang w:eastAsia="en-US"/>
              </w:rPr>
              <w:t>Ekonomik/Ticari/Sosyal Çıktılar</w:t>
            </w:r>
          </w:p>
          <w:p w14:paraId="2C6F5036" w14:textId="6116C279" w:rsidR="00BB5D2F" w:rsidRDefault="00BB5D2F" w:rsidP="00BB5D2F">
            <w:pPr>
              <w:widowControl/>
              <w:jc w:val="both"/>
              <w:rPr>
                <w:rFonts w:ascii="Arial" w:eastAsia="Calibri" w:hAnsi="Arial" w:cs="Arial"/>
                <w:bCs/>
                <w:sz w:val="16"/>
                <w:szCs w:val="16"/>
                <w:lang w:eastAsia="en-US"/>
              </w:rPr>
            </w:pPr>
            <w:r>
              <w:rPr>
                <w:rFonts w:ascii="Arial" w:eastAsia="Calibri" w:hAnsi="Arial" w:cs="Arial"/>
                <w:bCs/>
                <w:sz w:val="16"/>
                <w:szCs w:val="16"/>
                <w:lang w:eastAsia="en-US"/>
              </w:rPr>
              <w:t>(Ürün, Prototip, Patent, Faydalı Model, Tescil, Görsel/İşitsel Arşiv, Envanter/Veri Tabanı, Çalıştay, Eğitim, Bilimsel Etkinlik vb. )</w:t>
            </w:r>
          </w:p>
        </w:tc>
        <w:tc>
          <w:tcPr>
            <w:tcW w:w="4699" w:type="dxa"/>
            <w:tcBorders>
              <w:top w:val="single" w:sz="4" w:space="0" w:color="000000"/>
              <w:left w:val="single" w:sz="4" w:space="0" w:color="000000"/>
              <w:bottom w:val="single" w:sz="4" w:space="0" w:color="000000"/>
              <w:right w:val="single" w:sz="4" w:space="0" w:color="000000"/>
            </w:tcBorders>
            <w:shd w:val="clear" w:color="auto" w:fill="FFFFFF"/>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 Açık erişimli değerlendirme veri tabanı - 1 adet, 360 belge (240 ana + 120 doğrulayıcı replikasyon) - 4. ayda ilk, 12. ayda nihai sürüm. On sekiz evrak türü ile çekimserlik etiketinden oluşan kapalı küme; tür, hedef birim, eksik zorunlu alan ve ilgili mevzuat alanlarında altın etiketli. Tamamı sentetik ve kurgudur; gerçek kişi, kurum kaydı, kimlik numarası, telefon veya adres içermez. Sürüm damgalı ve kalıcı tanımlayıcılı açık arşive, teknik belgelendirmesiyle yüklenir.</w:t>
            </w:r>
          </w:p>
          <w:p>
            <w:pPr>
              <w:widowControl/>
              <w:spacing w:after="40" w:before="0"/>
              <w:jc w:val="both"/>
            </w:pPr>
            <w:r>
              <w:rPr>
                <w:rFonts w:ascii="Arial" w:hAnsi="Arial" w:cs="Arial" w:eastAsia="Arial"/>
                <w:b w:val="0"/>
                <w:i w:val="0"/>
                <w:sz w:val="18"/>
              </w:rPr>
              <w:t>- İddia düzeyi kör etiketli dayanaklılık altın kümesi ve kodlama kılavuzu - 300 iddia - 7. ay. Üç bağımsız etiketleyicinin tam çapraz tasarımla ürettiği etiketler, uyum katsayılarıyla yayımlanır.</w:t>
            </w:r>
          </w:p>
          <w:p>
            <w:pPr>
              <w:widowControl/>
              <w:spacing w:after="40" w:before="0"/>
              <w:jc w:val="both"/>
            </w:pPr>
            <w:r>
              <w:rPr>
                <w:rFonts w:ascii="Arial" w:hAnsi="Arial" w:cs="Arial" w:eastAsia="Arial"/>
                <w:b w:val="0"/>
                <w:i w:val="0"/>
                <w:sz w:val="18"/>
              </w:rPr>
              <w:t>- Açık kaynak ölçüm ve yeniden üretim paketi - 1 adet - 12. ay. İzin verici lisansla; güçlü karşılıklılık şartlı bağımlılıklar bilinçli dışlanır (kamu kurumunun benimsemesini hukuken zorlaştırır). Paket, dış servis erişimi olmadan deterministik kipte tek komutla koşar. Kabul ölçütü: ekip dışından bağımsız bir kişinin deterministik metrikleri en fazla yüzde bir sapmayla yeniden üretmesi (İP6).</w:t>
            </w:r>
          </w:p>
          <w:p>
            <w:pPr>
              <w:widowControl/>
              <w:spacing w:after="40" w:before="0"/>
              <w:jc w:val="both"/>
            </w:pPr>
            <w:r>
              <w:rPr>
                <w:rFonts w:ascii="Arial" w:hAnsi="Arial" w:cs="Arial" w:eastAsia="Arial"/>
                <w:b w:val="0"/>
                <w:i w:val="0"/>
                <w:sz w:val="18"/>
              </w:rPr>
              <w:t>- Araştırma prototipi (ön çalışma prototipinin sürüm damgalı, dondurulmuş sürümü) - 1 adet - 12. ay. Ticari ürün olarak değil, ölçüm aracı olarak yayımlanır.</w:t>
            </w:r>
          </w:p>
          <w:p>
            <w:pPr>
              <w:widowControl/>
              <w:spacing w:after="40" w:before="0"/>
              <w:jc w:val="both"/>
            </w:pPr>
            <w:r>
              <w:rPr>
                <w:rFonts w:ascii="Arial" w:hAnsi="Arial" w:cs="Arial" w:eastAsia="Arial"/>
                <w:b w:val="0"/>
                <w:i w:val="0"/>
                <w:sz w:val="18"/>
              </w:rPr>
              <w:t>- Uygulayıcıya yönelik çevrim içi açık seminer - 1 adet - proje bütçesi dışında ve takvime iş adımı eklenmeksizin planlanmaktadır. İçerik: karar destek çıktısının denetlenmesi ve kalibre güven bandının okunması. Katılımcı sayısı başarı ölçütü olarak taahhüt edilmemektedir; kamu görevlisi erişimi İP5 risk analizinde belirsizlik olarak ilan edilmiştir.</w:t>
            </w:r>
          </w:p>
          <w:p>
            <w:pPr>
              <w:widowControl/>
              <w:spacing w:after="40" w:before="0"/>
            </w:pPr>
            <w:r>
              <w:rPr>
                <w:rFonts w:ascii="Arial" w:hAnsi="Arial" w:cs="Arial" w:eastAsia="Arial"/>
                <w:b w:val="0"/>
                <w:i w:val="0"/>
                <w:sz w:val="18"/>
              </w:rPr>
              <w:t>- Kısa uygulayıcı kılavuzu - 1 adet - açık lisansla, takvime ayrı iş adımı yazılmaksızın paylaşılır.</w:t>
            </w:r>
          </w:p>
          <w:p>
            <w:pPr>
              <w:widowControl/>
              <w:spacing w:after="40" w:before="0"/>
              <w:jc w:val="both"/>
            </w:pPr>
            <w:r>
              <w:rPr>
                <w:rFonts w:ascii="Arial" w:hAnsi="Arial" w:cs="Arial" w:eastAsia="Arial"/>
                <w:b w:val="0"/>
                <w:i w:val="0"/>
                <w:sz w:val="18"/>
              </w:rPr>
              <w:t>- Kamu kurumlarına somut fayda: karar destek arayüzlerinin hangi gerekçe düzeyinde gerçekten denetlenebilir hâle geldiği ölçülür. Gerekçe ön çalışmada ölçülmüştür: güven göstergesi erişim kalitesinden bağımsız daima yüksek görünürken, mevzuat maddesi erişiminde ölçülen gerçek ilk-sıra isabeti 0,598 idi (204 belge); gösterge her beş belgenin ikisinde yanılıyor ve bunu bildirmiyordu. Çıktı, bu tür göstergelerin ölçülen isabete kalibre edilmesi için yeniden kullanılabilir bir yordamdır.</w:t>
            </w:r>
          </w:p>
          <w:p>
            <w:pPr>
              <w:widowControl/>
              <w:spacing w:after="40" w:before="0"/>
              <w:jc w:val="both"/>
            </w:pPr>
            <w:r>
              <w:rPr>
                <w:rFonts w:ascii="Arial" w:hAnsi="Arial" w:cs="Arial" w:eastAsia="Arial"/>
                <w:b w:val="0"/>
                <w:i w:val="0"/>
                <w:sz w:val="18"/>
              </w:rPr>
              <w:t>- Patent veya faydalı model başvurusu hedeflenmemektedir. Gerekçe: yaygın etki stratejisi açık veri ve açık kaynaktır; bu, kamu kurumlarının açık kaynağa geçişini hedefleyen üst politika hükümleriyle [18][19] uyumludur ve tekrarlanabilirliğin ön koşuludur.</w:t>
            </w:r>
          </w:p>
        </w:tc>
      </w:tr>
      <w:tr w:rsidR="00BB5D2F" w14:paraId="6389A37E" w14:textId="77777777" w:rsidTr="00190A53">
        <w:trPr>
          <w:trHeight w:val="1194"/>
        </w:trPr>
        <w:tc>
          <w:tcPr>
            <w:tcW w:w="4089" w:type="dxa"/>
            <w:tcBorders>
              <w:top w:val="single" w:sz="4" w:space="0" w:color="000000"/>
              <w:left w:val="single" w:sz="4" w:space="0" w:color="000000"/>
              <w:bottom w:val="single" w:sz="4" w:space="0" w:color="000000"/>
              <w:right w:val="single" w:sz="4" w:space="0" w:color="000000"/>
            </w:tcBorders>
            <w:shd w:val="clear" w:color="auto" w:fill="D9D9D9"/>
            <w:vAlign w:val="center"/>
            <w:tcBorders>
              <w:top w:val="single" w:sz="4" w:color="8EA9DB"/>
              <w:left w:val="single" w:sz="4" w:color="8EA9DB"/>
              <w:bottom w:val="single" w:sz="4" w:color="8EA9DB"/>
              <w:right w:val="single" w:sz="4" w:color="8EA9DB"/>
            </w:tcBorders>
            <w:tcMar>
              <w:top w:w="40" w:type="dxa"/>
              <w:bottom w:w="40" w:type="dxa"/>
              <w:start w:w="80" w:type="dxa"/>
              <w:end w:w="80" w:type="dxa"/>
            </w:tcMar>
          </w:tcPr>
          <w:p w14:paraId="7D7CC643" w14:textId="77777777" w:rsidR="00BB5D2F" w:rsidRDefault="00BB5D2F" w:rsidP="00BB5D2F">
            <w:pPr>
              <w:widowControl/>
              <w:spacing w:before="280" w:after="119"/>
              <w:contextualSpacing/>
              <w:rPr>
                <w:rFonts w:ascii="Arial" w:hAnsi="Arial" w:cs="Arial"/>
                <w:b/>
                <w:sz w:val="18"/>
                <w:szCs w:val="18"/>
              </w:rPr>
            </w:pPr>
            <w:r>
              <w:rPr>
                <w:rFonts w:ascii="Arial" w:hAnsi="Arial" w:cs="Arial"/>
                <w:b/>
                <w:sz w:val="18"/>
                <w:szCs w:val="18"/>
              </w:rPr>
              <w:t>Yeni Proje(ler) Oluşturmasına Yönelik Çıktılar</w:t>
            </w:r>
          </w:p>
          <w:p w14:paraId="7BFCCE7F" w14:textId="5A9238C9" w:rsidR="00BB5D2F" w:rsidRDefault="00BB5D2F" w:rsidP="00BB5D2F">
            <w:pPr>
              <w:widowControl/>
              <w:rPr>
                <w:rFonts w:ascii="Arial" w:hAnsi="Arial" w:cs="Arial"/>
                <w:bCs/>
                <w:sz w:val="16"/>
                <w:szCs w:val="16"/>
              </w:rPr>
            </w:pPr>
            <w:r>
              <w:rPr>
                <w:rFonts w:ascii="Arial" w:hAnsi="Arial" w:cs="Arial"/>
                <w:bCs/>
                <w:sz w:val="16"/>
                <w:szCs w:val="16"/>
              </w:rPr>
              <w:t>(Ulusal/Uluslararası Yeni Proje vb.)</w:t>
            </w:r>
          </w:p>
        </w:tc>
        <w:tc>
          <w:tcPr>
            <w:tcW w:w="4699" w:type="dxa"/>
            <w:tcBorders>
              <w:top w:val="single" w:sz="4" w:space="0" w:color="000000"/>
              <w:left w:val="single" w:sz="4" w:space="0" w:color="000000"/>
              <w:bottom w:val="single" w:sz="4" w:space="0" w:color="000000"/>
              <w:right w:val="single" w:sz="4" w:space="0" w:color="000000"/>
            </w:tcBorders>
            <w:shd w:val="clear" w:color="auto" w:fill="FFFFFF"/>
            <w:tcBorders>
              <w:top w:val="single" w:sz="4" w:color="8EA9DB"/>
              <w:left w:val="single" w:sz="4" w:color="8EA9DB"/>
              <w:bottom w:val="single" w:sz="4" w:color="8EA9DB"/>
              <w:right w:val="single" w:sz="4" w:color="8EA9DB"/>
            </w:tcBorders>
            <w:tcMar>
              <w:top w:w="40" w:type="dxa"/>
              <w:bottom w:w="40" w:type="dxa"/>
              <w:start w:w="80" w:type="dxa"/>
              <w:end w:w="80" w:type="dxa"/>
            </w:tcMar>
          </w:tcPr>
          <w:p>
            <w:pPr>
              <w:widowControl/>
              <w:spacing w:after="40" w:before="0"/>
              <w:jc w:val="both"/>
            </w:pPr>
            <w:r>
              <w:rPr>
                <w:rFonts w:ascii="Arial" w:hAnsi="Arial" w:cs="Arial" w:eastAsia="Arial"/>
                <w:b w:val="0"/>
                <w:i w:val="0"/>
                <w:sz w:val="18"/>
              </w:rPr>
              <w:t>- Ölçüm kümesinin, kişisel veri içermeyen ve kamuya açık kaynaklardan türetilen gerçek yazışma örnekleriyle genişletilmesi ve kurumlar arası genelleme başarımının sınanması: bilimsel ve teknolojik araştırma projeleri desteğine yeni öneri (12. ayda taslak).</w:t>
            </w:r>
          </w:p>
          <w:p>
            <w:pPr>
              <w:widowControl/>
              <w:spacing w:after="40" w:before="0"/>
              <w:jc w:val="both"/>
            </w:pPr>
            <w:r>
              <w:rPr>
                <w:rFonts w:ascii="Arial" w:hAnsi="Arial" w:cs="Arial" w:eastAsia="Arial"/>
                <w:b w:val="0"/>
                <w:i w:val="0"/>
                <w:sz w:val="18"/>
              </w:rPr>
              <w:t>- İnsan gözetimi deneyinin daha büyük ve mesleki olarak çeşitlenmiş bir örneklemde tekrarlanması: lisansüstü tez konusu ve yurt içi lisansüstü burs başvurusu olarak kurgulanacaktır.</w:t>
            </w:r>
          </w:p>
          <w:p>
            <w:pPr>
              <w:widowControl/>
              <w:spacing w:after="40" w:before="0"/>
              <w:jc w:val="both"/>
            </w:pPr>
            <w:r>
              <w:rPr>
                <w:rFonts w:ascii="Arial" w:hAnsi="Arial" w:cs="Arial" w:eastAsia="Arial"/>
                <w:b w:val="0"/>
                <w:i w:val="0"/>
                <w:sz w:val="18"/>
              </w:rPr>
              <w:t>- Rol tanımlı çok-ajanlı müzakerenin yakınsama davranışı, alanyazında ölçüm birimi nihai cevabın doğruluğu olduğu için açık kalmıştır [15]; İP4 çıktıları bunu bağımsız bir izleyen projeye taşıyacak olgunluktadır.</w:t>
            </w:r>
          </w:p>
          <w:p>
            <w:pPr>
              <w:widowControl/>
              <w:spacing w:after="40" w:before="0"/>
              <w:jc w:val="both"/>
            </w:pPr>
            <w:r>
              <w:rPr>
                <w:rFonts w:ascii="Arial" w:hAnsi="Arial" w:cs="Arial" w:eastAsia="Arial"/>
                <w:b w:val="0"/>
                <w:i w:val="0"/>
                <w:sz w:val="18"/>
              </w:rPr>
              <w:t>- Bildirilerin sunumu için yurt içi ve yurt dışı bilimsel etkinlik katılım destek programlarına başvurulacaktır; çağrı kuralları gereği bu giderler proje bütçesine dâhil edilmemiştir.</w:t>
            </w:r>
          </w:p>
          <w:p>
            <w:pPr>
              <w:widowControl/>
              <w:spacing w:after="40" w:before="0"/>
              <w:jc w:val="both"/>
            </w:pPr>
            <w:r>
              <w:rPr>
                <w:rFonts w:ascii="Arial" w:hAnsi="Arial" w:cs="Arial" w:eastAsia="Arial"/>
                <w:b w:val="0"/>
                <w:i w:val="0"/>
                <w:sz w:val="18"/>
              </w:rPr>
              <w:t>- Prototipin bir kamu kurumuyla saha pilotuna taşınması, kurum odaklı araştırma destekleri ile ulusal yeni fikirler ve ürünler desteği kapsamında değerlendirilecektir.</w:t>
            </w:r>
          </w:p>
        </w:tc>
      </w:tr>
    </w:tbl>
    <w:p w14:paraId="325206EB" w14:textId="77777777" w:rsidR="006F7368" w:rsidRDefault="006F7368">
      <w:pPr>
        <w:pStyle w:val="WW-NormalWeb1"/>
        <w:widowControl/>
        <w:spacing w:before="0" w:after="0"/>
        <w:ind w:left="716"/>
        <w:jc w:val="both"/>
        <w:rPr>
          <w:rFonts w:ascii="Arial" w:hAnsi="Arial" w:cs="Arial"/>
          <w:b/>
          <w:bCs/>
          <w:sz w:val="18"/>
          <w:szCs w:val="18"/>
        </w:rPr>
      </w:pPr>
    </w:p>
    <w:p w14:paraId="42F79218" w14:textId="77777777" w:rsidR="000D0AB4" w:rsidRDefault="000D0AB4">
      <w:pPr>
        <w:pStyle w:val="WW-NormalWeb1"/>
        <w:widowControl/>
        <w:spacing w:before="0" w:after="0" w:line="360" w:lineRule="auto"/>
        <w:jc w:val="both"/>
        <w:rPr>
          <w:rFonts w:ascii="Arial" w:hAnsi="Arial" w:cs="Arial"/>
          <w:b/>
          <w:bCs/>
          <w:sz w:val="18"/>
          <w:szCs w:val="18"/>
        </w:rPr>
      </w:pPr>
    </w:p>
    <w:p w14:paraId="2EAC8553" w14:textId="77777777" w:rsidR="000D0AB4" w:rsidRDefault="000D0AB4">
      <w:pPr>
        <w:pStyle w:val="WW-NormalWeb1"/>
        <w:widowControl/>
        <w:spacing w:before="0" w:after="0" w:line="360" w:lineRule="auto"/>
        <w:jc w:val="both"/>
        <w:rPr>
          <w:rFonts w:ascii="Arial" w:hAnsi="Arial" w:cs="Arial"/>
          <w:b/>
          <w:bCs/>
          <w:sz w:val="18"/>
          <w:szCs w:val="18"/>
        </w:rPr>
      </w:pPr>
    </w:p>
    <w:p w14:paraId="2B839C7E" w14:textId="32798702" w:rsidR="006F7368" w:rsidRDefault="006B0518">
      <w:pPr>
        <w:pStyle w:val="WW-NormalWeb1"/>
        <w:keepNext w:val="0"/>
        <w:spacing w:before="220" w:after="80" w:line="360" w:lineRule="auto"/>
        <w:jc w:val="both"/>
        <w:widowControl/>
        <w:pBdr>
          <w:bottom w:val="single" w:sz="8" w:space="3" w:color="1F3864"/>
        </w:pBdr>
      </w:pPr>
      <w:r>
        <w:rPr>
          <w:rFonts w:ascii="Arial" w:hAnsi="Arial" w:cs="Arial" w:eastAsia="Arial"/>
          <w:b/>
          <w:bCs/>
          <w:i w:val="0"/>
          <w:color w:val="1F3864"/>
          <w:sz w:val="22"/>
          <w:szCs w:val="18"/>
        </w:rPr>
        <w:t>5</w:t>
      </w:r>
      <w:r w:rsidR="002E7A1C">
        <w:rPr>
          <w:rFonts w:ascii="Arial" w:hAnsi="Arial" w:cs="Arial" w:eastAsia="Arial"/>
          <w:b/>
          <w:bCs/>
          <w:i w:val="0"/>
          <w:color w:val="1F3864"/>
          <w:sz w:val="22"/>
          <w:szCs w:val="18"/>
        </w:rPr>
        <w:t>. BELİRTMEK İSTEDİĞİNİZ DİĞER KONULAR</w:t>
      </w:r>
    </w:p>
    <w:p>
      <w:pPr>
        <w:keepNext/>
        <w:widowControl/>
        <w:spacing w:before="180" w:after="60"/>
      </w:pPr>
      <w:r>
        <w:rPr>
          <w:rFonts w:ascii="Arial" w:hAnsi="Arial" w:cs="Arial" w:eastAsia="Arial"/>
          <w:b/>
          <w:i w:val="0"/>
          <w:color w:val="1F3864"/>
          <w:sz w:val="18"/>
        </w:rPr>
        <w:t>ETİK KURUL DURUMU</w:t>
      </w:r>
    </w:p>
    <w:p>
      <w:pPr>
        <w:widowControl/>
        <w:spacing w:after="60"/>
      </w:pPr>
      <w:r>
        <w:rPr>
          <w:rFonts w:ascii="Arial" w:hAnsi="Arial" w:cs="Arial" w:eastAsia="Arial"/>
          <w:b w:val="0"/>
          <w:i w:val="0"/>
          <w:sz w:val="18"/>
        </w:rPr>
        <w:t>GEREKLİDİR ve etik kurul ONAY BELGESİ başvuru ekinde sunulmuştur.</w:t>
      </w:r>
    </w:p>
    <w:p>
      <w:pPr>
        <w:widowControl/>
        <w:spacing w:after="40"/>
        <w:ind w:left="360" w:hanging="360"/>
        <w:jc w:val="both"/>
      </w:pPr>
      <w:r>
        <w:rPr>
          <w:rFonts w:ascii="Arial" w:hAnsi="Arial" w:cs="Arial" w:eastAsia="Arial"/>
          <w:b/>
          <w:i w:val="0"/>
          <w:sz w:val="18"/>
        </w:rPr>
        <w:t xml:space="preserve">(1) </w:t>
      </w:r>
      <w:r>
        <w:rPr>
          <w:rFonts w:ascii="Arial" w:hAnsi="Arial" w:cs="Arial" w:eastAsia="Arial"/>
          <w:b w:val="0"/>
          <w:i w:val="0"/>
          <w:sz w:val="18"/>
        </w:rPr>
        <w:t>MUAF OLAN KISIM: Belge tarafındaki deneyler (İP2, İP4, İP6 ve İP3'ün otomatik bileşeni) yalnızca sentetik/kurgu evrak ve kamuya açık mevzuat üzerinde yürütülür; gerçek kamu verisi, kişisel veri, kimlik numarası, telefon, adres veya kişi adı kullanılmaz. Ölçüm birimi belgedir; insan katılımcı içermediği için bu deneyler etik kurul kapsamı dışındadır ve tek başlarına muafiyet gerektirir.</w:t>
      </w:r>
    </w:p>
    <w:p>
      <w:pPr>
        <w:widowControl/>
        <w:spacing w:after="40"/>
        <w:ind w:left="360" w:hanging="360"/>
        <w:jc w:val="both"/>
      </w:pPr>
      <w:r>
        <w:rPr>
          <w:rFonts w:ascii="Arial" w:hAnsi="Arial" w:cs="Arial" w:eastAsia="Arial"/>
          <w:b/>
          <w:i w:val="0"/>
          <w:sz w:val="18"/>
        </w:rPr>
        <w:t xml:space="preserve">(2) </w:t>
      </w:r>
      <w:r>
        <w:rPr>
          <w:rFonts w:ascii="Arial" w:hAnsi="Arial" w:cs="Arial" w:eastAsia="Arial"/>
          <w:b w:val="0"/>
          <w:i w:val="0"/>
          <w:sz w:val="18"/>
        </w:rPr>
        <w:t>ONAY GEREKTİREN KISIM: İki iş paketi insan verisi üretir. İP5 katılımcı deneyinde 32 kişiden hata yakalama kararı, karar süresi ve öznel güven puanı toplanır ve deneysel bir müdahale (arayüz gerekçe düzeyi) uygulanır; bu insan katılımcılı bir araştırmadır, MUAFİYET İDDİA EDİLEMEZ. İP3 kör etiketlemede etiketleyicinin alan deneyimi KONTROL DEĞİŞKENİ olarak modellendiği, yani kişiye ilişkin veri toplandığı için muafiyet iddia edilmemiştir. İki çalışma tek etik kurul başvurusunda birleştirilmiş ve ....... Üniversitesi Girişimsel Olmayan Klinik Dışı Araştırmalar / Sosyal ve Beşerî Bilimler Etik Kurulu'nun ..../..../2026 tarih ve ......... sayılı kararıyla ONAYLANMIŞTIR. Onay belgesi başvuru ekinde sunulmuştur.</w:t>
      </w:r>
    </w:p>
    <w:p>
      <w:pPr>
        <w:widowControl/>
        <w:spacing w:after="40"/>
        <w:ind w:left="360" w:hanging="360"/>
        <w:jc w:val="both"/>
      </w:pPr>
      <w:r>
        <w:rPr>
          <w:rFonts w:ascii="Arial" w:hAnsi="Arial" w:cs="Arial" w:eastAsia="Arial"/>
          <w:b/>
          <w:i w:val="0"/>
          <w:sz w:val="18"/>
        </w:rPr>
        <w:t xml:space="preserve">(3) </w:t>
      </w:r>
      <w:r>
        <w:rPr>
          <w:rFonts w:ascii="Arial" w:hAnsi="Arial" w:cs="Arial" w:eastAsia="Arial"/>
          <w:b w:val="0"/>
          <w:i w:val="0"/>
          <w:sz w:val="18"/>
        </w:rPr>
        <w:t>TAKVİM VE KOŞUL: Proje kapsamındaki iş, onaylı protokolün uygulama yordamına dönüştürülmesidir. Onay kapsamı dışına çıkan hiçbir veri toplanmaz; protokol revizyonu gerekirse başvuru İP4 penceresinde yapılır ve onay alınmadan uygulanmaz.</w:t>
      </w:r>
    </w:p>
    <w:p>
      <w:pPr>
        <w:widowControl/>
        <w:spacing w:after="40"/>
        <w:ind w:left="360" w:hanging="360"/>
        <w:jc w:val="both"/>
      </w:pPr>
      <w:r>
        <w:rPr>
          <w:rFonts w:ascii="Arial" w:hAnsi="Arial" w:cs="Arial" w:eastAsia="Arial"/>
          <w:b/>
          <w:i w:val="0"/>
          <w:sz w:val="18"/>
        </w:rPr>
        <w:t xml:space="preserve">(4) </w:t>
      </w:r>
      <w:r>
        <w:rPr>
          <w:rFonts w:ascii="Arial" w:hAnsi="Arial" w:cs="Arial" w:eastAsia="Arial"/>
          <w:b w:val="0"/>
          <w:i w:val="0"/>
          <w:sz w:val="18"/>
        </w:rPr>
        <w:t>KATILIMCI HAKLARI VE VERİ KORUMASI: Aydınlatılmış onam sunulur; katılım gönüllüdür, gerekçesiz çekilme hakkı vardır ve çekilmede veri silinir. Veriler takma-adlaştırılmış kodla saklanır; kod-kimlik anahtarı ayrı ve erişimi kısıtlı ortamda tutulur, analiz kümesine girmez ve proje sonunda imha edilir. 6698 sayılı Kişisel Verilerin Korunması Kanunu m.10 aydınlatma yükümlülüğü yerine getirilir, açık rıza yazılı alınır. Toplanan tek kişisel nitelikli veri, kategorik aralık olarak kaydedilen mesleki deneyim düzeyidir.</w:t>
      </w:r>
    </w:p>
    <w:p>
      <w:pPr>
        <w:widowControl/>
        <w:spacing w:after="40"/>
        <w:ind w:left="360" w:hanging="360"/>
        <w:jc w:val="both"/>
      </w:pPr>
      <w:r>
        <w:rPr>
          <w:rFonts w:ascii="Arial" w:hAnsi="Arial" w:cs="Arial" w:eastAsia="Arial"/>
          <w:b/>
          <w:i w:val="0"/>
          <w:sz w:val="18"/>
        </w:rPr>
        <w:t xml:space="preserve">(5) </w:t>
      </w:r>
      <w:r>
        <w:rPr>
          <w:rFonts w:ascii="Arial" w:hAnsi="Arial" w:cs="Arial" w:eastAsia="Arial"/>
          <w:b w:val="0"/>
          <w:i w:val="0"/>
          <w:sz w:val="18"/>
        </w:rPr>
        <w:t>MATERYAL: Tüm belgeler kurgudur; kişi/kurum adları ve kimlik numaraları sahte fakat biçimsel olarak geçerlidir; gerçek kişi veya idari işlem temsil edilmez.</w:t>
      </w:r>
    </w:p>
    <w:p>
      <w:pPr>
        <w:keepNext/>
        <w:widowControl/>
        <w:spacing w:before="180" w:after="60"/>
      </w:pPr>
      <w:r>
        <w:rPr>
          <w:rFonts w:ascii="Arial" w:hAnsi="Arial" w:cs="Arial" w:eastAsia="Arial"/>
          <w:b/>
          <w:i w:val="0"/>
          <w:color w:val="1F3864"/>
          <w:sz w:val="18"/>
        </w:rPr>
        <w:t>BÜTÇEYE İLİŞKİN NOT</w:t>
      </w:r>
    </w:p>
    <w:p>
      <w:pPr>
        <w:widowControl/>
        <w:spacing w:after="60"/>
        <w:jc w:val="both"/>
      </w:pPr>
      <w:r>
        <w:rPr>
          <w:rFonts w:ascii="Arial" w:hAnsi="Arial" w:cs="Arial" w:eastAsia="Arial"/>
          <w:b w:val="0"/>
          <w:i w:val="0"/>
          <w:sz w:val="18"/>
        </w:rPr>
        <w:t>Toplam 12.000 TL; destek üst limiti aşılmamıştır. Konferans katılım, yayın ve patent giderleri çağrı kuralları gereği bütçeye DÂHİL EDİLMEMİŞTİR. Donanım talep edilmemektedir; yerel açık ağırlıklı model mevcut kişisel bilgisayarlarda 4-bit nicelemeli çalıştırılacaktır. İP5 oturumları katılımcıların kendi çalışma veya ders saatleri içinde ve tam gönüllülük esasıyla yürütüleceğinden katılımcı teşvik ödemesi öngörülmemiştir; teşvik bulunmadığı aydınlatılmış onam metninde ve onaylı etik kurul protokolünde açıkça kayıtlıdır. Oturum süresi 45 dakikayı aşmayacak biçimde pilotlanır.</w:t>
      </w:r>
    </w:p>
    <w:p>
      <w:pPr>
        <w:keepNext/>
        <w:widowControl/>
        <w:spacing w:before="200" w:after="80"/>
      </w:pPr>
      <w:r>
        <w:rPr>
          <w:rFonts w:ascii="Arial" w:hAnsi="Arial" w:cs="Arial" w:eastAsia="Arial"/>
          <w:b/>
          <w:i w:val="0"/>
          <w:color w:val="1F3864"/>
          <w:sz w:val="17"/>
        </w:rPr>
        <w:t>Şekil 1. D1 deneyinin faktöriyel gövdesi (4 mimari kolu × 3 girdi bozulma düzeyi, belge-içi tekrarlı ölçüm)</w:t>
      </w:r>
    </w:p>
    <w:tbl>
      <w:tblPr>
        <w:tblW w:type="auto" w:w="0"/>
        <w:tblLayout w:type="fixed"/>
        <w:tblLook w:firstColumn="1" w:firstRow="1" w:lastColumn="0" w:lastRow="0" w:noHBand="0" w:noVBand="1" w:val="04A0"/>
      </w:tblPr>
      <w:tblGrid>
        <w:gridCol w:w="2267"/>
        <w:gridCol w:w="2267"/>
        <w:gridCol w:w="2267"/>
        <w:gridCol w:w="2267"/>
      </w:tblGrid>
      <w:tr>
        <w:trPr>
          <w:cantSplit/>
        </w:trPr>
        <w:tc>
          <w:tcPr>
            <w:tcW w:type="dxa" w:w="3175"/>
            <w:shd w:val="clear" w:color="auto" w:fill="1F3864"/>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pPr>
            <w:r>
              <w:rPr>
                <w:rFonts w:ascii="Arial" w:hAnsi="Arial" w:cs="Arial" w:eastAsia="Arial"/>
                <w:b/>
                <w:i w:val="0"/>
                <w:color w:val="FFFFFF"/>
                <w:sz w:val="15"/>
              </w:rPr>
              <w:t>Mimari kolu ↓   |   Bozulma düzeyi →</w:t>
            </w:r>
          </w:p>
        </w:tc>
        <w:tc>
          <w:tcPr>
            <w:tcW w:type="dxa" w:w="2041"/>
            <w:shd w:val="clear" w:color="auto" w:fill="1F3864"/>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i w:val="0"/>
                <w:color w:val="FFFFFF"/>
                <w:sz w:val="15"/>
              </w:rPr>
              <w:t>Temiz (KHO ≈ 0)</w:t>
            </w:r>
          </w:p>
        </w:tc>
        <w:tc>
          <w:tcPr>
            <w:tcW w:type="dxa" w:w="2041"/>
            <w:shd w:val="clear" w:color="auto" w:fill="1F3864"/>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i w:val="0"/>
                <w:color w:val="FFFFFF"/>
                <w:sz w:val="15"/>
              </w:rPr>
              <w:t>Orta (KHO ≈ 0,05)</w:t>
            </w:r>
          </w:p>
        </w:tc>
        <w:tc>
          <w:tcPr>
            <w:tcW w:type="dxa" w:w="2041"/>
            <w:shd w:val="clear" w:color="auto" w:fill="1F3864"/>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i w:val="0"/>
                <w:color w:val="FFFFFF"/>
                <w:sz w:val="15"/>
              </w:rPr>
              <w:t>Yüksek (KHO ≈ 0,12)</w:t>
            </w:r>
          </w:p>
        </w:tc>
      </w:tr>
      <w:tr>
        <w:trPr>
          <w:cantSplit/>
        </w:trPr>
        <w:tc>
          <w:tcPr>
            <w:tcW w:type="dxa" w:w="3175"/>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0" w:before="20"/>
            </w:pPr>
            <w:r>
              <w:rPr>
                <w:rFonts w:ascii="Arial" w:hAnsi="Arial" w:cs="Arial" w:eastAsia="Arial"/>
                <w:b/>
                <w:i w:val="0"/>
                <w:color w:val="1F3864"/>
                <w:sz w:val="15"/>
              </w:rPr>
              <w:t>(a) Kural katmanı</w:t>
            </w:r>
          </w:p>
          <w:p>
            <w:pPr>
              <w:widowControl/>
              <w:spacing w:after="20"/>
            </w:pPr>
            <w:r>
              <w:rPr>
                <w:rFonts w:ascii="Arial" w:hAnsi="Arial" w:cs="Arial" w:eastAsia="Arial"/>
                <w:b w:val="0"/>
                <w:i/>
                <w:color w:val="555555"/>
                <w:sz w:val="13"/>
              </w:rPr>
              <w:t>deterministik; model çağrısı yok</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r>
      <w:tr>
        <w:trPr>
          <w:cantSplit/>
        </w:trPr>
        <w:tc>
          <w:tcPr>
            <w:tcW w:type="dxa" w:w="3175"/>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0" w:before="20"/>
            </w:pPr>
            <w:r>
              <w:rPr>
                <w:rFonts w:ascii="Arial" w:hAnsi="Arial" w:cs="Arial" w:eastAsia="Arial"/>
                <w:b/>
                <w:i w:val="0"/>
                <w:color w:val="1F3864"/>
                <w:sz w:val="15"/>
              </w:rPr>
              <w:t>(b) Kısıtsız üretim</w:t>
            </w:r>
          </w:p>
          <w:p>
            <w:pPr>
              <w:widowControl/>
              <w:spacing w:after="20"/>
            </w:pPr>
            <w:r>
              <w:rPr>
                <w:rFonts w:ascii="Arial" w:hAnsi="Arial" w:cs="Arial" w:eastAsia="Arial"/>
                <w:b w:val="0"/>
                <w:i/>
                <w:color w:val="555555"/>
                <w:sz w:val="13"/>
              </w:rPr>
              <w:t>alt sınır referansı</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r>
      <w:tr>
        <w:trPr>
          <w:cantSplit/>
        </w:trPr>
        <w:tc>
          <w:tcPr>
            <w:tcW w:type="dxa" w:w="3175"/>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0" w:before="20"/>
            </w:pPr>
            <w:r>
              <w:rPr>
                <w:rFonts w:ascii="Arial" w:hAnsi="Arial" w:cs="Arial" w:eastAsia="Arial"/>
                <w:b/>
                <w:i w:val="0"/>
                <w:color w:val="1F3864"/>
                <w:sz w:val="15"/>
              </w:rPr>
              <w:t>(b2) Literatür tabanı</w:t>
            </w:r>
          </w:p>
          <w:p>
            <w:pPr>
              <w:widowControl/>
              <w:spacing w:after="20"/>
            </w:pPr>
            <w:r>
              <w:rPr>
                <w:rFonts w:ascii="Arial" w:hAnsi="Arial" w:cs="Arial" w:eastAsia="Arial"/>
                <w:b w:val="0"/>
                <w:i/>
                <w:color w:val="555555"/>
                <w:sz w:val="13"/>
              </w:rPr>
              <w:t>şemaya bağlı + öz-eleştiri turu</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r>
      <w:tr>
        <w:trPr>
          <w:cantSplit/>
        </w:trPr>
        <w:tc>
          <w:tcPr>
            <w:tcW w:type="dxa" w:w="3175"/>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0" w:before="20"/>
            </w:pPr>
            <w:r>
              <w:rPr>
                <w:rFonts w:ascii="Arial" w:hAnsi="Arial" w:cs="Arial" w:eastAsia="Arial"/>
                <w:b/>
                <w:i w:val="0"/>
                <w:color w:val="1F3864"/>
                <w:sz w:val="15"/>
              </w:rPr>
              <w:t>(c) Kısıtlı hibrit</w:t>
            </w:r>
          </w:p>
          <w:p>
            <w:pPr>
              <w:widowControl/>
              <w:spacing w:after="20"/>
            </w:pPr>
            <w:r>
              <w:rPr>
                <w:rFonts w:ascii="Arial" w:hAnsi="Arial" w:cs="Arial" w:eastAsia="Arial"/>
                <w:b w:val="0"/>
                <w:i/>
                <w:color w:val="555555"/>
                <w:sz w:val="13"/>
              </w:rPr>
              <w:t>kapalı küme + kanıt alıntısı</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c>
          <w:tcPr>
            <w:tcW w:type="dxa" w:w="2041"/>
            <w:shd w:val="clear" w:color="auto" w:fill="EEF2F8"/>
            <w:tcBorders>
              <w:top w:val="single" w:sz="4" w:color="8EA9DB"/>
              <w:left w:val="single" w:sz="4" w:color="8EA9DB"/>
              <w:bottom w:val="single" w:sz="4" w:color="8EA9DB"/>
              <w:right w:val="single" w:sz="4" w:color="8EA9DB"/>
            </w:tcBorders>
            <w:tcMar>
              <w:top w:w="35" w:type="dxa"/>
              <w:bottom w:w="35" w:type="dxa"/>
              <w:start w:w="60" w:type="dxa"/>
              <w:end w:w="60" w:type="dxa"/>
            </w:tcMar>
          </w:tcPr>
          <w:p>
            <w:pPr>
              <w:widowControl/>
              <w:spacing w:after="20" w:before="20"/>
              <w:jc w:val="center"/>
            </w:pPr>
            <w:r>
              <w:rPr>
                <w:rFonts w:ascii="Arial" w:hAnsi="Arial" w:cs="Arial" w:eastAsia="Arial"/>
                <w:b w:val="0"/>
                <w:i w:val="0"/>
                <w:color w:val="111111"/>
                <w:sz w:val="15"/>
              </w:rPr>
              <w:t>240 belge</w:t>
            </w:r>
          </w:p>
        </w:tc>
      </w:tr>
    </w:tbl>
    <w:p>
      <w:pPr>
        <w:keepNext w:val="0"/>
        <w:widowControl/>
        <w:spacing w:before="60" w:after="160"/>
      </w:pPr>
      <w:r>
        <w:rPr>
          <w:rFonts w:ascii="Arial" w:hAnsi="Arial" w:cs="Arial" w:eastAsia="Arial"/>
          <w:b w:val="0"/>
          <w:i/>
          <w:color w:val="444444"/>
          <w:sz w:val="14"/>
        </w:rPr>
        <w:t>Gövde 240 × 4 × 3 = 2.880 gözlem; sağlayıcı bloğu 80 belgelik alt kümede iki ek sağlayıcıda tekrarlanır (+1.440), toplam 4.320. (a) kolu model çağrısı içermez: 720 gözlem deterministiktir. KHO: karakter hata oranı.</w:t>
      </w:r>
    </w:p>
    <w:p>
      <w:pPr>
        <w:keepNext/>
        <w:widowControl/>
        <w:spacing w:before="200" w:after="80"/>
      </w:pPr>
      <w:r>
        <w:rPr>
          <w:rFonts w:ascii="Arial" w:hAnsi="Arial" w:cs="Arial" w:eastAsia="Arial"/>
          <w:b/>
          <w:i w:val="0"/>
          <w:color w:val="1F3864"/>
          <w:sz w:val="17"/>
        </w:rPr>
        <w:t>Şekil 2. On iki aylık iş paketi zaman çizelgesi ve katkı ağırlıkları</w:t>
      </w:r>
    </w:p>
    <w:tbl>
      <w:tblPr>
        <w:tblW w:type="auto" w:w="0"/>
        <w:tblLayout w:type="fixed"/>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rPr>
          <w:tblHeader w:val="true"/>
          <w:cantSplit/>
        </w:trPr>
        <w:tc>
          <w:tcPr>
            <w:tcW w:type="dxa" w:w="2551"/>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İş paketi</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1</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2</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3</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4</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5</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6</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7</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8</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9</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10</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11</w:t>
            </w:r>
          </w:p>
        </w:tc>
        <w:tc>
          <w:tcPr>
            <w:tcW w:type="dxa" w:w="408"/>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12</w:t>
            </w:r>
          </w:p>
        </w:tc>
        <w:tc>
          <w:tcPr>
            <w:tcW w:type="dxa" w:w="737"/>
            <w:shd w:val="clear" w:color="auto" w:fill="1F3864"/>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FFFFFF"/>
                <w:sz w:val="14"/>
              </w:rPr>
              <w:t>Katkı</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İP1</w:t>
            </w:r>
          </w:p>
          <w:p>
            <w:pPr>
              <w:widowControl/>
              <w:spacing w:after="20"/>
            </w:pPr>
            <w:r>
              <w:rPr>
                <w:rFonts w:ascii="Arial" w:hAnsi="Arial" w:cs="Arial" w:eastAsia="Arial"/>
                <w:b w:val="0"/>
                <w:i/>
                <w:color w:val="555555"/>
                <w:sz w:val="13"/>
              </w:rPr>
              <w:t>Deneysel çerçevenin kurulması, ön-kaydın kilitlenmesi ve katmanlı ölçü…</w:t>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%15</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İP2</w:t>
            </w:r>
          </w:p>
          <w:p>
            <w:pPr>
              <w:widowControl/>
              <w:spacing w:after="20"/>
            </w:pPr>
            <w:r>
              <w:rPr>
                <w:rFonts w:ascii="Arial" w:hAnsi="Arial" w:cs="Arial" w:eastAsia="Arial"/>
                <w:b w:val="0"/>
                <w:i/>
                <w:color w:val="555555"/>
                <w:sz w:val="13"/>
              </w:rPr>
              <w:t>Karar kaynağı mimarisi ile girdi bozulma düzeyinin faktöriyel deneyi v…</w:t>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%18</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İP3</w:t>
            </w:r>
          </w:p>
          <w:p>
            <w:pPr>
              <w:widowControl/>
              <w:spacing w:after="20"/>
            </w:pPr>
            <w:r>
              <w:rPr>
                <w:rFonts w:ascii="Arial" w:hAnsi="Arial" w:cs="Arial" w:eastAsia="Arial"/>
                <w:b w:val="0"/>
                <w:i/>
                <w:color w:val="555555"/>
                <w:sz w:val="13"/>
              </w:rPr>
              <w:t>Otomatik dayanak doğrulayıcısının ölçüm geçerliliği ve değerlendiricil…</w:t>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%18</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İP4</w:t>
            </w:r>
          </w:p>
          <w:p>
            <w:pPr>
              <w:widowControl/>
              <w:spacing w:after="20"/>
            </w:pPr>
            <w:r>
              <w:rPr>
                <w:rFonts w:ascii="Arial" w:hAnsi="Arial" w:cs="Arial" w:eastAsia="Arial"/>
                <w:b w:val="0"/>
                <w:i/>
                <w:color w:val="555555"/>
                <w:sz w:val="13"/>
              </w:rPr>
              <w:t>Doğrulama kapısı sıkılığının ödünleşim eğrisi, müzakerenin yakınsaması…</w:t>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%15</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İP5</w:t>
            </w:r>
          </w:p>
          <w:p>
            <w:pPr>
              <w:widowControl/>
              <w:spacing w:after="20"/>
            </w:pPr>
            <w:r>
              <w:rPr>
                <w:rFonts w:ascii="Arial" w:hAnsi="Arial" w:cs="Arial" w:eastAsia="Arial"/>
                <w:b w:val="0"/>
                <w:i/>
                <w:color w:val="555555"/>
                <w:sz w:val="13"/>
              </w:rPr>
              <w:t>İnsan gözetiminin etkinliği: gerekçe düzeyinin kontrollü katılımcı den…</w:t>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%22</w:t>
            </w:r>
          </w:p>
        </w:tc>
      </w:tr>
      <w:tr>
        <w:trPr>
          <w:cantSplit/>
        </w:trPr>
        <w:tc>
          <w:tcPr>
            <w:tcW w:type="dxa" w:w="2551"/>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0" w:before="20"/>
            </w:pPr>
            <w:r>
              <w:rPr>
                <w:rFonts w:ascii="Arial" w:hAnsi="Arial" w:cs="Arial" w:eastAsia="Arial"/>
                <w:b/>
                <w:i w:val="0"/>
                <w:color w:val="1F3864"/>
                <w:sz w:val="15"/>
              </w:rPr>
              <w:t>İP6</w:t>
            </w:r>
          </w:p>
          <w:p>
            <w:pPr>
              <w:widowControl/>
              <w:spacing w:after="20"/>
            </w:pPr>
            <w:r>
              <w:rPr>
                <w:rFonts w:ascii="Arial" w:hAnsi="Arial" w:cs="Arial" w:eastAsia="Arial"/>
                <w:b w:val="0"/>
                <w:i/>
                <w:color w:val="555555"/>
                <w:sz w:val="13"/>
              </w:rPr>
              <w:t>Bütünleşik model, doğrulayıcı replikasyon, dış geçerlilik ve bağımsız …</w:t>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F2F2F2"/>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408"/>
            <w:shd w:val="clear" w:color="auto" w:fill="2F5496"/>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val="0"/>
                <w:i w:val="0"/>
                <w:color w:val="111111"/>
                <w:sz w:val="14"/>
              </w:rPr>
            </w:r>
          </w:p>
        </w:tc>
        <w:tc>
          <w:tcPr>
            <w:tcW w:type="dxa" w:w="737"/>
            <w:tcBorders>
              <w:top w:val="single" w:sz="4" w:color="8EA9DB"/>
              <w:left w:val="single" w:sz="4" w:color="8EA9DB"/>
              <w:bottom w:val="single" w:sz="4" w:color="8EA9DB"/>
              <w:right w:val="single" w:sz="4" w:color="8EA9DB"/>
            </w:tcBorders>
            <w:tcMar>
              <w:top w:w="22" w:type="dxa"/>
              <w:bottom w:w="22" w:type="dxa"/>
              <w:start w:w="30" w:type="dxa"/>
              <w:end w:w="30" w:type="dxa"/>
            </w:tcMar>
          </w:tcPr>
          <w:p>
            <w:pPr>
              <w:widowControl/>
              <w:spacing w:after="20" w:before="20"/>
              <w:jc w:val="center"/>
            </w:pPr>
            <w:r>
              <w:rPr>
                <w:rFonts w:ascii="Arial" w:hAnsi="Arial" w:cs="Arial" w:eastAsia="Arial"/>
                <w:b/>
                <w:i w:val="0"/>
                <w:color w:val="1F3864"/>
                <w:sz w:val="15"/>
              </w:rPr>
              <w:t>%12</w:t>
            </w:r>
          </w:p>
        </w:tc>
      </w:tr>
    </w:tbl>
    <w:p>
      <w:pPr>
        <w:keepNext w:val="0"/>
        <w:widowControl/>
        <w:spacing w:before="60" w:after="120"/>
      </w:pPr>
      <w:r>
        <w:rPr>
          <w:rFonts w:ascii="Arial" w:hAnsi="Arial" w:cs="Arial" w:eastAsia="Arial"/>
          <w:b w:val="0"/>
          <w:i/>
          <w:color w:val="444444"/>
          <w:sz w:val="14"/>
        </w:rPr>
        <w:t>Koyu hücreler iş paketinin etkin olduğu ayları gösterir. Katkı sütununun toplamı %100'dür. Şekil, 3.1 Çalışma Takvimi tablosunun görsel özetidir; ayrıntılı faaliyet, sorumlu ve başarı ölçütü bilgisi o tablodadır.</w:t>
      </w:r>
    </w:p>
    <w:p w14:paraId="687CDE57" w14:textId="77777777" w:rsidR="006F7368" w:rsidRDefault="002E7A1C">
      <w:pPr>
        <w:widowControl/>
        <w:ind w:left="502"/>
        <w:rPr>
          <w:rFonts w:ascii="Arial" w:hAnsi="Arial" w:cs="Arial"/>
          <w:b/>
          <w:sz w:val="22"/>
          <w:szCs w:val="22"/>
          <w:lang w:eastAsia="fr-FR"/>
        </w:rPr>
      </w:pPr>
      <w:r>
        <w:rPr>
          <w:rFonts w:ascii="Arial" w:hAnsi="Arial" w:cs="Arial"/>
          <w:b/>
          <w:sz w:val="22"/>
          <w:szCs w:val="22"/>
          <w:lang w:eastAsia="fr-FR"/>
        </w:rPr>
        <w:t xml:space="preserve"> </w:t>
      </w:r>
    </w:p>
    <w:p w14:paraId="196AA013" w14:textId="77777777" w:rsidR="006F7368" w:rsidRDefault="006F7368">
      <w:pPr>
        <w:widowControl/>
        <w:rPr>
          <w:rFonts w:ascii="Arial" w:hAnsi="Arial" w:cs="Arial"/>
          <w:b/>
          <w:sz w:val="18"/>
          <w:szCs w:val="18"/>
          <w:lang w:eastAsia="fr-FR"/>
        </w:rPr>
      </w:pPr>
    </w:p>
    <w:p w14:paraId="2A8BC508" w14:textId="7B3D2EDD" w:rsidR="006F7368" w:rsidRDefault="006B0518" w:rsidP="00190A53">
      <w:pPr>
        <w:keepNext w:val="0"/>
        <w:spacing w:before="220" w:after="80"/>
        <w:widowControl/>
        <w:pBdr>
          <w:bottom w:val="single" w:sz="8" w:space="3" w:color="1F3864"/>
        </w:pBdr>
      </w:pPr>
      <w:r>
        <w:rPr>
          <w:rFonts w:ascii="Arial" w:hAnsi="Arial" w:cs="Arial" w:eastAsia="Arial"/>
          <w:b/>
          <w:i w:val="0"/>
          <w:color w:val="1F3864"/>
          <w:sz w:val="22"/>
          <w:szCs w:val="18"/>
          <w:lang w:eastAsia="fr-FR"/>
        </w:rPr>
        <w:t>6</w:t>
      </w:r>
      <w:r w:rsidR="002E7A1C" w:rsidRPr="00190A53">
        <w:rPr>
          <w:rFonts w:ascii="Arial" w:hAnsi="Arial" w:cs="Arial" w:eastAsia="Arial"/>
          <w:b/>
          <w:i w:val="0"/>
          <w:color w:val="1F3864"/>
          <w:sz w:val="22"/>
          <w:szCs w:val="18"/>
          <w:lang w:eastAsia="fr-FR"/>
        </w:rPr>
        <w:t>. EKLER</w:t>
      </w:r>
    </w:p>
    <w:p w14:paraId="4F128C5C" w14:textId="77777777" w:rsidR="006F7368" w:rsidRDefault="006F7368">
      <w:pPr>
        <w:widowControl/>
        <w:ind w:left="426" w:hanging="142"/>
        <w:rPr>
          <w:rFonts w:ascii="Arial" w:hAnsi="Arial" w:cs="Arial"/>
          <w:sz w:val="18"/>
          <w:szCs w:val="18"/>
          <w:lang w:eastAsia="fr-FR"/>
        </w:rPr>
      </w:pPr>
    </w:p>
    <w:p w14:paraId="159F9811" w14:textId="77777777" w:rsidR="006F7368" w:rsidRDefault="002E7A1C">
      <w:pPr>
        <w:keepNext w:val="0"/>
        <w:widowControl/>
        <w:spacing w:before="160" w:after="60"/>
        <w:ind w:left="426" w:hanging="142"/>
        <w:jc w:val="both"/>
        <w:rPr>
          <w:rFonts w:ascii="Arial" w:hAnsi="Arial" w:cs="Arial"/>
          <w:b/>
          <w:sz w:val="18"/>
          <w:szCs w:val="18"/>
          <w:lang w:eastAsia="fr-FR"/>
        </w:rPr>
      </w:pPr>
      <w:r>
        <w:rPr>
          <w:rFonts w:ascii="Arial" w:hAnsi="Arial" w:cs="Arial" w:eastAsia="Arial"/>
          <w:b/>
          <w:i w:val="0"/>
          <w:color w:val="1F3864"/>
          <w:sz w:val="19"/>
          <w:szCs w:val="18"/>
        </w:rPr>
        <w:t>EK-1:  KAYNAKLAR</w:t>
      </w:r>
    </w:p>
    <w:p w14:paraId="26997435" w14:textId="77777777" w:rsidR="006F7368" w:rsidRDefault="006F7368">
      <w:pPr>
        <w:widowControl/>
        <w:ind w:left="426" w:hanging="142"/>
      </w:pPr>
    </w:p>
    <w:p>
      <w:pPr>
        <w:widowControl/>
        <w:spacing w:after="40" w:before="0"/>
        <w:ind w:left="400" w:hanging="400"/>
        <w:jc w:val="left"/>
      </w:pPr>
      <w:r>
        <w:rPr>
          <w:rFonts w:ascii="Arial" w:hAnsi="Arial" w:cs="Arial" w:eastAsia="Arial"/>
          <w:b w:val="0"/>
          <w:i w:val="0"/>
          <w:sz w:val="16"/>
        </w:rPr>
        <w:t>[1] Jaume, G., Ekenel, H. K., &amp; Thiran, J.-P. (2019). FUNSD: A dataset for form understanding in noisy scanned documents. 2019 International Conference on Document Analysis and Recognition Workshops (ICDARW), 1-6.</w:t>
      </w:r>
    </w:p>
    <w:p>
      <w:pPr>
        <w:widowControl/>
        <w:spacing w:after="40" w:before="0"/>
        <w:ind w:left="400" w:hanging="400"/>
        <w:jc w:val="left"/>
      </w:pPr>
      <w:r>
        <w:rPr>
          <w:rFonts w:ascii="Arial" w:hAnsi="Arial" w:cs="Arial" w:eastAsia="Arial"/>
          <w:b w:val="0"/>
          <w:i w:val="0"/>
          <w:sz w:val="16"/>
        </w:rPr>
        <w:t>[2] Borchmann, Ł., Pietruszka, M., Stanisławek, T., Jurkiewicz, D., Turski, M., Szyndler, K., &amp; Graliński, F. (2021). DUE: End-to-end document understanding benchmark. Proceedings of the Neural Information Processing Systems Track on Datasets and Benchmarks (NeurIPS 2021). https://datasets-benchmarks-proceedings.neurips.cc/paper_files/paper/2021/hash/069059b7ef840f0c74a814ec9237b6ec-Abstract-round2.html</w:t>
      </w:r>
    </w:p>
    <w:p>
      <w:pPr>
        <w:widowControl/>
        <w:spacing w:after="40" w:before="0"/>
        <w:ind w:left="400" w:hanging="400"/>
        <w:jc w:val="left"/>
      </w:pPr>
      <w:r>
        <w:rPr>
          <w:rFonts w:ascii="Arial" w:hAnsi="Arial" w:cs="Arial" w:eastAsia="Arial"/>
          <w:b w:val="0"/>
          <w:i w:val="0"/>
          <w:sz w:val="16"/>
        </w:rPr>
        <w:t>[3] Toraman, C., Yilmaz, E. H., Şahinuç, F., &amp; Ozcelik, O. (2023). Impact of tokenization on language models: An analysis for Turkish. ACM Transactions on Asian and Low-Resource Language Information Processing, 22(4), 1-21. https://doi.org/10.1145/3578707</w:t>
      </w:r>
    </w:p>
    <w:p>
      <w:pPr>
        <w:widowControl/>
        <w:spacing w:after="40" w:before="0"/>
        <w:ind w:left="400" w:hanging="400"/>
        <w:jc w:val="left"/>
      </w:pPr>
      <w:r>
        <w:rPr>
          <w:rFonts w:ascii="Arial" w:hAnsi="Arial" w:cs="Arial" w:eastAsia="Arial"/>
          <w:b w:val="0"/>
          <w:i w:val="0"/>
          <w:sz w:val="16"/>
        </w:rPr>
        <w:t>[4] Tohma, K., &amp; Kutlu, Y. (2021). Challenges encountered in Turkish natural language processing studies. arXiv (ön baskı). https://arxiv.org/abs/2101.11436</w:t>
      </w:r>
    </w:p>
    <w:p>
      <w:pPr>
        <w:widowControl/>
        <w:spacing w:after="40" w:before="0"/>
        <w:ind w:left="400" w:hanging="400"/>
        <w:jc w:val="left"/>
      </w:pPr>
      <w:r>
        <w:rPr>
          <w:rFonts w:ascii="Arial" w:hAnsi="Arial" w:cs="Arial" w:eastAsia="Arial"/>
          <w:b w:val="0"/>
          <w:i w:val="0"/>
          <w:sz w:val="16"/>
        </w:rPr>
        <w:t>[5] Öztürk, M. U., Türkoğlu, T., &amp; Buz-Yalug, B. (2026). HukukBERT: Domain-specific language model for Turkish law. arXiv (ön baskı; hakem denetiminden geçmemiştir). https://arxiv.org/abs/2604.04790</w:t>
      </w:r>
    </w:p>
    <w:p>
      <w:pPr>
        <w:widowControl/>
        <w:spacing w:after="40" w:before="0"/>
        <w:ind w:left="400" w:hanging="400"/>
        <w:jc w:val="left"/>
      </w:pPr>
      <w:r>
        <w:rPr>
          <w:rFonts w:ascii="Arial" w:hAnsi="Arial" w:cs="Arial" w:eastAsia="Arial"/>
          <w:b w:val="0"/>
          <w:i w:val="0"/>
          <w:sz w:val="16"/>
        </w:rPr>
        <w:t>[6] Binici, K. (2019). Makine öğrenmesi yaklaşımıyla e-belgelere standart dosya plan numaralarının otomatik olarak atanması üzerine bir çalışma. Bilgi Yönetimi, 2(2), 116-126. https://doi.org/10.33721/by.654464</w:t>
      </w:r>
    </w:p>
    <w:p>
      <w:pPr>
        <w:widowControl/>
        <w:spacing w:after="40" w:before="0"/>
        <w:ind w:left="400" w:hanging="400"/>
        <w:jc w:val="left"/>
      </w:pPr>
      <w:r>
        <w:rPr>
          <w:rFonts w:ascii="Arial" w:hAnsi="Arial" w:cs="Arial" w:eastAsia="Arial"/>
          <w:b w:val="0"/>
          <w:i w:val="0"/>
          <w:sz w:val="16"/>
        </w:rPr>
        <w:t>[7] Rashkin, H., Nikolaev, V., Lamm, M., Aroyo, L., Collins, M., Das, D., Petrov, S., Tomar, G. S., Turc, I., &amp; Reitter, D. (2023). Measuring attribution in natural language generation models. Computational Linguistics, 49(4), 777-840. https://doi.org/10.1162/coli_a_00486</w:t>
      </w:r>
    </w:p>
    <w:p>
      <w:pPr>
        <w:widowControl/>
        <w:spacing w:after="40" w:before="0"/>
        <w:ind w:left="400" w:hanging="400"/>
        <w:jc w:val="left"/>
      </w:pPr>
      <w:r>
        <w:rPr>
          <w:rFonts w:ascii="Arial" w:hAnsi="Arial" w:cs="Arial" w:eastAsia="Arial"/>
          <w:b w:val="0"/>
          <w:i w:val="0"/>
          <w:sz w:val="16"/>
        </w:rPr>
        <w:t>[8] Dhuliawala, S., Komeili, M., Xu, J., Raileanu, R., Li, X., Celikyilmaz, A., &amp; Weston, J. (2024). Chain-of-verification reduces hallucination in large language models. Findings of the Association for Computational Linguistics: ACL 2024, 3563-3578. https://aclanthology.org/2024.findings-acl.212/</w:t>
      </w:r>
    </w:p>
    <w:p>
      <w:pPr>
        <w:widowControl/>
        <w:spacing w:after="40" w:before="0"/>
        <w:ind w:left="400" w:hanging="400"/>
        <w:jc w:val="left"/>
      </w:pPr>
      <w:r>
        <w:rPr>
          <w:rFonts w:ascii="Arial" w:hAnsi="Arial" w:cs="Arial" w:eastAsia="Arial"/>
          <w:b w:val="0"/>
          <w:i w:val="0"/>
          <w:sz w:val="16"/>
        </w:rPr>
        <w:t>[9] Dahl, M., Magesh, V., Suzgun, M., &amp; Ho, D. E. (2024). Large legal fictions: Profiling legal hallucinations in large language models. Journal of Legal Analysis, 16(1), 64-93. https://academic.oup.com/jla/article/16/1/64/7699227</w:t>
      </w:r>
    </w:p>
    <w:p>
      <w:pPr>
        <w:widowControl/>
        <w:spacing w:after="40" w:before="0"/>
        <w:ind w:left="400" w:hanging="400"/>
        <w:jc w:val="left"/>
      </w:pPr>
      <w:r>
        <w:rPr>
          <w:rFonts w:ascii="Arial" w:hAnsi="Arial" w:cs="Arial" w:eastAsia="Arial"/>
          <w:b w:val="0"/>
          <w:i w:val="0"/>
          <w:sz w:val="16"/>
        </w:rPr>
        <w:t>[10] Magesh, V., Surani, F., Dahl, M., Suzgun, M., Manning, C. D., &amp; Ho, D. E. (2025). Hallucination-free? Assessing the reliability of leading AI legal research tools. Journal of Empirical Legal Studies, 22(2), 216-242. https://doi.org/10.1111/jels.12413</w:t>
      </w:r>
    </w:p>
    <w:p>
      <w:pPr>
        <w:widowControl/>
        <w:spacing w:after="40" w:before="0"/>
        <w:ind w:left="400" w:hanging="400"/>
        <w:jc w:val="left"/>
      </w:pPr>
      <w:r>
        <w:rPr>
          <w:rFonts w:ascii="Arial" w:hAnsi="Arial" w:cs="Arial" w:eastAsia="Arial"/>
          <w:b w:val="0"/>
          <w:i w:val="0"/>
          <w:sz w:val="16"/>
        </w:rPr>
        <w:t>[11] Gao, Y., Xiong, Y., Gao, X., Jia, K., Pan, J., Bi, Y., Dai, Y., Sun, J., Wang, M., &amp; Wang, H. (2024). Retrieval-augmented generation for large language models: A survey. arXiv (ön baskı). https://arxiv.org/abs/2312.10997</w:t>
      </w:r>
    </w:p>
    <w:p>
      <w:pPr>
        <w:widowControl/>
        <w:spacing w:after="40" w:before="0"/>
        <w:ind w:left="400" w:hanging="400"/>
        <w:jc w:val="left"/>
      </w:pPr>
      <w:r>
        <w:rPr>
          <w:rFonts w:ascii="Arial" w:hAnsi="Arial" w:cs="Arial" w:eastAsia="Arial"/>
          <w:b w:val="0"/>
          <w:i w:val="0"/>
          <w:sz w:val="16"/>
        </w:rPr>
        <w:t>[12] Asai, A., Wu, Z., Wang, Y., Sil, A., &amp; Hajishirzi, H. (2024). Self-RAG: Learning to retrieve, generate, and critique through self-reflection. Proceedings of the Twelfth International Conference on Learning Representations (ICLR 2024). https://openreview.net/forum?id=hSyW5go0v8</w:t>
      </w:r>
    </w:p>
    <w:p>
      <w:pPr>
        <w:widowControl/>
        <w:spacing w:after="40" w:before="0"/>
        <w:ind w:left="400" w:hanging="400"/>
        <w:jc w:val="left"/>
      </w:pPr>
      <w:r>
        <w:rPr>
          <w:rFonts w:ascii="Arial" w:hAnsi="Arial" w:cs="Arial" w:eastAsia="Arial"/>
          <w:b w:val="0"/>
          <w:i w:val="0"/>
          <w:sz w:val="16"/>
        </w:rPr>
        <w:t>[13] Yan, S.-Q., Gu, J.-C., Zhu, Y., &amp; Ling, Z.-H. (2024). Corrective retrieval augmented generation. arXiv (ön baskı). https://arxiv.org/abs/2401.15884</w:t>
      </w:r>
    </w:p>
    <w:p>
      <w:pPr>
        <w:widowControl/>
        <w:spacing w:after="40" w:before="0"/>
        <w:ind w:left="400" w:hanging="400"/>
        <w:jc w:val="left"/>
      </w:pPr>
      <w:r>
        <w:rPr>
          <w:rFonts w:ascii="Arial" w:hAnsi="Arial" w:cs="Arial" w:eastAsia="Arial"/>
          <w:b w:val="0"/>
          <w:i w:val="0"/>
          <w:sz w:val="16"/>
        </w:rPr>
        <w:t>[14] Zheng, L., Chiang, W.-L., Sheng, Y., Zhuang, S., Wu, Z., Zhuang, Y., Lin, Z., Li, Z., Li, D., Xing, E. P., Zhang, H., Gonzalez, J. E., &amp; Stoica, I. (2023). Judging LLM-as-a-judge with MT-Bench and Chatbot Arena. Advances in Neural Information Processing Systems 36: Datasets and Benchmarks Track. https://arxiv.org/abs/2306.05685</w:t>
      </w:r>
    </w:p>
    <w:p>
      <w:pPr>
        <w:widowControl/>
        <w:spacing w:after="40" w:before="0"/>
        <w:ind w:left="400" w:hanging="400"/>
        <w:jc w:val="left"/>
      </w:pPr>
      <w:r>
        <w:rPr>
          <w:rFonts w:ascii="Arial" w:hAnsi="Arial" w:cs="Arial" w:eastAsia="Arial"/>
          <w:b w:val="0"/>
          <w:i w:val="0"/>
          <w:sz w:val="16"/>
        </w:rPr>
        <w:t>[15] Du, Y., Li, S., Torralba, A., Tenenbaum, J. B., &amp; Mordatch, I. (2024). Improving factuality and reasoning in language models through multiagent debate. Proceedings of the 41st International Conference on Machine Learning (PMLR 235), 11733-11763. https://proceedings.mlr.press/v235/du24e.html</w:t>
      </w:r>
    </w:p>
    <w:p>
      <w:pPr>
        <w:widowControl/>
        <w:spacing w:after="40" w:before="0"/>
        <w:ind w:left="400" w:hanging="400"/>
        <w:jc w:val="left"/>
      </w:pPr>
      <w:r>
        <w:rPr>
          <w:rFonts w:ascii="Arial" w:hAnsi="Arial" w:cs="Arial" w:eastAsia="Arial"/>
          <w:b w:val="0"/>
          <w:i w:val="0"/>
          <w:sz w:val="16"/>
        </w:rPr>
        <w:t>[16] Wirtz, B. W., Weyerer, J. C., &amp; Geyer, C. (2019). Artificial intelligence and the public sector - Applications and challenges. International Journal of Public Administration, 42(7), 596-615. https://doi.org/10.1080/01900692.2018.1498103</w:t>
      </w:r>
    </w:p>
    <w:p>
      <w:pPr>
        <w:widowControl/>
        <w:spacing w:after="40" w:before="0"/>
        <w:ind w:left="400" w:hanging="400"/>
        <w:jc w:val="left"/>
      </w:pPr>
      <w:r>
        <w:rPr>
          <w:rFonts w:ascii="Arial" w:hAnsi="Arial" w:cs="Arial" w:eastAsia="Arial"/>
          <w:b w:val="0"/>
          <w:i w:val="0"/>
          <w:sz w:val="16"/>
        </w:rPr>
        <w:t>[17] Madan, R., &amp; Ashok, M. (2023). AI adoption and diffusion in public administration: A systematic literature review and future research agenda. Government Information Quarterly, 40(1), 101774. https://doi.org/10.1016/j.giq.2022.101774</w:t>
      </w:r>
    </w:p>
    <w:p>
      <w:pPr>
        <w:widowControl/>
        <w:spacing w:after="40" w:before="0"/>
        <w:ind w:left="400" w:hanging="400"/>
        <w:jc w:val="left"/>
      </w:pPr>
      <w:r>
        <w:rPr>
          <w:rFonts w:ascii="Arial" w:hAnsi="Arial" w:cs="Arial" w:eastAsia="Arial"/>
          <w:b w:val="0"/>
          <w:i w:val="0"/>
          <w:sz w:val="16"/>
        </w:rPr>
        <w:t>[18] Strateji ve Bütçe Başkanlığı. (2023). On İkinci Kalkınma Planı (2024-2028) (TBMM Karar No. 1396, 31.10.2023). https://www.sbb.gov.tr/wp-content/uploads/2023/12/On-Ikinci-Kalkinma-Plani_2024-2028_11122023.pdf</w:t>
      </w:r>
    </w:p>
    <w:p>
      <w:pPr>
        <w:widowControl/>
        <w:spacing w:after="40" w:before="0"/>
        <w:ind w:left="400" w:hanging="400"/>
        <w:jc w:val="left"/>
      </w:pPr>
      <w:r>
        <w:rPr>
          <w:rFonts w:ascii="Arial" w:hAnsi="Arial" w:cs="Arial" w:eastAsia="Arial"/>
          <w:b w:val="0"/>
          <w:i w:val="0"/>
          <w:sz w:val="16"/>
        </w:rPr>
        <w:t>[19] Sanayi ve Teknoloji Bakanlığı. (2025). 2030 Sanayi ve Teknoloji Stratejisi. Stratejik Araştırmalar ve Verimlilik Genel Müdürlüğü. https://www.sanayi.gov.tr/assets/pdf/plan-program/2030SanayiveTeknolojiStratejisi.pdf</w:t>
      </w:r>
    </w:p>
    <w:p>
      <w:pPr>
        <w:widowControl/>
        <w:spacing w:after="40" w:before="0"/>
        <w:ind w:left="400" w:hanging="400"/>
        <w:jc w:val="left"/>
      </w:pPr>
      <w:r>
        <w:rPr>
          <w:rFonts w:ascii="Arial" w:hAnsi="Arial" w:cs="Arial" w:eastAsia="Arial"/>
          <w:b w:val="0"/>
          <w:i w:val="0"/>
          <w:sz w:val="16"/>
        </w:rPr>
        <w:t>[20] Türkiye Bilimsel ve Teknolojik Araştırma Kurumu. (2025). Öncelikli Alanlar (2025-2). https://www.tubitak.gov.tr/sites/default/files/2025-07/Oncelikli_Alanlar_2025-2.pdf</w:t>
      </w:r>
    </w:p>
    <w:p>
      <w:pPr>
        <w:widowControl/>
        <w:spacing w:after="40" w:before="0"/>
        <w:ind w:left="400" w:hanging="400"/>
        <w:jc w:val="left"/>
      </w:pPr>
      <w:r>
        <w:rPr>
          <w:rFonts w:ascii="Arial" w:hAnsi="Arial" w:cs="Arial" w:eastAsia="Arial"/>
          <w:b w:val="0"/>
          <w:i w:val="0"/>
          <w:sz w:val="16"/>
        </w:rPr>
        <w:t>[21] Cumhurbaşkanlığı Dijital Dönüşüm Ofisi ve Sanayi ve Teknoloji Bakanlığı. (2021). Ulusal Yapay Zekâ Stratejisi 2021-2025. https://cbddo.gov.tr/uyzs</w:t>
      </w:r>
    </w:p>
    <w:p>
      <w:pPr>
        <w:widowControl/>
        <w:spacing w:after="40"/>
      </w:pPr>
      <w:r>
        <w:rPr>
          <w:rFonts w:ascii="Arial" w:hAnsi="Arial" w:cs="Arial" w:eastAsia="Arial"/>
          <w:b w:val="0"/>
          <w:i w:val="0"/>
          <w:sz w:val="18"/>
        </w:rPr>
      </w:r>
    </w:p>
    <w:p>
      <w:pPr>
        <w:widowControl/>
        <w:spacing w:after="40"/>
      </w:pPr>
      <w:r>
        <w:rPr>
          <w:rFonts w:ascii="Arial" w:hAnsi="Arial" w:cs="Arial" w:eastAsia="Arial"/>
          <w:b/>
          <w:i w:val="0"/>
          <w:sz w:val="18"/>
        </w:rPr>
        <w:t>EK-2:  TAHMİNİ BÜTÇE</w:t>
      </w:r>
    </w:p>
    <w:tbl>
      <w:tblPr>
        <w:tblStyle w:val="TabloKlavuzu"/>
        <w:tblW w:type="auto" w:w="0"/>
        <w:tblLook w:firstColumn="1" w:firstRow="1" w:lastColumn="0" w:lastRow="0" w:noHBand="0" w:noVBand="1" w:val="04A0"/>
      </w:tblPr>
      <w:tblGrid>
        <w:gridCol w:w="3023"/>
        <w:gridCol w:w="3023"/>
        <w:gridCol w:w="3023"/>
      </w:tblGrid>
      <w:tr>
        <w:tc>
          <w:tcPr>
            <w:tcW w:type="dxa" w:w="3023"/>
          </w:tcPr>
          <w:p>
            <w:pPr>
              <w:widowControl/>
              <w:spacing w:after="40" w:before="0"/>
            </w:pPr>
            <w:r>
              <w:rPr>
                <w:rFonts w:ascii="Arial" w:hAnsi="Arial" w:cs="Arial" w:eastAsia="Arial"/>
                <w:b/>
                <w:i w:val="0"/>
                <w:sz w:val="18"/>
              </w:rPr>
              <w:t>Gider Kalemi</w:t>
            </w:r>
          </w:p>
        </w:tc>
        <w:tc>
          <w:tcPr>
            <w:tcW w:type="dxa" w:w="3023"/>
          </w:tcPr>
          <w:p>
            <w:pPr>
              <w:widowControl/>
              <w:spacing w:after="40" w:before="0"/>
            </w:pPr>
            <w:r>
              <w:rPr>
                <w:rFonts w:ascii="Arial" w:hAnsi="Arial" w:cs="Arial" w:eastAsia="Arial"/>
                <w:b/>
                <w:i w:val="0"/>
                <w:sz w:val="18"/>
              </w:rPr>
              <w:t>Açıklama ve Gerekçe</w:t>
            </w:r>
          </w:p>
        </w:tc>
        <w:tc>
          <w:tcPr>
            <w:tcW w:type="dxa" w:w="3023"/>
          </w:tcPr>
          <w:p>
            <w:pPr>
              <w:widowControl/>
              <w:spacing w:after="40" w:before="0"/>
            </w:pPr>
            <w:r>
              <w:rPr>
                <w:rFonts w:ascii="Arial" w:hAnsi="Arial" w:cs="Arial" w:eastAsia="Arial"/>
                <w:b/>
                <w:i w:val="0"/>
                <w:sz w:val="18"/>
              </w:rPr>
              <w:t>Tutar (TL)</w:t>
            </w:r>
          </w:p>
        </w:tc>
      </w:tr>
      <w:tr>
        <w:tc>
          <w:tcPr>
            <w:tcW w:type="dxa" w:w="3023"/>
          </w:tcPr>
          <w:p>
            <w:pPr>
              <w:widowControl/>
              <w:spacing w:after="40" w:before="0"/>
            </w:pPr>
            <w:r>
              <w:rPr>
                <w:rFonts w:ascii="Arial" w:hAnsi="Arial" w:cs="Arial" w:eastAsia="Arial"/>
                <w:b w:val="0"/>
                <w:i w:val="0"/>
                <w:sz w:val="18"/>
              </w:rPr>
              <w:t>Hizmet alımı</w:t>
            </w:r>
          </w:p>
        </w:tc>
        <w:tc>
          <w:tcPr>
            <w:tcW w:type="dxa" w:w="3023"/>
          </w:tcPr>
          <w:p>
            <w:pPr>
              <w:widowControl/>
              <w:spacing w:after="40" w:before="0"/>
              <w:jc w:val="both"/>
            </w:pPr>
            <w:r>
              <w:rPr>
                <w:rFonts w:ascii="Arial" w:hAnsi="Arial" w:cs="Arial" w:eastAsia="Arial"/>
                <w:b w:val="0"/>
                <w:i w:val="0"/>
                <w:sz w:val="18"/>
              </w:rPr>
              <w:t>Bağımsız kör etiketleme: ekip dışından üç etiketleyicinin 300 iddiayı tam çapraz desende etiketlemesi (etiketleyici başına 300 iddia; toplam 900 etiketleme kararı). — GEREKÇE: Ölçüm geçerliliği hipotezi (H4), ölçütün sistemden ve ekipten bağımsız olmasını zorunlu kılar; daireselliğin kırılması bu kalemin doğrudan bilimsel gerekçesidir.</w:t>
            </w:r>
          </w:p>
        </w:tc>
        <w:tc>
          <w:tcPr>
            <w:tcW w:type="dxa" w:w="3023"/>
          </w:tcPr>
          <w:p>
            <w:pPr>
              <w:widowControl/>
              <w:spacing w:after="40" w:before="0"/>
            </w:pPr>
            <w:r>
              <w:rPr>
                <w:rFonts w:ascii="Arial" w:hAnsi="Arial" w:cs="Arial" w:eastAsia="Arial"/>
                <w:b w:val="0"/>
                <w:i w:val="0"/>
                <w:sz w:val="18"/>
              </w:rPr>
              <w:t>4.200</w:t>
            </w:r>
          </w:p>
        </w:tc>
      </w:tr>
      <w:tr>
        <w:tc>
          <w:tcPr>
            <w:tcW w:type="dxa" w:w="3023"/>
          </w:tcPr>
          <w:p>
            <w:pPr>
              <w:widowControl/>
              <w:spacing w:after="40" w:before="0"/>
            </w:pPr>
            <w:r>
              <w:rPr>
                <w:rFonts w:ascii="Arial" w:hAnsi="Arial" w:cs="Arial" w:eastAsia="Arial"/>
                <w:b w:val="0"/>
                <w:i w:val="0"/>
                <w:sz w:val="18"/>
              </w:rPr>
              <w:t>Hizmet alımı</w:t>
            </w:r>
          </w:p>
        </w:tc>
        <w:tc>
          <w:tcPr>
            <w:tcW w:type="dxa" w:w="3023"/>
          </w:tcPr>
          <w:p>
            <w:pPr>
              <w:widowControl/>
              <w:spacing w:after="40" w:before="0"/>
              <w:jc w:val="both"/>
            </w:pPr>
            <w:r>
              <w:rPr>
                <w:rFonts w:ascii="Arial" w:hAnsi="Arial" w:cs="Arial" w:eastAsia="Arial"/>
                <w:b w:val="0"/>
                <w:i w:val="0"/>
                <w:sz w:val="18"/>
              </w:rPr>
              <w:t>Bulut tabanlı büyük dil modeli erişim ve kullanım bedeli: 3.600 model çağrılı koşum (D1 gövdesi ve sağlayıcı bloğu), 9 noktalı eşik süpürmesi, müzakere tur ablasyonu ve replikasyon koşumları. — GEREKÇE: Deneyin manipüle edilen üç model içeren kolu bu erişim olmadan koşulamaz. Tutar, İP1'de 20 belgelik maliyet pilotuyla ölçülecek belge başına maliyete göre bağlanacak üst sınırdır; ön çalışmada bağımsız bir maliyet artefaktı bulunmadığı için tahminî tavan olarak konulmuştur.</w:t>
            </w:r>
          </w:p>
        </w:tc>
        <w:tc>
          <w:tcPr>
            <w:tcW w:type="dxa" w:w="3023"/>
          </w:tcPr>
          <w:p>
            <w:pPr>
              <w:widowControl/>
              <w:spacing w:after="40" w:before="0"/>
            </w:pPr>
            <w:r>
              <w:rPr>
                <w:rFonts w:ascii="Arial" w:hAnsi="Arial" w:cs="Arial" w:eastAsia="Arial"/>
                <w:b w:val="0"/>
                <w:i w:val="0"/>
                <w:sz w:val="18"/>
              </w:rPr>
              <w:t>4.300</w:t>
            </w:r>
          </w:p>
        </w:tc>
      </w:tr>
      <w:tr>
        <w:tc>
          <w:tcPr>
            <w:tcW w:type="dxa" w:w="3023"/>
          </w:tcPr>
          <w:p>
            <w:pPr>
              <w:widowControl/>
              <w:spacing w:after="40" w:before="0"/>
            </w:pPr>
            <w:r>
              <w:rPr>
                <w:rFonts w:ascii="Arial" w:hAnsi="Arial" w:cs="Arial" w:eastAsia="Arial"/>
                <w:b w:val="0"/>
                <w:i w:val="0"/>
                <w:sz w:val="18"/>
              </w:rPr>
              <w:t>Hizmet alımı</w:t>
            </w:r>
          </w:p>
        </w:tc>
        <w:tc>
          <w:tcPr>
            <w:tcW w:type="dxa" w:w="3023"/>
          </w:tcPr>
          <w:p>
            <w:pPr>
              <w:widowControl/>
              <w:spacing w:after="40" w:before="0"/>
              <w:jc w:val="both"/>
            </w:pPr>
            <w:r>
              <w:rPr>
                <w:rFonts w:ascii="Arial" w:hAnsi="Arial" w:cs="Arial" w:eastAsia="Arial"/>
                <w:b w:val="0"/>
                <w:i w:val="0"/>
                <w:sz w:val="18"/>
              </w:rPr>
              <w:t>Yeniden üretim paketinin ekip dışından bağımsız bir kişi tarafından koşturulması ve sapma raporunun hazırlanması. — GEREKÇE: İP6'nın başarı ölçütü (deterministik metriklerin en fazla %1 sapmayla yeniden üretilmesi) ekip dışı bir doğrulayıcı olmadan sınanamaz; tekrarlanabilirlik iddiasının kanıtıdır.</w:t>
            </w:r>
          </w:p>
        </w:tc>
        <w:tc>
          <w:tcPr>
            <w:tcW w:type="dxa" w:w="3023"/>
          </w:tcPr>
          <w:p>
            <w:pPr>
              <w:widowControl/>
              <w:spacing w:after="40" w:before="0"/>
            </w:pPr>
            <w:r>
              <w:rPr>
                <w:rFonts w:ascii="Arial" w:hAnsi="Arial" w:cs="Arial" w:eastAsia="Arial"/>
                <w:b w:val="0"/>
                <w:i w:val="0"/>
                <w:sz w:val="18"/>
              </w:rPr>
              <w:t>1.500</w:t>
            </w:r>
          </w:p>
        </w:tc>
      </w:tr>
      <w:tr>
        <w:tc>
          <w:tcPr>
            <w:tcW w:type="dxa" w:w="3023"/>
          </w:tcPr>
          <w:p>
            <w:pPr>
              <w:widowControl/>
              <w:spacing w:after="40" w:before="0"/>
            </w:pPr>
            <w:r>
              <w:rPr>
                <w:rFonts w:ascii="Arial" w:hAnsi="Arial" w:cs="Arial" w:eastAsia="Arial"/>
                <w:b w:val="0"/>
                <w:i w:val="0"/>
                <w:sz w:val="18"/>
              </w:rPr>
              <w:t>Sarf malzemesi</w:t>
            </w:r>
          </w:p>
        </w:tc>
        <w:tc>
          <w:tcPr>
            <w:tcW w:type="dxa" w:w="3023"/>
          </w:tcPr>
          <w:p>
            <w:pPr>
              <w:widowControl/>
              <w:spacing w:after="40" w:before="0"/>
              <w:jc w:val="both"/>
            </w:pPr>
            <w:r>
              <w:rPr>
                <w:rFonts w:ascii="Arial" w:hAnsi="Arial" w:cs="Arial" w:eastAsia="Arial"/>
                <w:b w:val="0"/>
                <w:i w:val="0"/>
                <w:sz w:val="18"/>
              </w:rPr>
              <w:t>Veri depolama ortamı (yedekleme diski), aydınlatılmış onam formu ve deney oturumu materyalinin baskısı, etiketleme materyali, kırtasiye. — GEREKÇE: Sürüm damgalı artefaktların güvenli saklanması ve insan katılımlı oturumların belgelenmesi için gereklidir.</w:t>
            </w:r>
          </w:p>
        </w:tc>
        <w:tc>
          <w:tcPr>
            <w:tcW w:type="dxa" w:w="3023"/>
          </w:tcPr>
          <w:p>
            <w:pPr>
              <w:widowControl/>
              <w:spacing w:after="40" w:before="0"/>
            </w:pPr>
            <w:r>
              <w:rPr>
                <w:rFonts w:ascii="Arial" w:hAnsi="Arial" w:cs="Arial" w:eastAsia="Arial"/>
                <w:b w:val="0"/>
                <w:i w:val="0"/>
                <w:sz w:val="18"/>
              </w:rPr>
              <w:t>1.200</w:t>
            </w:r>
          </w:p>
        </w:tc>
      </w:tr>
      <w:tr>
        <w:tc>
          <w:tcPr>
            <w:tcW w:type="dxa" w:w="3023"/>
          </w:tcPr>
          <w:p>
            <w:pPr>
              <w:widowControl/>
              <w:spacing w:after="40" w:before="0"/>
            </w:pPr>
            <w:r>
              <w:rPr>
                <w:rFonts w:ascii="Arial" w:hAnsi="Arial" w:cs="Arial" w:eastAsia="Arial"/>
                <w:b w:val="0"/>
                <w:i w:val="0"/>
                <w:sz w:val="18"/>
              </w:rPr>
              <w:t>Seyahat</w:t>
            </w:r>
          </w:p>
        </w:tc>
        <w:tc>
          <w:tcPr>
            <w:tcW w:type="dxa" w:w="3023"/>
          </w:tcPr>
          <w:p>
            <w:pPr>
              <w:widowControl/>
              <w:spacing w:after="40" w:before="0"/>
              <w:jc w:val="both"/>
            </w:pPr>
            <w:r>
              <w:rPr>
                <w:rFonts w:ascii="Arial" w:hAnsi="Arial" w:cs="Arial" w:eastAsia="Arial"/>
                <w:b w:val="0"/>
                <w:i w:val="0"/>
                <w:sz w:val="18"/>
              </w:rPr>
              <w:t>Katılımcı deneyi oturumları ve etiketleme koordinasyonu için şehir içi ulaşım giderleri. — GEREKÇE: 32 katılımcılı yüz yüze oturumların yürütülmesi için gereklidir; şehirler arası seyahat, konaklama ve etkinlik katılımı öngörülmemektedir.</w:t>
            </w:r>
          </w:p>
        </w:tc>
        <w:tc>
          <w:tcPr>
            <w:tcW w:type="dxa" w:w="3023"/>
          </w:tcPr>
          <w:p>
            <w:pPr>
              <w:widowControl/>
              <w:spacing w:after="40" w:before="0"/>
            </w:pPr>
            <w:r>
              <w:rPr>
                <w:rFonts w:ascii="Arial" w:hAnsi="Arial" w:cs="Arial" w:eastAsia="Arial"/>
                <w:b w:val="0"/>
                <w:i w:val="0"/>
                <w:sz w:val="18"/>
              </w:rPr>
              <w:t>800</w:t>
            </w:r>
          </w:p>
        </w:tc>
      </w:tr>
      <w:tr>
        <w:tc>
          <w:tcPr>
            <w:tcW w:type="dxa" w:w="3023"/>
          </w:tcPr>
          <w:p>
            <w:pPr>
              <w:widowControl/>
              <w:spacing w:after="40" w:before="0"/>
            </w:pPr>
            <w:r>
              <w:rPr>
                <w:rFonts w:ascii="Arial" w:hAnsi="Arial" w:cs="Arial" w:eastAsia="Arial"/>
                <w:b/>
                <w:i w:val="0"/>
                <w:sz w:val="18"/>
              </w:rPr>
              <w:t>TOPLAM</w:t>
            </w:r>
          </w:p>
        </w:tc>
        <w:tc>
          <w:tcPr>
            <w:tcW w:type="dxa" w:w="3023"/>
          </w:tcPr>
          <w:p>
            <w:pPr>
              <w:widowControl/>
              <w:spacing w:after="40" w:before="0"/>
            </w:pPr>
            <w:r>
              <w:rPr>
                <w:rFonts w:ascii="Arial" w:hAnsi="Arial" w:cs="Arial" w:eastAsia="Arial"/>
                <w:b w:val="0"/>
                <w:i w:val="0"/>
                <w:sz w:val="18"/>
              </w:rPr>
            </w:r>
          </w:p>
        </w:tc>
        <w:tc>
          <w:tcPr>
            <w:tcW w:type="dxa" w:w="3023"/>
          </w:tcPr>
          <w:p>
            <w:pPr>
              <w:widowControl/>
              <w:spacing w:after="40" w:before="0"/>
            </w:pPr>
            <w:r>
              <w:rPr>
                <w:rFonts w:ascii="Arial" w:hAnsi="Arial" w:cs="Arial" w:eastAsia="Arial"/>
                <w:b/>
                <w:i w:val="0"/>
                <w:sz w:val="18"/>
              </w:rPr>
              <w:t>12.000</w:t>
            </w:r>
          </w:p>
        </w:tc>
      </w:tr>
    </w:tbl>
    <w:sectPr w:rsidR="006F7368">
      <w:headerReference w:type="default" r:id="rId11"/>
      <w:footerReference w:type="default" r:id="rId12"/>
      <w:pgSz w:w="11906" w:h="16838"/>
      <w:pgMar w:top="1418" w:right="1418" w:bottom="1418" w:left="1418" w:header="709" w:footer="709" w:gutter="0"/>
      <w:cols w:space="708"/>
      <w:formProt w:val="0"/>
      <w:docGrid w:linePitch="360"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21CAB2" w14:textId="77777777" w:rsidR="003C45CC" w:rsidRDefault="003C45CC">
      <w:r>
        <w:separator/>
      </w:r>
    </w:p>
  </w:endnote>
  <w:endnote w:type="continuationSeparator" w:id="0">
    <w:p w14:paraId="42AA1059" w14:textId="77777777" w:rsidR="003C45CC" w:rsidRDefault="003C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Liberation Sans">
    <w:altName w:val="Arial"/>
    <w:panose1 w:val="020B0604020202020204"/>
    <w:charset w:val="A2"/>
    <w:family w:val="swiss"/>
    <w:pitch w:val="variable"/>
    <w:sig w:usb0="E0000AFF" w:usb1="500078FF" w:usb2="00000021" w:usb3="00000000" w:csb0="000001BF" w:csb1="00000000"/>
  </w:font>
  <w:font w:name="DejaVu Sans">
    <w:panose1 w:val="020B0603030804020204"/>
    <w:charset w:val="A2"/>
    <w:family w:val="swiss"/>
    <w:pitch w:val="variable"/>
    <w:sig w:usb0="E7002EFF" w:usb1="D200FDFF" w:usb2="0A246029" w:usb3="00000000" w:csb0="000001FF" w:csb1="00000000"/>
  </w:font>
  <w:font w:name="FreeSans">
    <w:altName w:val="Times New Roman"/>
    <w:charset w:val="00"/>
    <w:family w:val="auto"/>
    <w:pitch w:val="variable"/>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174B42" w14:textId="77777777" w:rsidR="006F7368" w:rsidRDefault="006F7368">
    <w:pPr>
      <w:pStyle w:val="AltBilgi"/>
      <w:jc w:val="right"/>
    </w:pPr>
  </w:p>
  <w:tbl>
    <w:tblPr>
      <w:tblW w:w="10375" w:type="dxa"/>
      <w:tblLook w:val="04A0" w:firstRow="1" w:lastRow="0" w:firstColumn="1" w:lastColumn="0" w:noHBand="0" w:noVBand="1"/>
    </w:tblPr>
    <w:tblGrid>
      <w:gridCol w:w="5208"/>
      <w:gridCol w:w="5167"/>
    </w:tblGrid>
    <w:tr w:rsidR="006F7368" w14:paraId="0B81EDA2" w14:textId="77777777">
      <w:trPr>
        <w:trHeight w:val="269"/>
      </w:trPr>
      <w:tc>
        <w:tcPr>
          <w:tcW w:w="5207" w:type="dxa"/>
          <w:shd w:val="clear" w:color="auto" w:fill="auto"/>
        </w:tcPr>
        <w:p w14:paraId="30AF220E" w14:textId="77777777" w:rsidR="006F7368" w:rsidRDefault="006F7368">
          <w:pPr>
            <w:pStyle w:val="AltBilgi"/>
            <w:rPr>
              <w:lang w:val="tr-TR"/>
            </w:rPr>
          </w:pPr>
        </w:p>
      </w:tc>
      <w:tc>
        <w:tcPr>
          <w:tcW w:w="5167" w:type="dxa"/>
          <w:shd w:val="clear" w:color="auto" w:fill="auto"/>
        </w:tcPr>
        <w:p w14:paraId="49BA4F53" w14:textId="64149CEE" w:rsidR="006F7368" w:rsidRDefault="002E7A1C">
          <w:pPr>
            <w:pStyle w:val="AltBilgi"/>
            <w:jc w:val="right"/>
          </w:pPr>
          <w:r>
            <w:fldChar w:fldCharType="begin"/>
          </w:r>
          <w:r>
            <w:instrText>PAGE</w:instrText>
          </w:r>
          <w:r>
            <w:fldChar w:fldCharType="separate"/>
          </w:r>
          <w:r w:rsidR="00915EE1">
            <w:rPr>
              <w:noProof/>
            </w:rPr>
            <w:t>3</w:t>
          </w:r>
          <w:r>
            <w:fldChar w:fldCharType="end"/>
          </w:r>
        </w:p>
      </w:tc>
    </w:tr>
  </w:tbl>
  <w:p w14:paraId="12862876" w14:textId="77777777" w:rsidR="006F7368" w:rsidRDefault="002E7A1C">
    <w:pPr>
      <w:pStyle w:val="AltBilgi"/>
      <w:jc w:val="right"/>
    </w:pPr>
    <w:r>
      <w:t xml:space="preserve"> </w:t>
    </w:r>
  </w:p>
  <w:p w14:paraId="3FCAEAB8" w14:textId="77777777" w:rsidR="006F7368" w:rsidRDefault="006F7368">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21B6F3" w14:textId="77777777" w:rsidR="006F7368" w:rsidRDefault="006F7368">
    <w:pPr>
      <w:pStyle w:val="AltBilgi"/>
      <w:jc w:val="right"/>
    </w:pPr>
  </w:p>
  <w:tbl>
    <w:tblPr>
      <w:tblW w:w="10375" w:type="dxa"/>
      <w:tblLook w:val="04A0" w:firstRow="1" w:lastRow="0" w:firstColumn="1" w:lastColumn="0" w:noHBand="0" w:noVBand="1"/>
    </w:tblPr>
    <w:tblGrid>
      <w:gridCol w:w="5208"/>
      <w:gridCol w:w="5167"/>
    </w:tblGrid>
    <w:tr w:rsidR="006F7368" w14:paraId="66B80A67" w14:textId="77777777">
      <w:trPr>
        <w:trHeight w:val="269"/>
      </w:trPr>
      <w:tc>
        <w:tcPr>
          <w:tcW w:w="5207" w:type="dxa"/>
          <w:shd w:val="clear" w:color="auto" w:fill="auto"/>
        </w:tcPr>
        <w:p w14:paraId="7A74755F" w14:textId="77777777" w:rsidR="006F7368" w:rsidRDefault="006F7368">
          <w:pPr>
            <w:pStyle w:val="AltBilgi"/>
            <w:rPr>
              <w:lang w:val="tr-TR"/>
            </w:rPr>
          </w:pPr>
        </w:p>
      </w:tc>
      <w:tc>
        <w:tcPr>
          <w:tcW w:w="5167" w:type="dxa"/>
          <w:shd w:val="clear" w:color="auto" w:fill="auto"/>
        </w:tcPr>
        <w:p w14:paraId="60C7A955" w14:textId="651A0749" w:rsidR="006F7368" w:rsidRDefault="002E7A1C">
          <w:pPr>
            <w:pStyle w:val="AltBilgi"/>
            <w:jc w:val="right"/>
          </w:pPr>
          <w:r>
            <w:fldChar w:fldCharType="begin"/>
          </w:r>
          <w:r>
            <w:instrText>PAGE</w:instrText>
          </w:r>
          <w:r>
            <w:fldChar w:fldCharType="separate"/>
          </w:r>
          <w:r w:rsidR="00915EE1">
            <w:rPr>
              <w:noProof/>
            </w:rPr>
            <w:t>5</w:t>
          </w:r>
          <w:r>
            <w:fldChar w:fldCharType="end"/>
          </w:r>
        </w:p>
      </w:tc>
    </w:tr>
  </w:tbl>
  <w:p w14:paraId="3D73FA2B" w14:textId="77777777" w:rsidR="006F7368" w:rsidRDefault="002E7A1C">
    <w:pPr>
      <w:pStyle w:val="AltBilgi"/>
      <w:jc w:val="right"/>
    </w:pPr>
    <w:r>
      <w:t xml:space="preserve"> </w:t>
    </w:r>
  </w:p>
  <w:p w14:paraId="25511AEA" w14:textId="77777777" w:rsidR="006F7368" w:rsidRDefault="006F7368">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E1A1C1" w14:textId="77777777" w:rsidR="003C45CC" w:rsidRDefault="003C45CC">
      <w:r>
        <w:separator/>
      </w:r>
    </w:p>
  </w:footnote>
  <w:footnote w:type="continuationSeparator" w:id="0">
    <w:p w14:paraId="3F19C4EC" w14:textId="77777777" w:rsidR="003C45CC" w:rsidRDefault="003C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412754" w14:textId="3562C988" w:rsidR="006F7368" w:rsidRDefault="00915EE1">
    <w:pPr>
      <w:pStyle w:val="GvdeMetni"/>
      <w:ind w:right="565"/>
      <w:jc w:val="center"/>
      <w:rPr>
        <w:rFonts w:cs="Arial"/>
        <w:b w:val="0"/>
        <w:bCs/>
        <w:color w:val="0F243E"/>
        <w:sz w:val="20"/>
      </w:rPr>
    </w:pPr>
    <w:r>
      <w:rPr>
        <w:rStyle w:val="Gl"/>
        <w:rFonts w:cs="Arial"/>
        <w:b/>
        <w:color w:val="0F243E"/>
        <w:sz w:val="20"/>
        <w:lang w:val="tr-TR"/>
      </w:rPr>
      <w:t>2209-</w:t>
    </w:r>
    <w:r w:rsidR="002E7A1C">
      <w:rPr>
        <w:rStyle w:val="Gl"/>
        <w:rFonts w:cs="Arial"/>
        <w:b/>
        <w:color w:val="0F243E"/>
        <w:sz w:val="20"/>
        <w:lang w:val="tr-TR"/>
      </w:rPr>
      <w:t>A ÜNİVERSİTE ÖĞRENCİ</w:t>
    </w:r>
    <w:r>
      <w:rPr>
        <w:rStyle w:val="Gl"/>
        <w:rFonts w:cs="Arial"/>
        <w:b/>
        <w:color w:val="0F243E"/>
        <w:sz w:val="20"/>
        <w:lang w:val="tr-TR"/>
      </w:rPr>
      <w:t>LERİ ARAŞTIRMA PROJELERİ DESTEKLEME</w:t>
    </w:r>
    <w:r w:rsidR="002E7A1C">
      <w:rPr>
        <w:rStyle w:val="Gl"/>
        <w:rFonts w:cs="Arial"/>
        <w:b/>
        <w:color w:val="0F243E"/>
        <w:sz w:val="20"/>
      </w:rPr>
      <w:t xml:space="preserve"> PROGRAMI ARAŞTIRMA ÖNERİSİ</w:t>
    </w:r>
    <w:r w:rsidR="002E7A1C">
      <w:rPr>
        <w:rFonts w:cs="Arial"/>
        <w:color w:val="0F243E"/>
        <w:sz w:val="20"/>
      </w:rPr>
      <w:t xml:space="preserve"> FORMU</w:t>
    </w:r>
  </w:p>
  <w:p w14:paraId="5A8E9D74" w14:textId="77777777" w:rsidR="006F7368" w:rsidRDefault="002E7A1C">
    <w:pPr>
      <w:pStyle w:val="stBilgi"/>
    </w:pPr>
    <w:r>
      <w:rPr>
        <w:noProof/>
        <w:lang w:val="tr-TR"/>
      </w:rPr>
      <mc:AlternateContent>
        <mc:Choice Requires="wps">
          <w:drawing>
            <wp:anchor distT="0" distB="0" distL="0" distR="0" simplePos="0" relativeHeight="4" behindDoc="1" locked="0" layoutInCell="1" allowOverlap="1" wp14:anchorId="4FE65803" wp14:editId="52CB3B7D">
              <wp:simplePos x="0" y="0"/>
              <wp:positionH relativeFrom="column">
                <wp:posOffset>-45085</wp:posOffset>
              </wp:positionH>
              <wp:positionV relativeFrom="paragraph">
                <wp:posOffset>85725</wp:posOffset>
              </wp:positionV>
              <wp:extent cx="5787390" cy="4445"/>
              <wp:effectExtent l="26670" t="27940" r="47625" b="48260"/>
              <wp:wrapNone/>
              <wp:docPr id="2" name="AutoShape 1"/>
              <wp:cNvGraphicFramePr/>
              <a:graphic xmlns:a="http://schemas.openxmlformats.org/drawingml/2006/main">
                <a:graphicData uri="http://schemas.microsoft.com/office/word/2010/wordprocessingShape">
                  <wps:wsp>
                    <wps:cNvSpPr/>
                    <wps:spPr>
                      <a:xfrm>
                        <a:off x="0" y="0"/>
                        <a:ext cx="5786640" cy="3960"/>
                      </a:xfrm>
                      <a:custGeom>
                        <a:avLst/>
                        <a:gdLst/>
                        <a:ahLst/>
                        <a:cxnLst/>
                        <a:rect l="l" t="t" r="r" b="b"/>
                        <a:pathLst>
                          <a:path w="21600" h="21600">
                            <a:moveTo>
                              <a:pt x="0" y="0"/>
                            </a:moveTo>
                            <a:lnTo>
                              <a:pt x="21600" y="21600"/>
                            </a:lnTo>
                          </a:path>
                        </a:pathLst>
                      </a:custGeom>
                      <a:noFill/>
                      <a:ln w="38160">
                        <a:solidFill>
                          <a:srgbClr val="8DB3E2"/>
                        </a:solidFill>
                        <a:round/>
                      </a:ln>
                      <a:effectLst>
                        <a:outerShdw dist="36147" dir="2700000" algn="ctr" rotWithShape="0">
                          <a:srgbClr val="3F3151">
                            <a:alpha val="50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480F993B" id="AutoShape 1" o:spid="_x0000_s1026" style="position:absolute;margin-left:-3.55pt;margin-top:6.75pt;width:455.7pt;height:.35pt;z-index:-503316476;visibility:visible;mso-wrap-style:square;mso-wrap-distance-left:0;mso-wrap-distance-top:0;mso-wrap-distance-right:0;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" path="m,l21600,21600e" filled="f" strokecolor="#8db3e2" strokeweight="1.06mm">
              <v:shadow on="t" color="#3f3151" opacity=".5" offset=".71mm,.71mm"/>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1956B" w14:textId="77777777" w:rsidR="006F7368" w:rsidRDefault="002E7A1C">
    <w:pPr>
      <w:pStyle w:val="GvdeMetni"/>
      <w:ind w:right="565"/>
      <w:jc w:val="center"/>
    </w:pPr>
    <w:r>
      <w:rPr>
        <w:rStyle w:val="Gl"/>
        <w:rFonts w:cs="Arial"/>
        <w:b/>
        <w:color w:val="0F243E"/>
        <w:sz w:val="20"/>
        <w:lang w:val="tr-TR"/>
      </w:rPr>
      <w:t>2209/A ÜNİVERSİTE ÖĞRENCİLERİ ARAŞTIRMA PROJELERİ DESTEĞİ</w:t>
    </w:r>
    <w:r>
      <w:rPr>
        <w:rStyle w:val="Gl"/>
        <w:rFonts w:cs="Arial"/>
        <w:b/>
        <w:color w:val="0F243E"/>
        <w:sz w:val="20"/>
      </w:rPr>
      <w:t xml:space="preserve"> PROGRAMI ARAŞTIRMA ÖNERİSİ</w:t>
    </w:r>
    <w:r>
      <w:rPr>
        <w:rFonts w:cs="Arial"/>
        <w:color w:val="0F243E"/>
        <w:sz w:val="20"/>
      </w:rPr>
      <w:t xml:space="preserve"> FORMU</w:t>
    </w:r>
  </w:p>
  <w:p w14:paraId="733E2054" w14:textId="77777777" w:rsidR="006F7368" w:rsidRDefault="002E7A1C">
    <w:pPr>
      <w:pStyle w:val="stBilgi"/>
    </w:pPr>
    <w:r>
      <w:rPr>
        <w:noProof/>
        <w:lang w:val="tr-TR"/>
      </w:rPr>
      <mc:AlternateContent>
        <mc:Choice Requires="wps">
          <w:drawing>
            <wp:anchor distT="0" distB="0" distL="0" distR="0" simplePos="0" relativeHeight="8" behindDoc="1" locked="0" layoutInCell="1" allowOverlap="1" wp14:anchorId="59B6006D" wp14:editId="363B4385">
              <wp:simplePos x="0" y="0"/>
              <wp:positionH relativeFrom="column">
                <wp:posOffset>-45085</wp:posOffset>
              </wp:positionH>
              <wp:positionV relativeFrom="paragraph">
                <wp:posOffset>85725</wp:posOffset>
              </wp:positionV>
              <wp:extent cx="5787390" cy="4445"/>
              <wp:effectExtent l="26670" t="27940" r="47625" b="48260"/>
              <wp:wrapNone/>
              <wp:docPr id="4" name="AutoShape 1"/>
              <wp:cNvGraphicFramePr/>
              <a:graphic xmlns:a="http://schemas.openxmlformats.org/drawingml/2006/main">
                <a:graphicData uri="http://schemas.microsoft.com/office/word/2010/wordprocessingShape">
                  <wps:wsp>
                    <wps:cNvSpPr/>
                    <wps:spPr>
                      <a:xfrm>
                        <a:off x="0" y="0"/>
                        <a:ext cx="5786640" cy="3960"/>
                      </a:xfrm>
                      <a:custGeom>
                        <a:avLst/>
                        <a:gdLst/>
                        <a:ahLst/>
                        <a:cxnLst/>
                        <a:rect l="l" t="t" r="r" b="b"/>
                        <a:pathLst>
                          <a:path w="21600" h="21600">
                            <a:moveTo>
                              <a:pt x="0" y="0"/>
                            </a:moveTo>
                            <a:lnTo>
                              <a:pt x="21600" y="21600"/>
                            </a:lnTo>
                          </a:path>
                        </a:pathLst>
                      </a:custGeom>
                      <a:noFill/>
                      <a:ln w="38160">
                        <a:solidFill>
                          <a:srgbClr val="8DB3E2"/>
                        </a:solidFill>
                        <a:round/>
                      </a:ln>
                      <a:effectLst>
                        <a:outerShdw dist="36147" dir="2700000" algn="ctr" rotWithShape="0">
                          <a:srgbClr val="3F3151">
                            <a:alpha val="50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27946F3D" id="AutoShape 1" o:spid="_x0000_s1026" style="position:absolute;margin-left:-3.55pt;margin-top:6.75pt;width:455.7pt;height:.35pt;z-index:-503316472;visibility:visible;mso-wrap-style:square;mso-wrap-distance-left:0;mso-wrap-distance-top:0;mso-wrap-distance-right:0;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" path="m,l21600,21600e" filled="f" strokecolor="#8db3e2" strokeweight="1.06mm">
              <v:shadow on="t" color="#3f3151" opacity=".5" offset=".71mm,.71mm"/>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C72B2C"/>
    <w:multiLevelType w:val="multilevel"/>
    <w:tmpl w:val="C8D8AFB2"/>
    <w:lvl w:ilvl="0">
      <w:start w:val="4"/>
      <w:numFmt w:val="decimal"/>
      <w:lvlText w:val="%1."/>
      <w:lvlJc w:val="left"/>
      <w:pPr>
        <w:ind w:left="360" w:hanging="360"/>
      </w:pPr>
      <w:rPr>
        <w:rFonts w:ascii="Arial" w:hAnsi="Arial"/>
        <w:b/>
        <w:sz w:val="1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B5F3481"/>
    <w:multiLevelType w:val="multilevel"/>
    <w:tmpl w:val="E5EE9E76"/>
    <w:lvl w:ilvl="0">
      <w:start w:val="1"/>
      <w:numFmt w:val="decimal"/>
      <w:lvlText w:val="%1."/>
      <w:lvlJc w:val="left"/>
      <w:pPr>
        <w:ind w:left="720" w:hanging="360"/>
      </w:pPr>
      <w:rPr>
        <w:rFonts w:ascii="Arial" w:hAnsi="Arial"/>
        <w:b/>
        <w:sz w:val="18"/>
      </w:rPr>
    </w:lvl>
    <w:lvl w:ilvl="1">
      <w:start w:val="2"/>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2" w15:restartNumberingAfterBreak="0">
    <w:nsid w:val="4C174355"/>
    <w:multiLevelType w:val="multilevel"/>
    <w:tmpl w:val="CBEA6C3A"/>
    <w:lvl w:ilvl="0">
      <w:start w:val="3"/>
      <w:numFmt w:val="decimal"/>
      <w:lvlText w:val="%1"/>
      <w:lvlJc w:val="left"/>
      <w:pPr>
        <w:ind w:left="720" w:hanging="360"/>
      </w:pPr>
    </w:lvl>
    <w:lvl w:ilvl="1">
      <w:start w:val="1"/>
      <w:numFmt w:val="decimal"/>
      <w:lvlText w:val="%1.%2"/>
      <w:lvlJc w:val="left"/>
      <w:pPr>
        <w:ind w:left="720" w:hanging="360"/>
      </w:pPr>
      <w:rPr>
        <w:rFonts w:ascii="Arial" w:hAnsi="Arial"/>
        <w:b/>
        <w:sz w:val="18"/>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080" w:hanging="72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3" w15:restartNumberingAfterBreak="0">
    <w:nsid w:val="5D915938"/>
    <w:multiLevelType w:val="multilevel"/>
    <w:tmpl w:val="08527DC0"/>
    <w:lvl w:ilvl="0">
      <w:start w:val="2"/>
      <w:numFmt w:val="decimal"/>
      <w:lvlText w:val="%1."/>
      <w:lvlJc w:val="left"/>
      <w:pPr>
        <w:ind w:left="360" w:hanging="360"/>
      </w:pPr>
      <w:rPr>
        <w:rFonts w:ascii="Arial" w:hAnsi="Arial"/>
        <w:b/>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1BD633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15F26B9"/>
    <w:multiLevelType w:val="multilevel"/>
    <w:tmpl w:val="8332B64A"/>
    <w:lvl w:ilvl="0">
      <w:start w:val="1"/>
      <w:numFmt w:val="decimal"/>
      <w:pStyle w:val="Balk1"/>
      <w:lvlText w:val="%1."/>
      <w:lvlJc w:val="left"/>
      <w:pPr>
        <w:tabs>
          <w:tab w:val="num" w:pos="360"/>
        </w:tabs>
        <w:ind w:left="360" w:hanging="360"/>
      </w:pPr>
      <w:rPr>
        <w:i w:val="0"/>
      </w:rPr>
    </w:lvl>
    <w:lvl w:ilvl="1">
      <w:start w:val="1"/>
      <w:numFmt w:val="decimal"/>
      <w:pStyle w:val="Balk2"/>
      <w:lvlText w:val="%1.%2."/>
      <w:lvlJc w:val="left"/>
      <w:pPr>
        <w:tabs>
          <w:tab w:val="num" w:pos="792"/>
        </w:tabs>
        <w:ind w:left="792" w:hanging="432"/>
      </w:pPr>
      <w:rPr>
        <w:color w:val="000000"/>
      </w:rPr>
    </w:lvl>
    <w:lvl w:ilvl="2">
      <w:start w:val="1"/>
      <w:numFmt w:val="decimal"/>
      <w:pStyle w:val="Balk3"/>
      <w:lvlText w:val="%1.%2.%3."/>
      <w:lvlJc w:val="left"/>
      <w:pPr>
        <w:tabs>
          <w:tab w:val="num" w:pos="1440"/>
        </w:tabs>
        <w:ind w:left="1224" w:hanging="504"/>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5"/>
  </w:num>
  <w:num w:numId="2">
    <w:abstractNumId w:val="3"/>
  </w:num>
  <w:num w:numId="3">
    <w:abstractNumId w:val="1"/>
  </w:num>
  <w:num w:numId="4">
    <w:abstractNumId w:val="2"/>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368"/>
    <w:rsid w:val="00013443"/>
    <w:rsid w:val="00095E72"/>
    <w:rsid w:val="000D0AB4"/>
    <w:rsid w:val="000E39BE"/>
    <w:rsid w:val="00167EEB"/>
    <w:rsid w:val="00190A53"/>
    <w:rsid w:val="001B2CDB"/>
    <w:rsid w:val="001D4C6B"/>
    <w:rsid w:val="001D640E"/>
    <w:rsid w:val="002E7A1C"/>
    <w:rsid w:val="003C45CC"/>
    <w:rsid w:val="004D3240"/>
    <w:rsid w:val="005F7B8C"/>
    <w:rsid w:val="006B0518"/>
    <w:rsid w:val="006B23BC"/>
    <w:rsid w:val="006B2F1A"/>
    <w:rsid w:val="006F7368"/>
    <w:rsid w:val="00725BCE"/>
    <w:rsid w:val="00872E18"/>
    <w:rsid w:val="00915EE1"/>
    <w:rsid w:val="009878FA"/>
    <w:rsid w:val="009E0FDF"/>
    <w:rsid w:val="009F1A4E"/>
    <w:rsid w:val="00A17861"/>
    <w:rsid w:val="00A5160F"/>
    <w:rsid w:val="00B24604"/>
    <w:rsid w:val="00BB5D2F"/>
    <w:rsid w:val="00BF4E8B"/>
    <w:rsid w:val="00C05F64"/>
    <w:rsid w:val="00C54348"/>
    <w:rsid w:val="00D14A33"/>
    <w:rsid w:val="00DD7535"/>
    <w:rsid w:val="00EC31DF"/>
    <w:rsid w:val="00F94A1F"/>
  </w:rsids>
  <m:mathPr>
    <m:mathFont m:val="Cambria Math"/>
    <m:brkBin m:val="before"/>
    <m:brkBinSub m:val="--"/>
    <m:smallFrac m:val="0"/>
    <m:dispDef/>
    <m:lMargin m:val="0"/>
    <m:rMargin m:val="0"/>
    <m:defJc m:val="centerGroup"/>
    <m:wrapIndent m:val="1440"/>
    <m:intLim m:val="subSup"/>
    <m:naryLim m:val="undOvr"/>
  </m:mathPr>
  <w:themeFontLang w:val="tr-T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D9007"/>
  <w15:docId w15:val="{EBFF2AED-7C8E-4EEE-8BD2-6B835C277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051E"/>
    <w:pPr>
      <w:widowControl w:val="0"/>
    </w:pPr>
    <w:rPr>
      <w:rFonts w:ascii="Times New Roman" w:eastAsia="Times New Roman" w:hAnsi="Times New Roman"/>
    </w:rPr>
  </w:style>
  <w:style w:type="paragraph" w:styleId="Balk1">
    <w:name w:val="heading 1"/>
    <w:basedOn w:val="Normal"/>
    <w:next w:val="Normal"/>
    <w:link w:val="Balk1Char"/>
    <w:qFormat/>
    <w:rsid w:val="00875882"/>
    <w:pPr>
      <w:keepNext/>
      <w:widowControl/>
      <w:numPr>
        <w:numId w:val="1"/>
      </w:numPr>
      <w:spacing w:before="240" w:after="60"/>
      <w:outlineLvl w:val="0"/>
    </w:pPr>
    <w:rPr>
      <w:rFonts w:ascii="Arial" w:hAnsi="Arial"/>
      <w:b/>
      <w:bCs/>
      <w:color w:val="000080"/>
      <w:kern w:val="2"/>
      <w:sz w:val="32"/>
      <w:szCs w:val="32"/>
      <w:lang w:val="fr-FR" w:eastAsia="fr-FR"/>
    </w:rPr>
  </w:style>
  <w:style w:type="paragraph" w:styleId="Balk2">
    <w:name w:val="heading 2"/>
    <w:basedOn w:val="Normal"/>
    <w:next w:val="Normal"/>
    <w:link w:val="Balk2Char"/>
    <w:qFormat/>
    <w:rsid w:val="00875882"/>
    <w:pPr>
      <w:keepNext/>
      <w:widowControl/>
      <w:numPr>
        <w:ilvl w:val="1"/>
        <w:numId w:val="1"/>
      </w:numPr>
      <w:spacing w:before="240" w:after="60"/>
      <w:outlineLvl w:val="1"/>
    </w:pPr>
    <w:rPr>
      <w:rFonts w:ascii="Arial" w:hAnsi="Arial"/>
      <w:b/>
      <w:bCs/>
      <w:iCs/>
      <w:color w:val="FF6600"/>
      <w:sz w:val="28"/>
      <w:szCs w:val="28"/>
      <w:lang w:val="fr-FR" w:eastAsia="fr-FR"/>
    </w:rPr>
  </w:style>
  <w:style w:type="paragraph" w:styleId="Balk3">
    <w:name w:val="heading 3"/>
    <w:basedOn w:val="Normal"/>
    <w:next w:val="Normal"/>
    <w:link w:val="Balk3Char"/>
    <w:qFormat/>
    <w:rsid w:val="00875882"/>
    <w:pPr>
      <w:keepNext/>
      <w:widowControl/>
      <w:numPr>
        <w:ilvl w:val="2"/>
        <w:numId w:val="1"/>
      </w:numPr>
      <w:spacing w:before="240" w:after="60"/>
      <w:outlineLvl w:val="2"/>
    </w:pPr>
    <w:rPr>
      <w:rFonts w:ascii="Arial" w:hAnsi="Arial"/>
      <w:b/>
      <w:bCs/>
      <w:color w:val="333399"/>
      <w:sz w:val="24"/>
      <w:szCs w:val="26"/>
      <w:lang w:val="fr-FR" w:eastAsia="fr-FR"/>
    </w:rPr>
  </w:style>
  <w:style w:type="paragraph" w:styleId="Balk5">
    <w:name w:val="heading 5"/>
    <w:basedOn w:val="Normal"/>
    <w:next w:val="Normal"/>
    <w:link w:val="Balk5Char"/>
    <w:uiPriority w:val="9"/>
    <w:semiHidden/>
    <w:unhideWhenUsed/>
    <w:qFormat/>
    <w:rsid w:val="00DB7C75"/>
    <w:pPr>
      <w:spacing w:before="240" w:after="60"/>
      <w:outlineLvl w:val="4"/>
    </w:pPr>
    <w:rPr>
      <w:rFonts w:ascii="Calibri" w:hAnsi="Calibri"/>
      <w:b/>
      <w:bCs/>
      <w:i/>
      <w:iCs/>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bilgi Char"/>
    <w:uiPriority w:val="99"/>
    <w:qFormat/>
    <w:rsid w:val="00A6051E"/>
    <w:rPr>
      <w:rFonts w:ascii="Times New Roman" w:eastAsia="Times New Roman" w:hAnsi="Times New Roman" w:cs="Times New Roman"/>
      <w:sz w:val="20"/>
      <w:szCs w:val="20"/>
      <w:lang w:eastAsia="tr-TR"/>
    </w:rPr>
  </w:style>
  <w:style w:type="character" w:customStyle="1" w:styleId="AltBilgiChar">
    <w:name w:val="Alt Bilgi Char"/>
    <w:link w:val="AltBilgi"/>
    <w:uiPriority w:val="99"/>
    <w:qFormat/>
    <w:rsid w:val="00A6051E"/>
    <w:rPr>
      <w:rFonts w:ascii="Times New Roman" w:eastAsia="Times New Roman" w:hAnsi="Times New Roman" w:cs="Times New Roman"/>
      <w:sz w:val="20"/>
      <w:szCs w:val="20"/>
      <w:lang w:eastAsia="tr-TR"/>
    </w:rPr>
  </w:style>
  <w:style w:type="character" w:customStyle="1" w:styleId="BalonMetniChar">
    <w:name w:val="Balon Metni Char"/>
    <w:link w:val="BalonMetni"/>
    <w:uiPriority w:val="99"/>
    <w:semiHidden/>
    <w:qFormat/>
    <w:rsid w:val="00A6051E"/>
    <w:rPr>
      <w:rFonts w:ascii="Tahoma" w:eastAsia="Times New Roman" w:hAnsi="Tahoma" w:cs="Tahoma"/>
      <w:sz w:val="16"/>
      <w:szCs w:val="16"/>
      <w:lang w:eastAsia="tr-TR"/>
    </w:rPr>
  </w:style>
  <w:style w:type="character" w:customStyle="1" w:styleId="Balk1Char">
    <w:name w:val="Başlık 1 Char"/>
    <w:link w:val="Balk1"/>
    <w:qFormat/>
    <w:rsid w:val="00875882"/>
    <w:rPr>
      <w:rFonts w:ascii="Arial" w:eastAsia="Times New Roman" w:hAnsi="Arial" w:cs="Arial"/>
      <w:b/>
      <w:bCs/>
      <w:color w:val="000080"/>
      <w:kern w:val="2"/>
      <w:sz w:val="32"/>
      <w:szCs w:val="32"/>
      <w:lang w:val="fr-FR" w:eastAsia="fr-FR"/>
    </w:rPr>
  </w:style>
  <w:style w:type="character" w:customStyle="1" w:styleId="Balk2Char">
    <w:name w:val="Başlık 2 Char"/>
    <w:link w:val="Balk2"/>
    <w:qFormat/>
    <w:rsid w:val="00875882"/>
    <w:rPr>
      <w:rFonts w:ascii="Arial" w:eastAsia="Times New Roman" w:hAnsi="Arial" w:cs="Arial"/>
      <w:b/>
      <w:bCs/>
      <w:iCs/>
      <w:color w:val="FF6600"/>
      <w:sz w:val="28"/>
      <w:szCs w:val="28"/>
      <w:lang w:val="fr-FR" w:eastAsia="fr-FR"/>
    </w:rPr>
  </w:style>
  <w:style w:type="character" w:customStyle="1" w:styleId="Balk3Char">
    <w:name w:val="Başlık 3 Char"/>
    <w:link w:val="Balk3"/>
    <w:qFormat/>
    <w:rsid w:val="00875882"/>
    <w:rPr>
      <w:rFonts w:ascii="Arial" w:eastAsia="Times New Roman" w:hAnsi="Arial" w:cs="Arial"/>
      <w:b/>
      <w:bCs/>
      <w:color w:val="333399"/>
      <w:sz w:val="24"/>
      <w:szCs w:val="26"/>
      <w:lang w:val="fr-FR" w:eastAsia="fr-FR"/>
    </w:rPr>
  </w:style>
  <w:style w:type="character" w:customStyle="1" w:styleId="TextZchn">
    <w:name w:val="Text Zchn"/>
    <w:link w:val="Metin"/>
    <w:qFormat/>
    <w:rsid w:val="00DE03BE"/>
    <w:rPr>
      <w:rFonts w:ascii="Arial" w:eastAsia="SimSun" w:hAnsi="Arial" w:cs="Arial"/>
      <w:sz w:val="22"/>
      <w:szCs w:val="22"/>
      <w:lang w:val="de-DE" w:eastAsia="zh-CN"/>
    </w:rPr>
  </w:style>
  <w:style w:type="character" w:customStyle="1" w:styleId="TabloKlavuzuAk1">
    <w:name w:val="Tablo Kılavuzu Açık1"/>
    <w:uiPriority w:val="32"/>
    <w:qFormat/>
    <w:rsid w:val="009A1F00"/>
    <w:rPr>
      <w:b/>
      <w:bCs/>
      <w:smallCaps/>
      <w:color w:val="C0504D"/>
      <w:spacing w:val="5"/>
      <w:u w:val="single"/>
    </w:rPr>
  </w:style>
  <w:style w:type="character" w:customStyle="1" w:styleId="DzTablo51">
    <w:name w:val="Düz Tablo 51"/>
    <w:uiPriority w:val="31"/>
    <w:qFormat/>
    <w:rsid w:val="009A1F00"/>
    <w:rPr>
      <w:smallCaps/>
      <w:color w:val="C0504D"/>
      <w:u w:val="single"/>
    </w:rPr>
  </w:style>
  <w:style w:type="character" w:customStyle="1" w:styleId="GvdeMetniChar">
    <w:name w:val="Gövde Metni Char"/>
    <w:link w:val="GvdeMetni"/>
    <w:qFormat/>
    <w:rsid w:val="00A17C52"/>
    <w:rPr>
      <w:rFonts w:ascii="Arial" w:eastAsia="Times New Roman" w:hAnsi="Arial"/>
      <w:b/>
      <w:sz w:val="24"/>
      <w:lang w:eastAsia="ar-SA"/>
    </w:rPr>
  </w:style>
  <w:style w:type="character" w:styleId="Gl">
    <w:name w:val="Strong"/>
    <w:uiPriority w:val="22"/>
    <w:qFormat/>
    <w:rsid w:val="00A17C52"/>
    <w:rPr>
      <w:b/>
      <w:bCs/>
    </w:rPr>
  </w:style>
  <w:style w:type="character" w:styleId="AklamaBavurusu">
    <w:name w:val="annotation reference"/>
    <w:uiPriority w:val="99"/>
    <w:semiHidden/>
    <w:unhideWhenUsed/>
    <w:qFormat/>
    <w:rsid w:val="00762571"/>
    <w:rPr>
      <w:sz w:val="16"/>
      <w:szCs w:val="16"/>
    </w:rPr>
  </w:style>
  <w:style w:type="character" w:customStyle="1" w:styleId="AklamaMetniChar">
    <w:name w:val="Açıklama Metni Char"/>
    <w:link w:val="AklamaMetni"/>
    <w:uiPriority w:val="99"/>
    <w:semiHidden/>
    <w:qFormat/>
    <w:rsid w:val="00762571"/>
    <w:rPr>
      <w:rFonts w:ascii="Times New Roman" w:eastAsia="Times New Roman" w:hAnsi="Times New Roman"/>
    </w:rPr>
  </w:style>
  <w:style w:type="character" w:customStyle="1" w:styleId="AklamaKonusuChar">
    <w:name w:val="Açıklama Konusu Char"/>
    <w:link w:val="AklamaKonusu"/>
    <w:uiPriority w:val="99"/>
    <w:semiHidden/>
    <w:qFormat/>
    <w:rsid w:val="00762571"/>
    <w:rPr>
      <w:rFonts w:ascii="Times New Roman" w:eastAsia="Times New Roman" w:hAnsi="Times New Roman"/>
      <w:b/>
      <w:bCs/>
    </w:rPr>
  </w:style>
  <w:style w:type="character" w:customStyle="1" w:styleId="nternetBalants">
    <w:name w:val="İnternet Bağlantısı"/>
    <w:rsid w:val="00B52340"/>
    <w:rPr>
      <w:color w:val="0000FF"/>
      <w:u w:val="single"/>
    </w:rPr>
  </w:style>
  <w:style w:type="character" w:customStyle="1" w:styleId="Balk5Char">
    <w:name w:val="Başlık 5 Char"/>
    <w:link w:val="Balk5"/>
    <w:uiPriority w:val="9"/>
    <w:semiHidden/>
    <w:qFormat/>
    <w:rsid w:val="00DB7C75"/>
    <w:rPr>
      <w:rFonts w:ascii="Calibri" w:eastAsia="Times New Roman" w:hAnsi="Calibri" w:cs="Times New Roman"/>
      <w:b/>
      <w:bCs/>
      <w:i/>
      <w:iCs/>
      <w:sz w:val="26"/>
      <w:szCs w:val="26"/>
    </w:rPr>
  </w:style>
  <w:style w:type="character" w:customStyle="1" w:styleId="ListLabel1">
    <w:name w:val="ListLabel 1"/>
    <w:qFormat/>
    <w:rPr>
      <w:i w:val="0"/>
    </w:rPr>
  </w:style>
  <w:style w:type="character" w:customStyle="1" w:styleId="ListLabel2">
    <w:name w:val="ListLabel 2"/>
    <w:qFormat/>
    <w:rPr>
      <w:color w:val="000000"/>
    </w:rPr>
  </w:style>
  <w:style w:type="character" w:customStyle="1" w:styleId="ListLabel3">
    <w:name w:val="ListLabel 3"/>
    <w:qFormat/>
    <w:rPr>
      <w:rFonts w:eastAsia="Times New Roman" w:cs="Wingdings"/>
    </w:rPr>
  </w:style>
  <w:style w:type="character" w:customStyle="1" w:styleId="ListLabel4">
    <w:name w:val="ListLabel 4"/>
    <w:qFormat/>
    <w:rPr>
      <w:rFonts w:eastAsia="Times New Roman" w:cs="Wingdings"/>
    </w:rPr>
  </w:style>
  <w:style w:type="character" w:customStyle="1" w:styleId="ListLabel5">
    <w:name w:val="ListLabel 5"/>
    <w:qFormat/>
    <w:rPr>
      <w:rFonts w:cs="Wingdings"/>
    </w:rPr>
  </w:style>
  <w:style w:type="character" w:customStyle="1" w:styleId="ListLabel6">
    <w:name w:val="ListLabel 6"/>
    <w:qFormat/>
    <w:rPr>
      <w:rFonts w:cs="Wingdings"/>
    </w:rPr>
  </w:style>
  <w:style w:type="character" w:customStyle="1" w:styleId="ListLabel7">
    <w:name w:val="ListLabel 7"/>
    <w:qFormat/>
    <w:rPr>
      <w:rFonts w:cs="Wingdings"/>
    </w:rPr>
  </w:style>
  <w:style w:type="character" w:customStyle="1" w:styleId="ListLabel8">
    <w:name w:val="ListLabel 8"/>
    <w:qFormat/>
    <w:rPr>
      <w:i w:val="0"/>
    </w:rPr>
  </w:style>
  <w:style w:type="character" w:customStyle="1" w:styleId="ListLabel9">
    <w:name w:val="ListLabel 9"/>
    <w:qFormat/>
    <w:rPr>
      <w:color w:val="000000"/>
    </w:rPr>
  </w:style>
  <w:style w:type="character" w:customStyle="1" w:styleId="ListLabel10">
    <w:name w:val="ListLabel 10"/>
    <w:qFormat/>
    <w:rPr>
      <w:i w:val="0"/>
    </w:rPr>
  </w:style>
  <w:style w:type="character" w:customStyle="1" w:styleId="ListLabel11">
    <w:name w:val="ListLabel 11"/>
    <w:qFormat/>
    <w:rPr>
      <w:color w:val="000000"/>
    </w:rPr>
  </w:style>
  <w:style w:type="character" w:customStyle="1" w:styleId="ListLabel12">
    <w:name w:val="ListLabel 12"/>
    <w:qFormat/>
    <w:rPr>
      <w:i w:val="0"/>
    </w:rPr>
  </w:style>
  <w:style w:type="character" w:customStyle="1" w:styleId="ListLabel13">
    <w:name w:val="ListLabel 13"/>
    <w:qFormat/>
    <w:rPr>
      <w:color w:val="000000"/>
    </w:rPr>
  </w:style>
  <w:style w:type="character" w:customStyle="1" w:styleId="ListLabel14">
    <w:name w:val="ListLabel 14"/>
    <w:qFormat/>
    <w:rPr>
      <w:i w:val="0"/>
    </w:rPr>
  </w:style>
  <w:style w:type="character" w:customStyle="1" w:styleId="ListLabel15">
    <w:name w:val="ListLabel 15"/>
    <w:qFormat/>
    <w:rPr>
      <w:color w:val="000000"/>
    </w:rPr>
  </w:style>
  <w:style w:type="character" w:customStyle="1" w:styleId="ListLabel16">
    <w:name w:val="ListLabel 16"/>
    <w:qFormat/>
    <w:rPr>
      <w:i w:val="0"/>
    </w:rPr>
  </w:style>
  <w:style w:type="character" w:customStyle="1" w:styleId="ListLabel17">
    <w:name w:val="ListLabel 17"/>
    <w:qFormat/>
    <w:rPr>
      <w:color w:val="000000"/>
    </w:rPr>
  </w:style>
  <w:style w:type="character" w:customStyle="1" w:styleId="ListLabel18">
    <w:name w:val="ListLabel 18"/>
    <w:qFormat/>
    <w:rPr>
      <w:i w:val="0"/>
    </w:rPr>
  </w:style>
  <w:style w:type="character" w:customStyle="1" w:styleId="ListLabel19">
    <w:name w:val="ListLabel 19"/>
    <w:qFormat/>
    <w:rPr>
      <w:color w:val="000000"/>
    </w:rPr>
  </w:style>
  <w:style w:type="character" w:customStyle="1" w:styleId="ListLabel20">
    <w:name w:val="ListLabel 20"/>
    <w:qFormat/>
    <w:rPr>
      <w:rFonts w:cs="Wingdings"/>
    </w:rPr>
  </w:style>
  <w:style w:type="character" w:customStyle="1" w:styleId="ListLabel21">
    <w:name w:val="ListLabel 21"/>
    <w:qFormat/>
    <w:rPr>
      <w:rFonts w:cs="Wingdings"/>
    </w:rPr>
  </w:style>
  <w:style w:type="character" w:customStyle="1" w:styleId="ListLabel22">
    <w:name w:val="ListLabel 22"/>
    <w:qFormat/>
    <w:rPr>
      <w:rFonts w:cs="Wingdings"/>
    </w:rPr>
  </w:style>
  <w:style w:type="character" w:customStyle="1" w:styleId="ListLabel23">
    <w:name w:val="ListLabel 23"/>
    <w:qFormat/>
    <w:rPr>
      <w:rFonts w:cs="Wingdings"/>
    </w:rPr>
  </w:style>
  <w:style w:type="character" w:customStyle="1" w:styleId="ListLabel24">
    <w:name w:val="ListLabel 24"/>
    <w:qFormat/>
    <w:rPr>
      <w:rFonts w:cs="Wingdings"/>
    </w:rPr>
  </w:style>
  <w:style w:type="character" w:customStyle="1" w:styleId="ListLabel25">
    <w:name w:val="ListLabel 25"/>
    <w:qFormat/>
    <w:rPr>
      <w:rFonts w:cs="Wingdings"/>
    </w:rPr>
  </w:style>
  <w:style w:type="character" w:customStyle="1" w:styleId="ListLabel26">
    <w:name w:val="ListLabel 26"/>
    <w:qFormat/>
    <w:rPr>
      <w:rFonts w:cs="Wingdings"/>
    </w:rPr>
  </w:style>
  <w:style w:type="character" w:customStyle="1" w:styleId="ListLabel27">
    <w:name w:val="ListLabel 27"/>
    <w:qFormat/>
    <w:rPr>
      <w:rFonts w:cs="Wingdings"/>
    </w:rPr>
  </w:style>
  <w:style w:type="character" w:customStyle="1" w:styleId="ListLabel28">
    <w:name w:val="ListLabel 28"/>
    <w:qFormat/>
    <w:rPr>
      <w:rFonts w:cs="Wingdings"/>
    </w:rPr>
  </w:style>
  <w:style w:type="character" w:customStyle="1" w:styleId="ListLabel29">
    <w:name w:val="ListLabel 29"/>
    <w:qFormat/>
    <w:rPr>
      <w:i w:val="0"/>
    </w:rPr>
  </w:style>
  <w:style w:type="character" w:customStyle="1" w:styleId="ListLabel30">
    <w:name w:val="ListLabel 30"/>
    <w:qFormat/>
    <w:rPr>
      <w:rFonts w:cs="Wingdings"/>
      <w:b/>
      <w:i/>
      <w:sz w:val="28"/>
      <w:szCs w:val="28"/>
    </w:rPr>
  </w:style>
  <w:style w:type="character" w:customStyle="1" w:styleId="ListLabel31">
    <w:name w:val="ListLabel 31"/>
    <w:qFormat/>
    <w:rPr>
      <w:rFonts w:eastAsia="Times New Roman" w:cs="Wingdings"/>
    </w:rPr>
  </w:style>
  <w:style w:type="character" w:customStyle="1" w:styleId="ListLabel32">
    <w:name w:val="ListLabel 32"/>
    <w:qFormat/>
    <w:rPr>
      <w:rFonts w:cs="Wingdings"/>
    </w:rPr>
  </w:style>
  <w:style w:type="character" w:customStyle="1" w:styleId="ListLabel33">
    <w:name w:val="ListLabel 33"/>
    <w:qFormat/>
    <w:rPr>
      <w:rFonts w:cs="Wingdings"/>
    </w:rPr>
  </w:style>
  <w:style w:type="character" w:customStyle="1" w:styleId="ListLabel34">
    <w:name w:val="ListLabel 34"/>
    <w:qFormat/>
    <w:rPr>
      <w:rFonts w:cs="Wingdings"/>
    </w:rPr>
  </w:style>
  <w:style w:type="character" w:customStyle="1" w:styleId="ListLabel35">
    <w:name w:val="ListLabel 35"/>
    <w:qFormat/>
    <w:rPr>
      <w:rFonts w:cs="Wingdings"/>
    </w:rPr>
  </w:style>
  <w:style w:type="character" w:customStyle="1" w:styleId="ListLabel36">
    <w:name w:val="ListLabel 36"/>
    <w:qFormat/>
    <w:rPr>
      <w:rFonts w:cs="Wingdings"/>
    </w:rPr>
  </w:style>
  <w:style w:type="character" w:customStyle="1" w:styleId="ListLabel37">
    <w:name w:val="ListLabel 37"/>
    <w:qFormat/>
    <w:rPr>
      <w:rFonts w:cs="Wingdings"/>
    </w:rPr>
  </w:style>
  <w:style w:type="character" w:customStyle="1" w:styleId="ListLabel38">
    <w:name w:val="ListLabel 38"/>
    <w:qFormat/>
    <w:rPr>
      <w:rFonts w:eastAsia="Times New Roman" w:cs="Wingdings"/>
    </w:rPr>
  </w:style>
  <w:style w:type="character" w:customStyle="1" w:styleId="ListLabel39">
    <w:name w:val="ListLabel 39"/>
    <w:qFormat/>
    <w:rPr>
      <w:rFonts w:cs="Wingdings"/>
    </w:rPr>
  </w:style>
  <w:style w:type="character" w:customStyle="1" w:styleId="ListLabel40">
    <w:name w:val="ListLabel 40"/>
    <w:qFormat/>
    <w:rPr>
      <w:rFonts w:cs="Wingdings"/>
    </w:rPr>
  </w:style>
  <w:style w:type="character" w:customStyle="1" w:styleId="ListLabel41">
    <w:name w:val="ListLabel 41"/>
    <w:qFormat/>
    <w:rPr>
      <w:rFonts w:cs="Wingdings"/>
    </w:rPr>
  </w:style>
  <w:style w:type="character" w:customStyle="1" w:styleId="ListLabel42">
    <w:name w:val="ListLabel 42"/>
    <w:qFormat/>
    <w:rPr>
      <w:rFonts w:eastAsia="Times New Roman" w:cs="Wingdings"/>
    </w:rPr>
  </w:style>
  <w:style w:type="character" w:customStyle="1" w:styleId="ListLabel43">
    <w:name w:val="ListLabel 43"/>
    <w:qFormat/>
    <w:rPr>
      <w:rFonts w:cs="Wingdings"/>
    </w:rPr>
  </w:style>
  <w:style w:type="character" w:customStyle="1" w:styleId="ListLabel44">
    <w:name w:val="ListLabel 44"/>
    <w:qFormat/>
    <w:rPr>
      <w:rFonts w:cs="Wingdings"/>
    </w:rPr>
  </w:style>
  <w:style w:type="character" w:customStyle="1" w:styleId="ListLabel45">
    <w:name w:val="ListLabel 45"/>
    <w:qFormat/>
    <w:rPr>
      <w:rFonts w:cs="Wingdings"/>
    </w:rPr>
  </w:style>
  <w:style w:type="character" w:customStyle="1" w:styleId="ListLabel46">
    <w:name w:val="ListLabel 46"/>
    <w:qFormat/>
    <w:rPr>
      <w:i w:val="0"/>
    </w:rPr>
  </w:style>
  <w:style w:type="character" w:customStyle="1" w:styleId="ListLabel47">
    <w:name w:val="ListLabel 47"/>
    <w:qFormat/>
    <w:rPr>
      <w:b w:val="0"/>
      <w:i/>
      <w:sz w:val="22"/>
    </w:rPr>
  </w:style>
  <w:style w:type="character" w:customStyle="1" w:styleId="ListLabel48">
    <w:name w:val="ListLabel 48"/>
    <w:qFormat/>
    <w:rPr>
      <w:b/>
      <w:i w:val="0"/>
      <w:sz w:val="28"/>
    </w:rPr>
  </w:style>
  <w:style w:type="character" w:customStyle="1" w:styleId="ListLabel49">
    <w:name w:val="ListLabel 49"/>
    <w:qFormat/>
    <w:rPr>
      <w:b/>
      <w:i w:val="0"/>
      <w:sz w:val="18"/>
      <w:szCs w:val="22"/>
    </w:rPr>
  </w:style>
  <w:style w:type="character" w:customStyle="1" w:styleId="ListLabel50">
    <w:name w:val="ListLabel 50"/>
    <w:qFormat/>
    <w:rPr>
      <w:rFonts w:ascii="Arial" w:hAnsi="Arial"/>
      <w:b/>
      <w:sz w:val="18"/>
    </w:rPr>
  </w:style>
  <w:style w:type="character" w:customStyle="1" w:styleId="ListLabel51">
    <w:name w:val="ListLabel 51"/>
    <w:qFormat/>
    <w:rPr>
      <w:b/>
    </w:rPr>
  </w:style>
  <w:style w:type="character" w:customStyle="1" w:styleId="ListLabel52">
    <w:name w:val="ListLabel 52"/>
    <w:qFormat/>
    <w:rPr>
      <w:rFonts w:ascii="Arial" w:hAnsi="Arial"/>
      <w:b/>
      <w:sz w:val="18"/>
    </w:rPr>
  </w:style>
  <w:style w:type="character" w:customStyle="1" w:styleId="ListLabel53">
    <w:name w:val="ListLabel 53"/>
    <w:qFormat/>
    <w:rPr>
      <w:b/>
    </w:rPr>
  </w:style>
  <w:style w:type="character" w:customStyle="1" w:styleId="ListLabel54">
    <w:name w:val="ListLabel 54"/>
    <w:qFormat/>
    <w:rPr>
      <w:b/>
    </w:rPr>
  </w:style>
  <w:style w:type="character" w:customStyle="1" w:styleId="ListLabel55">
    <w:name w:val="ListLabel 55"/>
    <w:qFormat/>
    <w:rPr>
      <w:b/>
    </w:rPr>
  </w:style>
  <w:style w:type="character" w:customStyle="1" w:styleId="ListLabel56">
    <w:name w:val="ListLabel 56"/>
    <w:qFormat/>
    <w:rPr>
      <w:b/>
    </w:rPr>
  </w:style>
  <w:style w:type="character" w:customStyle="1" w:styleId="ListLabel57">
    <w:name w:val="ListLabel 57"/>
    <w:qFormat/>
    <w:rPr>
      <w:b/>
    </w:rPr>
  </w:style>
  <w:style w:type="character" w:customStyle="1" w:styleId="ListLabel58">
    <w:name w:val="ListLabel 58"/>
    <w:qFormat/>
    <w:rPr>
      <w:b/>
    </w:rPr>
  </w:style>
  <w:style w:type="character" w:customStyle="1" w:styleId="ListLabel59">
    <w:name w:val="ListLabel 59"/>
    <w:qFormat/>
    <w:rPr>
      <w:b/>
    </w:rPr>
  </w:style>
  <w:style w:type="character" w:customStyle="1" w:styleId="ListLabel60">
    <w:name w:val="ListLabel 60"/>
    <w:qFormat/>
    <w:rPr>
      <w:b/>
    </w:rPr>
  </w:style>
  <w:style w:type="character" w:customStyle="1" w:styleId="ListLabel61">
    <w:name w:val="ListLabel 61"/>
    <w:qFormat/>
    <w:rPr>
      <w:b/>
    </w:rPr>
  </w:style>
  <w:style w:type="character" w:customStyle="1" w:styleId="ListLabel62">
    <w:name w:val="ListLabel 62"/>
    <w:qFormat/>
    <w:rPr>
      <w:rFonts w:ascii="Arial" w:hAnsi="Arial"/>
      <w:b/>
      <w:sz w:val="18"/>
    </w:rPr>
  </w:style>
  <w:style w:type="character" w:customStyle="1" w:styleId="ListLabel63">
    <w:name w:val="ListLabel 63"/>
    <w:qFormat/>
    <w:rPr>
      <w:rFonts w:ascii="Arial" w:hAnsi="Arial"/>
      <w:b/>
      <w:sz w:val="18"/>
    </w:rPr>
  </w:style>
  <w:style w:type="character" w:customStyle="1" w:styleId="ListLabel64">
    <w:name w:val="ListLabel 64"/>
    <w:qFormat/>
    <w:rPr>
      <w:i w:val="0"/>
    </w:rPr>
  </w:style>
  <w:style w:type="character" w:customStyle="1" w:styleId="ListLabel65">
    <w:name w:val="ListLabel 65"/>
    <w:qFormat/>
    <w:rPr>
      <w:color w:val="000000"/>
    </w:rPr>
  </w:style>
  <w:style w:type="character" w:customStyle="1" w:styleId="ListLabel66">
    <w:name w:val="ListLabel 66"/>
    <w:qFormat/>
    <w:rPr>
      <w:rFonts w:ascii="Arial" w:hAnsi="Arial"/>
      <w:b/>
      <w:sz w:val="18"/>
    </w:rPr>
  </w:style>
  <w:style w:type="character" w:customStyle="1" w:styleId="ListLabel67">
    <w:name w:val="ListLabel 67"/>
    <w:qFormat/>
    <w:rPr>
      <w:b/>
    </w:rPr>
  </w:style>
  <w:style w:type="character" w:customStyle="1" w:styleId="ListLabel68">
    <w:name w:val="ListLabel 68"/>
    <w:qFormat/>
    <w:rPr>
      <w:rFonts w:ascii="Arial" w:hAnsi="Arial"/>
      <w:b/>
      <w:sz w:val="18"/>
    </w:rPr>
  </w:style>
  <w:style w:type="character" w:customStyle="1" w:styleId="ListLabel69">
    <w:name w:val="ListLabel 69"/>
    <w:qFormat/>
    <w:rPr>
      <w:rFonts w:ascii="Arial" w:hAnsi="Arial"/>
      <w:b/>
      <w:sz w:val="18"/>
    </w:rPr>
  </w:style>
  <w:style w:type="character" w:customStyle="1" w:styleId="ListLabel70">
    <w:name w:val="ListLabel 70"/>
    <w:qFormat/>
    <w:rPr>
      <w:rFonts w:ascii="Arial" w:hAnsi="Arial"/>
      <w:b/>
      <w:sz w:val="18"/>
    </w:rPr>
  </w:style>
  <w:style w:type="character" w:customStyle="1" w:styleId="ListLabel71">
    <w:name w:val="ListLabel 71"/>
    <w:qFormat/>
    <w:rPr>
      <w:i w:val="0"/>
    </w:rPr>
  </w:style>
  <w:style w:type="character" w:customStyle="1" w:styleId="ListLabel72">
    <w:name w:val="ListLabel 72"/>
    <w:qFormat/>
    <w:rPr>
      <w:color w:val="000000"/>
    </w:rPr>
  </w:style>
  <w:style w:type="character" w:customStyle="1" w:styleId="ListLabel73">
    <w:name w:val="ListLabel 73"/>
    <w:qFormat/>
    <w:rPr>
      <w:rFonts w:ascii="Arial" w:hAnsi="Arial"/>
      <w:b/>
      <w:sz w:val="18"/>
    </w:rPr>
  </w:style>
  <w:style w:type="character" w:customStyle="1" w:styleId="ListLabel74">
    <w:name w:val="ListLabel 74"/>
    <w:qFormat/>
    <w:rPr>
      <w:b/>
    </w:rPr>
  </w:style>
  <w:style w:type="character" w:customStyle="1" w:styleId="ListLabel75">
    <w:name w:val="ListLabel 75"/>
    <w:qFormat/>
    <w:rPr>
      <w:rFonts w:ascii="Arial" w:hAnsi="Arial"/>
      <w:b/>
      <w:sz w:val="18"/>
    </w:rPr>
  </w:style>
  <w:style w:type="character" w:customStyle="1" w:styleId="ListLabel76">
    <w:name w:val="ListLabel 76"/>
    <w:qFormat/>
    <w:rPr>
      <w:rFonts w:ascii="Arial" w:hAnsi="Arial"/>
      <w:b/>
      <w:sz w:val="18"/>
    </w:rPr>
  </w:style>
  <w:style w:type="character" w:customStyle="1" w:styleId="ListLabel77">
    <w:name w:val="ListLabel 77"/>
    <w:qFormat/>
    <w:rPr>
      <w:rFonts w:ascii="Arial" w:hAnsi="Arial"/>
      <w:b/>
      <w:sz w:val="18"/>
    </w:rPr>
  </w:style>
  <w:style w:type="character" w:customStyle="1" w:styleId="ListLabel78">
    <w:name w:val="ListLabel 78"/>
    <w:qFormat/>
    <w:rPr>
      <w:i w:val="0"/>
    </w:rPr>
  </w:style>
  <w:style w:type="character" w:customStyle="1" w:styleId="ListLabel79">
    <w:name w:val="ListLabel 79"/>
    <w:qFormat/>
    <w:rPr>
      <w:color w:val="000000"/>
    </w:rPr>
  </w:style>
  <w:style w:type="character" w:customStyle="1" w:styleId="ListLabel80">
    <w:name w:val="ListLabel 80"/>
    <w:qFormat/>
    <w:rPr>
      <w:rFonts w:ascii="Arial" w:hAnsi="Arial"/>
      <w:b/>
      <w:sz w:val="18"/>
    </w:rPr>
  </w:style>
  <w:style w:type="character" w:customStyle="1" w:styleId="ListLabel81">
    <w:name w:val="ListLabel 81"/>
    <w:qFormat/>
    <w:rPr>
      <w:b/>
    </w:rPr>
  </w:style>
  <w:style w:type="character" w:customStyle="1" w:styleId="ListLabel82">
    <w:name w:val="ListLabel 82"/>
    <w:qFormat/>
    <w:rPr>
      <w:rFonts w:ascii="Arial" w:hAnsi="Arial"/>
      <w:b/>
      <w:sz w:val="18"/>
    </w:rPr>
  </w:style>
  <w:style w:type="character" w:customStyle="1" w:styleId="ListLabel83">
    <w:name w:val="ListLabel 83"/>
    <w:qFormat/>
    <w:rPr>
      <w:rFonts w:ascii="Arial" w:hAnsi="Arial"/>
      <w:b/>
      <w:sz w:val="18"/>
    </w:rPr>
  </w:style>
  <w:style w:type="character" w:customStyle="1" w:styleId="ListLabel84">
    <w:name w:val="ListLabel 84"/>
    <w:qFormat/>
    <w:rPr>
      <w:rFonts w:ascii="Arial" w:hAnsi="Arial"/>
      <w:b/>
      <w:sz w:val="18"/>
    </w:rPr>
  </w:style>
  <w:style w:type="character" w:customStyle="1" w:styleId="ListLabel85">
    <w:name w:val="ListLabel 85"/>
    <w:qFormat/>
    <w:rPr>
      <w:i w:val="0"/>
    </w:rPr>
  </w:style>
  <w:style w:type="character" w:customStyle="1" w:styleId="ListLabel86">
    <w:name w:val="ListLabel 86"/>
    <w:qFormat/>
    <w:rPr>
      <w:color w:val="000000"/>
    </w:rPr>
  </w:style>
  <w:style w:type="character" w:customStyle="1" w:styleId="ListLabel87">
    <w:name w:val="ListLabel 87"/>
    <w:qFormat/>
    <w:rPr>
      <w:rFonts w:ascii="Arial" w:hAnsi="Arial"/>
      <w:b/>
      <w:sz w:val="18"/>
    </w:rPr>
  </w:style>
  <w:style w:type="character" w:customStyle="1" w:styleId="ListLabel88">
    <w:name w:val="ListLabel 88"/>
    <w:qFormat/>
    <w:rPr>
      <w:b/>
    </w:rPr>
  </w:style>
  <w:style w:type="character" w:customStyle="1" w:styleId="ListLabel89">
    <w:name w:val="ListLabel 89"/>
    <w:qFormat/>
    <w:rPr>
      <w:rFonts w:ascii="Arial" w:hAnsi="Arial"/>
      <w:b/>
      <w:sz w:val="18"/>
    </w:rPr>
  </w:style>
  <w:style w:type="character" w:customStyle="1" w:styleId="ListLabel90">
    <w:name w:val="ListLabel 90"/>
    <w:qFormat/>
    <w:rPr>
      <w:rFonts w:ascii="Arial" w:hAnsi="Arial"/>
      <w:b/>
      <w:sz w:val="18"/>
    </w:rPr>
  </w:style>
  <w:style w:type="character" w:customStyle="1" w:styleId="ListLabel91">
    <w:name w:val="ListLabel 91"/>
    <w:qFormat/>
    <w:rPr>
      <w:rFonts w:ascii="Arial" w:hAnsi="Arial"/>
      <w:b/>
      <w:sz w:val="18"/>
    </w:rPr>
  </w:style>
  <w:style w:type="character" w:customStyle="1" w:styleId="ListLabel92">
    <w:name w:val="ListLabel 92"/>
    <w:qFormat/>
    <w:rPr>
      <w:i w:val="0"/>
    </w:rPr>
  </w:style>
  <w:style w:type="character" w:customStyle="1" w:styleId="ListLabel93">
    <w:name w:val="ListLabel 93"/>
    <w:qFormat/>
    <w:rPr>
      <w:color w:val="000000"/>
    </w:rPr>
  </w:style>
  <w:style w:type="character" w:customStyle="1" w:styleId="ListLabel94">
    <w:name w:val="ListLabel 94"/>
    <w:qFormat/>
    <w:rPr>
      <w:rFonts w:ascii="Arial" w:hAnsi="Arial"/>
      <w:b/>
      <w:sz w:val="18"/>
    </w:rPr>
  </w:style>
  <w:style w:type="character" w:customStyle="1" w:styleId="ListLabel95">
    <w:name w:val="ListLabel 95"/>
    <w:qFormat/>
    <w:rPr>
      <w:b/>
    </w:rPr>
  </w:style>
  <w:style w:type="character" w:customStyle="1" w:styleId="ListLabel96">
    <w:name w:val="ListLabel 96"/>
    <w:qFormat/>
    <w:rPr>
      <w:rFonts w:ascii="Arial" w:hAnsi="Arial"/>
      <w:b/>
      <w:sz w:val="18"/>
    </w:rPr>
  </w:style>
  <w:style w:type="character" w:customStyle="1" w:styleId="ListLabel97">
    <w:name w:val="ListLabel 97"/>
    <w:qFormat/>
    <w:rPr>
      <w:rFonts w:ascii="Arial" w:hAnsi="Arial"/>
      <w:b/>
      <w:sz w:val="18"/>
    </w:rPr>
  </w:style>
  <w:style w:type="character" w:customStyle="1" w:styleId="ListLabel98">
    <w:name w:val="ListLabel 98"/>
    <w:qFormat/>
    <w:rPr>
      <w:rFonts w:ascii="Arial" w:hAnsi="Arial"/>
      <w:b/>
      <w:sz w:val="18"/>
    </w:rPr>
  </w:style>
  <w:style w:type="paragraph" w:customStyle="1" w:styleId="Balk">
    <w:name w:val="Başlık"/>
    <w:basedOn w:val="Normal"/>
    <w:next w:val="GvdeMetni"/>
    <w:qFormat/>
    <w:pPr>
      <w:keepNext/>
      <w:spacing w:before="240" w:after="120"/>
    </w:pPr>
    <w:rPr>
      <w:rFonts w:ascii="Liberation Sans" w:eastAsia="DejaVu Sans" w:hAnsi="Liberation Sans" w:cs="FreeSans"/>
      <w:sz w:val="28"/>
      <w:szCs w:val="28"/>
    </w:rPr>
  </w:style>
  <w:style w:type="paragraph" w:styleId="GvdeMetni">
    <w:name w:val="Body Text"/>
    <w:basedOn w:val="Normal"/>
    <w:link w:val="GvdeMetniChar"/>
    <w:rsid w:val="00A17C52"/>
    <w:pPr>
      <w:suppressAutoHyphens/>
      <w:jc w:val="both"/>
    </w:pPr>
    <w:rPr>
      <w:rFonts w:ascii="Arial" w:hAnsi="Arial"/>
      <w:b/>
      <w:sz w:val="24"/>
      <w:lang w:val="x-none" w:eastAsia="ar-SA"/>
    </w:rPr>
  </w:style>
  <w:style w:type="paragraph" w:styleId="Liste">
    <w:name w:val="List"/>
    <w:basedOn w:val="GvdeMetni"/>
    <w:rPr>
      <w:rFonts w:cs="FreeSans"/>
    </w:rPr>
  </w:style>
  <w:style w:type="paragraph" w:styleId="ResimYazs">
    <w:name w:val="caption"/>
    <w:basedOn w:val="Normal"/>
    <w:qFormat/>
    <w:pPr>
      <w:suppressLineNumbers/>
      <w:spacing w:before="120" w:after="120"/>
    </w:pPr>
    <w:rPr>
      <w:rFonts w:cs="FreeSans"/>
      <w:i/>
      <w:iCs/>
      <w:sz w:val="24"/>
      <w:szCs w:val="24"/>
    </w:rPr>
  </w:style>
  <w:style w:type="paragraph" w:customStyle="1" w:styleId="Dizin">
    <w:name w:val="Dizin"/>
    <w:basedOn w:val="Normal"/>
    <w:qFormat/>
    <w:pPr>
      <w:suppressLineNumbers/>
    </w:pPr>
    <w:rPr>
      <w:rFonts w:cs="FreeSans"/>
    </w:rPr>
  </w:style>
  <w:style w:type="paragraph" w:styleId="stBilgi">
    <w:name w:val="header"/>
    <w:basedOn w:val="Normal"/>
    <w:uiPriority w:val="99"/>
    <w:unhideWhenUsed/>
    <w:rsid w:val="00A6051E"/>
    <w:pPr>
      <w:tabs>
        <w:tab w:val="center" w:pos="4536"/>
        <w:tab w:val="right" w:pos="9072"/>
      </w:tabs>
    </w:pPr>
    <w:rPr>
      <w:lang w:val="x-none"/>
    </w:rPr>
  </w:style>
  <w:style w:type="paragraph" w:styleId="AltBilgi">
    <w:name w:val="footer"/>
    <w:basedOn w:val="Normal"/>
    <w:link w:val="AltBilgiChar"/>
    <w:uiPriority w:val="99"/>
    <w:unhideWhenUsed/>
    <w:rsid w:val="00A6051E"/>
    <w:pPr>
      <w:tabs>
        <w:tab w:val="center" w:pos="4536"/>
        <w:tab w:val="right" w:pos="9072"/>
      </w:tabs>
    </w:pPr>
    <w:rPr>
      <w:lang w:val="x-none"/>
    </w:rPr>
  </w:style>
  <w:style w:type="paragraph" w:styleId="BalonMetni">
    <w:name w:val="Balloon Text"/>
    <w:basedOn w:val="Normal"/>
    <w:link w:val="BalonMetniChar"/>
    <w:uiPriority w:val="99"/>
    <w:semiHidden/>
    <w:unhideWhenUsed/>
    <w:qFormat/>
    <w:rsid w:val="00A6051E"/>
    <w:rPr>
      <w:rFonts w:ascii="Tahoma" w:hAnsi="Tahoma"/>
      <w:sz w:val="16"/>
      <w:szCs w:val="16"/>
      <w:lang w:val="x-none"/>
    </w:rPr>
  </w:style>
  <w:style w:type="paragraph" w:customStyle="1" w:styleId="Metin">
    <w:name w:val="Metin"/>
    <w:basedOn w:val="Normal"/>
    <w:link w:val="TextZchn"/>
    <w:qFormat/>
    <w:rsid w:val="00DE03BE"/>
    <w:pPr>
      <w:widowControl/>
      <w:spacing w:after="120"/>
      <w:jc w:val="both"/>
    </w:pPr>
    <w:rPr>
      <w:rFonts w:ascii="Arial" w:eastAsia="SimSun" w:hAnsi="Arial"/>
      <w:sz w:val="22"/>
      <w:szCs w:val="22"/>
      <w:lang w:val="de-DE" w:eastAsia="zh-CN"/>
    </w:rPr>
  </w:style>
  <w:style w:type="paragraph" w:customStyle="1" w:styleId="AkKlavuz-Vurgu31">
    <w:name w:val="Açık Kılavuz - Vurgu 31"/>
    <w:basedOn w:val="Normal"/>
    <w:uiPriority w:val="34"/>
    <w:qFormat/>
    <w:rsid w:val="00D378BE"/>
    <w:pPr>
      <w:ind w:left="708"/>
    </w:pPr>
  </w:style>
  <w:style w:type="paragraph" w:customStyle="1" w:styleId="Default">
    <w:name w:val="Default"/>
    <w:qFormat/>
    <w:rsid w:val="00C022D4"/>
    <w:rPr>
      <w:rFonts w:ascii="Times New Roman" w:hAnsi="Times New Roman"/>
      <w:color w:val="000000"/>
      <w:sz w:val="24"/>
      <w:szCs w:val="24"/>
      <w:lang w:val="en-US" w:eastAsia="en-US"/>
    </w:rPr>
  </w:style>
  <w:style w:type="paragraph" w:customStyle="1" w:styleId="WW-NormalWeb1">
    <w:name w:val="WW-Normal (Web)1"/>
    <w:basedOn w:val="Normal"/>
    <w:qFormat/>
    <w:rsid w:val="005C2B8F"/>
    <w:pPr>
      <w:widowControl/>
      <w:spacing w:before="280" w:after="119"/>
    </w:pPr>
    <w:rPr>
      <w:sz w:val="24"/>
      <w:szCs w:val="24"/>
      <w:lang w:eastAsia="ar-SA"/>
    </w:rPr>
  </w:style>
  <w:style w:type="paragraph" w:styleId="AklamaMetni">
    <w:name w:val="annotation text"/>
    <w:basedOn w:val="Normal"/>
    <w:link w:val="AklamaMetniChar"/>
    <w:uiPriority w:val="99"/>
    <w:semiHidden/>
    <w:unhideWhenUsed/>
    <w:qFormat/>
    <w:rsid w:val="00762571"/>
    <w:rPr>
      <w:lang w:val="x-none" w:eastAsia="x-none"/>
    </w:rPr>
  </w:style>
  <w:style w:type="paragraph" w:styleId="AklamaKonusu">
    <w:name w:val="annotation subject"/>
    <w:basedOn w:val="AklamaMetni"/>
    <w:next w:val="AklamaMetni"/>
    <w:link w:val="AklamaKonusuChar"/>
    <w:uiPriority w:val="99"/>
    <w:semiHidden/>
    <w:unhideWhenUsed/>
    <w:qFormat/>
    <w:rsid w:val="00762571"/>
    <w:rPr>
      <w:b/>
      <w:bCs/>
    </w:rPr>
  </w:style>
  <w:style w:type="paragraph" w:customStyle="1" w:styleId="RenkliListe-Vurgu11">
    <w:name w:val="Renkli Liste - Vurgu 11"/>
    <w:basedOn w:val="Normal"/>
    <w:uiPriority w:val="34"/>
    <w:qFormat/>
    <w:rsid w:val="00B52340"/>
    <w:pPr>
      <w:widowControl/>
      <w:spacing w:after="200" w:line="276" w:lineRule="auto"/>
      <w:ind w:left="720"/>
      <w:contextualSpacing/>
    </w:pPr>
    <w:rPr>
      <w:rFonts w:ascii="Calibri" w:eastAsia="Calibri" w:hAnsi="Calibri"/>
      <w:lang w:val="en-US" w:eastAsia="en-US"/>
    </w:rPr>
  </w:style>
  <w:style w:type="paragraph" w:styleId="ListeParagraf">
    <w:name w:val="List Paragraph"/>
    <w:basedOn w:val="Normal"/>
    <w:uiPriority w:val="34"/>
    <w:qFormat/>
    <w:rsid w:val="00472CA9"/>
    <w:pPr>
      <w:ind w:left="720"/>
      <w:contextualSpacing/>
    </w:pPr>
  </w:style>
  <w:style w:type="paragraph" w:customStyle="1" w:styleId="Tabloerii">
    <w:name w:val="Tablo İçeriği"/>
    <w:basedOn w:val="Normal"/>
    <w:qFormat/>
    <w:pPr>
      <w:suppressLineNumbers/>
    </w:pPr>
  </w:style>
  <w:style w:type="table" w:styleId="TabloKlavuzu">
    <w:name w:val="Table Grid"/>
    <w:basedOn w:val="NormalTablo"/>
    <w:uiPriority w:val="59"/>
    <w:rsid w:val="001726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98580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FB2CBA-79F1-440A-AA1F-4300009EC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Pages>
  <Words>799</Words>
  <Characters>4556</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TÜBİTAK</Company>
  <LinksUpToDate>false</LinksUpToDate>
  <CharactersWithSpaces>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zeynep.durmusoglu</dc:creator>
  <dc:description/>
  <cp:lastModifiedBy>Yasin SUBAŞI</cp:lastModifiedBy>
  <cp:revision>20</cp:revision>
  <cp:lastPrinted>2025-09-02T06:48:00Z</cp:lastPrinted>
  <dcterms:created xsi:type="dcterms:W3CDTF">2025-08-11T13:26:00Z</dcterms:created>
  <dcterms:modified xsi:type="dcterms:W3CDTF">2025-10-09T14:26:00Z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