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E2A793" w14:textId="77777777" w:rsidR="006F7368" w:rsidRDefault="006F7368">
      <w:pPr>
        <w:widowControl/>
        <w:ind w:right="-4"/>
        <w:rPr>
          <w:rFonts w:ascii="Arial" w:hAnsi="Arial" w:cs="Arial"/>
        </w:rPr>
      </w:pPr>
    </w:p>
    <w:p w14:paraId="5E4397B4" w14:textId="77777777" w:rsidR="006F7368" w:rsidRDefault="006F7368">
      <w:pPr>
        <w:widowControl/>
        <w:ind w:right="-4"/>
        <w:rPr>
          <w:rFonts w:ascii="Arial" w:hAnsi="Arial" w:cs="Arial"/>
        </w:rPr>
      </w:pPr>
    </w:p>
    <w:p w14:paraId="621FC468" w14:textId="77777777" w:rsidR="006F7368" w:rsidRDefault="006F7368">
      <w:pPr>
        <w:widowControl/>
        <w:ind w:right="-4"/>
        <w:rPr>
          <w:rFonts w:ascii="Arial" w:hAnsi="Arial" w:cs="Arial"/>
        </w:rPr>
      </w:pPr>
    </w:p>
    <w:p w14:paraId="77BEB8D2" w14:textId="77777777" w:rsidR="006F7368" w:rsidRDefault="002E7A1C">
      <w:pPr>
        <w:widowControl/>
        <w:ind w:right="-4"/>
        <w:rPr>
          <w:rFonts w:ascii="Arial" w:hAnsi="Arial" w:cs="Arial"/>
        </w:rPr>
      </w:pPr>
      <w:r>
        <w:rPr>
          <w:rFonts w:ascii="Arial" w:hAnsi="Arial" w:cs="Arial"/>
          <w:noProof/>
        </w:rPr>
        <w:drawing>
          <wp:anchor distT="0" distB="0" distL="0" distR="0" simplePos="0" relativeHeight="5" behindDoc="0" locked="0" layoutInCell="1" allowOverlap="1" wp14:anchorId="680BD949" wp14:editId="299BC307">
            <wp:simplePos x="0" y="0"/>
            <wp:positionH relativeFrom="column">
              <wp:posOffset>2478405</wp:posOffset>
            </wp:positionH>
            <wp:positionV relativeFrom="paragraph">
              <wp:posOffset>93980</wp:posOffset>
            </wp:positionV>
            <wp:extent cx="957580" cy="1274445"/>
            <wp:effectExtent l="0" t="0" r="0" b="0"/>
            <wp:wrapNone/>
            <wp:docPr id="1" name="Resim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logo"/>
                    <pic:cNvPicPr>
                      <a:picLocks noChangeAspect="1" noChangeArrowheads="1"/>
                    </pic:cNvPicPr>
                  </pic:nvPicPr>
                  <pic:blipFill>
                    <a:blip r:embed="rId8"/>
                    <a:stretch>
                      <a:fillRect/>
                    </a:stretch>
                  </pic:blipFill>
                  <pic:spPr bwMode="auto">
                    <a:xfrm>
                      <a:off x="0" y="0"/>
                      <a:ext cx="957580" cy="1274445"/>
                    </a:xfrm>
                    <a:prstGeom prst="rect">
                      <a:avLst/>
                    </a:prstGeom>
                  </pic:spPr>
                </pic:pic>
              </a:graphicData>
            </a:graphic>
          </wp:anchor>
        </w:drawing>
      </w:r>
    </w:p>
    <w:p w14:paraId="6AC557D5" w14:textId="77777777" w:rsidR="006F7368" w:rsidRDefault="006F7368">
      <w:pPr>
        <w:widowControl/>
        <w:spacing w:line="388" w:lineRule="exact"/>
        <w:ind w:left="774" w:right="882"/>
        <w:jc w:val="center"/>
        <w:rPr>
          <w:rFonts w:ascii="Arial" w:hAnsi="Arial" w:cs="Arial"/>
          <w:color w:val="28386B"/>
          <w:w w:val="57"/>
          <w:sz w:val="36"/>
          <w:szCs w:val="36"/>
        </w:rPr>
      </w:pPr>
    </w:p>
    <w:p w14:paraId="2FC776D9" w14:textId="77777777" w:rsidR="006F7368" w:rsidRDefault="006F7368">
      <w:pPr>
        <w:widowControl/>
        <w:spacing w:line="388" w:lineRule="exact"/>
        <w:ind w:left="774" w:right="882"/>
        <w:jc w:val="center"/>
        <w:rPr>
          <w:rFonts w:ascii="Arial" w:hAnsi="Arial" w:cs="Arial"/>
          <w:color w:val="28386B"/>
          <w:w w:val="57"/>
          <w:sz w:val="36"/>
          <w:szCs w:val="36"/>
        </w:rPr>
      </w:pPr>
    </w:p>
    <w:p w14:paraId="12272F0A" w14:textId="77777777" w:rsidR="006F7368" w:rsidRDefault="006F7368">
      <w:pPr>
        <w:widowControl/>
        <w:spacing w:line="388" w:lineRule="exact"/>
        <w:ind w:left="774" w:right="882"/>
        <w:jc w:val="center"/>
        <w:rPr>
          <w:rFonts w:ascii="Arial" w:hAnsi="Arial" w:cs="Arial"/>
          <w:color w:val="28386B"/>
          <w:w w:val="57"/>
          <w:sz w:val="36"/>
          <w:szCs w:val="36"/>
        </w:rPr>
      </w:pPr>
    </w:p>
    <w:p w14:paraId="04443BB3" w14:textId="77777777" w:rsidR="006F7368" w:rsidRDefault="006F7368">
      <w:pPr>
        <w:widowControl/>
        <w:spacing w:line="388" w:lineRule="exact"/>
        <w:ind w:left="774" w:right="882"/>
        <w:jc w:val="center"/>
        <w:rPr>
          <w:rFonts w:ascii="Arial" w:hAnsi="Arial" w:cs="Arial"/>
          <w:color w:val="28386B"/>
          <w:w w:val="57"/>
          <w:sz w:val="36"/>
          <w:szCs w:val="36"/>
        </w:rPr>
      </w:pPr>
    </w:p>
    <w:p w14:paraId="48B2E3D2" w14:textId="77777777" w:rsidR="006F7368" w:rsidRDefault="006F7368">
      <w:pPr>
        <w:widowControl/>
        <w:ind w:right="-4"/>
        <w:rPr>
          <w:rFonts w:ascii="Arial" w:hAnsi="Arial" w:cs="Arial"/>
        </w:rPr>
      </w:pPr>
    </w:p>
    <w:p w14:paraId="11DAC60F" w14:textId="77777777" w:rsidR="006F7368" w:rsidRDefault="006F7368">
      <w:pPr>
        <w:widowControl/>
        <w:spacing w:line="388" w:lineRule="exact"/>
        <w:ind w:left="774" w:right="882"/>
        <w:jc w:val="center"/>
        <w:rPr>
          <w:rFonts w:ascii="Arial" w:hAnsi="Arial" w:cs="Arial"/>
          <w:color w:val="28386B"/>
          <w:w w:val="57"/>
          <w:sz w:val="36"/>
          <w:szCs w:val="36"/>
        </w:rPr>
      </w:pPr>
    </w:p>
    <w:p w14:paraId="10ECEDF7" w14:textId="77777777" w:rsidR="006F7368" w:rsidRDefault="006F7368">
      <w:pPr>
        <w:widowControl/>
        <w:spacing w:line="388" w:lineRule="exact"/>
        <w:ind w:left="774" w:right="882"/>
        <w:jc w:val="center"/>
        <w:rPr>
          <w:rFonts w:ascii="Arial" w:hAnsi="Arial" w:cs="Arial"/>
          <w:color w:val="28386B"/>
          <w:w w:val="57"/>
          <w:sz w:val="36"/>
          <w:szCs w:val="36"/>
        </w:rPr>
      </w:pPr>
    </w:p>
    <w:p w14:paraId="6C71DF44" w14:textId="77777777" w:rsidR="006F7368" w:rsidRDefault="006F7368">
      <w:pPr>
        <w:widowControl/>
        <w:spacing w:line="388" w:lineRule="exact"/>
        <w:ind w:left="774" w:right="882"/>
        <w:jc w:val="center"/>
        <w:rPr>
          <w:rFonts w:ascii="Arial" w:hAnsi="Arial" w:cs="Arial"/>
          <w:color w:val="28386B"/>
          <w:w w:val="57"/>
          <w:sz w:val="36"/>
          <w:szCs w:val="36"/>
        </w:rPr>
      </w:pPr>
    </w:p>
    <w:p w14:paraId="678F18EE" w14:textId="77777777" w:rsidR="006F7368" w:rsidRDefault="006F7368">
      <w:pPr>
        <w:widowControl/>
        <w:spacing w:line="388" w:lineRule="exact"/>
        <w:ind w:left="774" w:right="882"/>
        <w:jc w:val="center"/>
        <w:rPr>
          <w:rFonts w:ascii="Arial" w:hAnsi="Arial" w:cs="Arial"/>
          <w:color w:val="28386B"/>
          <w:w w:val="57"/>
          <w:sz w:val="36"/>
          <w:szCs w:val="36"/>
        </w:rPr>
      </w:pPr>
    </w:p>
    <w:p w14:paraId="77BC4B95" w14:textId="77777777" w:rsidR="006F7368" w:rsidRDefault="006F7368">
      <w:pPr>
        <w:widowControl/>
        <w:ind w:right="-4"/>
        <w:jc w:val="center"/>
        <w:rPr>
          <w:rFonts w:ascii="Arial" w:hAnsi="Arial" w:cs="Arial"/>
        </w:rPr>
      </w:pPr>
    </w:p>
    <w:p w14:paraId="0DAC8D44" w14:textId="77777777" w:rsidR="006F7368" w:rsidRDefault="006F7368">
      <w:pPr>
        <w:widowControl/>
        <w:ind w:right="-4"/>
        <w:jc w:val="center"/>
        <w:rPr>
          <w:rFonts w:ascii="Arial" w:hAnsi="Arial" w:cs="Arial"/>
        </w:rPr>
      </w:pPr>
    </w:p>
    <w:p w14:paraId="2FB4202D" w14:textId="5035D09B" w:rsidR="006F7368" w:rsidRDefault="00915EE1">
      <w:pPr>
        <w:pStyle w:val="GvdeMetni"/>
        <w:widowControl/>
        <w:ind w:right="565"/>
        <w:jc w:val="center"/>
        <w:rPr>
          <w:rStyle w:val="Gl"/>
          <w:rFonts w:cs="Arial"/>
          <w:b/>
          <w:sz w:val="28"/>
          <w:szCs w:val="28"/>
          <w:lang w:val="tr-TR"/>
        </w:rPr>
      </w:pPr>
      <w:r>
        <w:rPr>
          <w:rFonts w:cs="Arial"/>
          <w:sz w:val="28"/>
          <w:szCs w:val="28"/>
        </w:rPr>
        <w:t xml:space="preserve">TÜBİTAK </w:t>
      </w:r>
      <w:r w:rsidR="002E7A1C">
        <w:rPr>
          <w:rStyle w:val="Gl"/>
          <w:rFonts w:cs="Arial"/>
          <w:b/>
          <w:sz w:val="28"/>
          <w:szCs w:val="28"/>
          <w:lang w:val="tr-TR"/>
        </w:rPr>
        <w:t>2209-A ÜNİVERSİTE ÖĞRENCİ</w:t>
      </w:r>
      <w:r>
        <w:rPr>
          <w:rStyle w:val="Gl"/>
          <w:rFonts w:cs="Arial"/>
          <w:b/>
          <w:sz w:val="28"/>
          <w:szCs w:val="28"/>
          <w:lang w:val="tr-TR"/>
        </w:rPr>
        <w:t>LERİ ARAŞTIRMA PROJELERİ DESTEKLEME</w:t>
      </w:r>
      <w:r w:rsidR="002E7A1C">
        <w:rPr>
          <w:rStyle w:val="Gl"/>
          <w:rFonts w:cs="Arial"/>
          <w:b/>
          <w:sz w:val="28"/>
          <w:szCs w:val="28"/>
          <w:lang w:val="tr-TR"/>
        </w:rPr>
        <w:t xml:space="preserve"> PROGRAMI</w:t>
      </w:r>
    </w:p>
    <w:p w14:paraId="2C433A36" w14:textId="77777777" w:rsidR="006F7368" w:rsidRDefault="006F7368">
      <w:pPr>
        <w:pStyle w:val="GvdeMetni"/>
        <w:widowControl/>
        <w:ind w:right="565"/>
        <w:jc w:val="center"/>
        <w:rPr>
          <w:rStyle w:val="Gl"/>
          <w:rFonts w:cs="Arial"/>
          <w:b/>
          <w:sz w:val="28"/>
          <w:szCs w:val="28"/>
        </w:rPr>
      </w:pPr>
    </w:p>
    <w:p w14:paraId="2A1CF79F" w14:textId="12E8393D" w:rsidR="006F7368" w:rsidRDefault="002E7A1C">
      <w:pPr>
        <w:pStyle w:val="WW-NormalWeb1"/>
        <w:widowControl/>
        <w:spacing w:before="0" w:after="0"/>
        <w:jc w:val="center"/>
        <w:rPr>
          <w:rStyle w:val="Gl"/>
          <w:rFonts w:ascii="Arial" w:hAnsi="Arial" w:cs="Arial"/>
          <w:color w:val="FF0000"/>
          <w:sz w:val="16"/>
          <w:szCs w:val="16"/>
        </w:rPr>
      </w:pPr>
      <w:r>
        <w:rPr>
          <w:rFonts w:ascii="Arial" w:hAnsi="Arial" w:cs="Arial"/>
          <w:b/>
          <w:bCs/>
          <w:color w:val="FF0000"/>
          <w:sz w:val="18"/>
          <w:szCs w:val="18"/>
        </w:rPr>
        <w:t xml:space="preserve">Başvuru formunun Arial 9 yazı tipinde, her bir konu başlığı altında verilen açıklamalar göz önünde bulundurularak hazırlanması ve ekler hariç toplam 20 sayfayı geçmemesi beklenir (Alt sınır bulunmamaktadır). Değerlendirme araştırma önerisinin </w:t>
      </w:r>
      <w:r w:rsidR="006B23BC">
        <w:rPr>
          <w:rFonts w:ascii="Arial" w:hAnsi="Arial" w:cs="Arial"/>
          <w:b/>
          <w:bCs/>
          <w:color w:val="FF0000"/>
          <w:sz w:val="18"/>
          <w:szCs w:val="18"/>
        </w:rPr>
        <w:t>bilimsel niteliği</w:t>
      </w:r>
      <w:r>
        <w:rPr>
          <w:rFonts w:ascii="Arial" w:hAnsi="Arial" w:cs="Arial"/>
          <w:b/>
          <w:bCs/>
          <w:color w:val="FF0000"/>
          <w:sz w:val="18"/>
          <w:szCs w:val="18"/>
        </w:rPr>
        <w:t xml:space="preserve">, yöntemi, </w:t>
      </w:r>
      <w:r w:rsidR="006B23BC">
        <w:rPr>
          <w:rFonts w:ascii="Arial" w:hAnsi="Arial" w:cs="Arial"/>
          <w:b/>
          <w:bCs/>
          <w:color w:val="FF0000"/>
          <w:sz w:val="18"/>
          <w:szCs w:val="18"/>
        </w:rPr>
        <w:t xml:space="preserve">proje </w:t>
      </w:r>
      <w:r>
        <w:rPr>
          <w:rFonts w:ascii="Arial" w:hAnsi="Arial" w:cs="Arial"/>
          <w:b/>
          <w:bCs/>
          <w:color w:val="FF0000"/>
          <w:sz w:val="18"/>
          <w:szCs w:val="18"/>
        </w:rPr>
        <w:t>yönetimi ve yaygın etkisi başlıkları üzerinden yapılacaktır.</w:t>
      </w:r>
    </w:p>
    <w:p w14:paraId="3454459C" w14:textId="77777777" w:rsidR="006F7368" w:rsidRDefault="006F7368">
      <w:pPr>
        <w:pStyle w:val="GvdeMetni"/>
        <w:widowControl/>
        <w:ind w:right="565"/>
        <w:jc w:val="center"/>
        <w:rPr>
          <w:rStyle w:val="Gl"/>
          <w:rFonts w:cs="Arial"/>
          <w:b/>
          <w:sz w:val="28"/>
          <w:szCs w:val="28"/>
        </w:rPr>
      </w:pPr>
    </w:p>
    <w:p w14:paraId="1FFF4A04" w14:textId="77777777" w:rsidR="006F7368" w:rsidRDefault="002E7A1C">
      <w:pPr>
        <w:pStyle w:val="GvdeMetni"/>
        <w:widowControl/>
        <w:ind w:right="565"/>
        <w:jc w:val="center"/>
        <w:rPr>
          <w:rFonts w:cs="Arial"/>
          <w:sz w:val="28"/>
          <w:szCs w:val="28"/>
        </w:rPr>
      </w:pPr>
      <w:r>
        <w:rPr>
          <w:rStyle w:val="Gl"/>
          <w:rFonts w:cs="Arial"/>
          <w:b/>
          <w:sz w:val="28"/>
          <w:szCs w:val="28"/>
        </w:rPr>
        <w:t>ARAŞTIRMA ÖNERİSİ</w:t>
      </w:r>
      <w:r>
        <w:rPr>
          <w:rFonts w:cs="Arial"/>
          <w:sz w:val="28"/>
          <w:szCs w:val="28"/>
        </w:rPr>
        <w:t xml:space="preserve"> FORMU</w:t>
      </w:r>
    </w:p>
    <w:p w14:paraId="1FC734DA" w14:textId="77777777" w:rsidR="006F7368" w:rsidRDefault="006F7368">
      <w:pPr>
        <w:pStyle w:val="GvdeMetni"/>
        <w:widowControl/>
        <w:ind w:right="565"/>
        <w:jc w:val="center"/>
        <w:rPr>
          <w:rFonts w:cs="Arial"/>
          <w:sz w:val="28"/>
          <w:szCs w:val="28"/>
        </w:rPr>
      </w:pPr>
    </w:p>
    <w:p w14:paraId="384347EB" w14:textId="77777777" w:rsidR="006F7368" w:rsidRDefault="006F7368">
      <w:pPr>
        <w:pStyle w:val="GvdeMetni"/>
        <w:widowControl/>
        <w:ind w:right="565"/>
        <w:jc w:val="center"/>
        <w:rPr>
          <w:rFonts w:cs="Arial"/>
          <w:sz w:val="28"/>
          <w:szCs w:val="28"/>
        </w:rPr>
      </w:pPr>
    </w:p>
    <w:p w14:paraId="082AC91B" w14:textId="77777777" w:rsidR="006F7368" w:rsidRDefault="006F7368">
      <w:pPr>
        <w:pStyle w:val="GvdeMetni"/>
        <w:widowControl/>
        <w:ind w:right="565"/>
        <w:jc w:val="center"/>
        <w:rPr>
          <w:rFonts w:cs="Arial"/>
          <w:sz w:val="28"/>
          <w:szCs w:val="28"/>
        </w:rPr>
      </w:pPr>
    </w:p>
    <w:p w14:paraId="6C71D644" w14:textId="77777777" w:rsidR="006F7368" w:rsidRDefault="006F7368">
      <w:pPr>
        <w:pStyle w:val="GvdeMetni"/>
        <w:widowControl/>
        <w:ind w:right="565"/>
        <w:jc w:val="center"/>
        <w:rPr>
          <w:rFonts w:cs="Arial"/>
          <w:sz w:val="28"/>
          <w:szCs w:val="28"/>
        </w:rPr>
      </w:pPr>
    </w:p>
    <w:p w14:paraId="6635D727" w14:textId="77777777" w:rsidR="006F7368" w:rsidRDefault="006F7368">
      <w:pPr>
        <w:pStyle w:val="GvdeMetni"/>
        <w:widowControl/>
        <w:ind w:right="565"/>
        <w:jc w:val="center"/>
        <w:rPr>
          <w:rFonts w:cs="Arial"/>
          <w:sz w:val="28"/>
          <w:szCs w:val="28"/>
        </w:rPr>
      </w:pPr>
    </w:p>
    <w:p w14:paraId="3A8BD51A" w14:textId="77777777" w:rsidR="006F7368" w:rsidRDefault="006F7368">
      <w:pPr>
        <w:pStyle w:val="GvdeMetni"/>
        <w:widowControl/>
        <w:ind w:right="565"/>
        <w:jc w:val="center"/>
        <w:rPr>
          <w:rFonts w:cs="Arial"/>
          <w:sz w:val="28"/>
          <w:szCs w:val="28"/>
        </w:rPr>
      </w:pPr>
    </w:p>
    <w:p w14:paraId="217B096F" w14:textId="77777777" w:rsidR="006F7368" w:rsidRDefault="006F7368">
      <w:pPr>
        <w:pStyle w:val="GvdeMetni"/>
        <w:widowControl/>
        <w:ind w:right="565"/>
        <w:jc w:val="center"/>
        <w:rPr>
          <w:rFonts w:cs="Arial"/>
          <w:sz w:val="28"/>
          <w:szCs w:val="28"/>
        </w:rPr>
      </w:pPr>
    </w:p>
    <w:p w14:paraId="0825A9A4" w14:textId="77777777" w:rsidR="006F7368" w:rsidRDefault="006F7368">
      <w:pPr>
        <w:pStyle w:val="GvdeMetni"/>
        <w:widowControl/>
        <w:ind w:right="565"/>
        <w:jc w:val="center"/>
        <w:rPr>
          <w:rFonts w:cs="Arial"/>
          <w:sz w:val="28"/>
          <w:szCs w:val="28"/>
        </w:rPr>
      </w:pPr>
    </w:p>
    <w:p w14:paraId="27E9A28A" w14:textId="77777777" w:rsidR="006F7368" w:rsidRDefault="006F7368">
      <w:pPr>
        <w:pStyle w:val="GvdeMetni"/>
        <w:widowControl/>
        <w:ind w:right="565"/>
        <w:jc w:val="center"/>
        <w:rPr>
          <w:rFonts w:cs="Arial"/>
          <w:sz w:val="28"/>
          <w:szCs w:val="28"/>
        </w:rPr>
      </w:pPr>
    </w:p>
    <w:p w14:paraId="490D572F" w14:textId="77777777" w:rsidR="006F7368" w:rsidRDefault="006F7368">
      <w:pPr>
        <w:pStyle w:val="GvdeMetni"/>
        <w:widowControl/>
        <w:ind w:right="565"/>
        <w:jc w:val="center"/>
        <w:rPr>
          <w:rFonts w:cs="Arial"/>
          <w:sz w:val="28"/>
          <w:szCs w:val="28"/>
        </w:rPr>
      </w:pPr>
      <w:bookmarkStart w:id="0" w:name="_GoBack"/>
      <w:bookmarkEnd w:id="0"/>
    </w:p>
    <w:p w14:paraId="1FD671C1" w14:textId="77777777" w:rsidR="006F7368" w:rsidRDefault="006F7368">
      <w:pPr>
        <w:widowControl/>
        <w:ind w:right="-4"/>
        <w:rPr>
          <w:rFonts w:ascii="Arial" w:hAnsi="Arial" w:cs="Arial"/>
        </w:rPr>
      </w:pPr>
    </w:p>
    <w:p w14:paraId="00D6BE20" w14:textId="77777777" w:rsidR="006F7368" w:rsidRDefault="006F7368">
      <w:pPr>
        <w:widowControl/>
        <w:ind w:right="-4"/>
        <w:rPr>
          <w:rFonts w:ascii="Arial" w:hAnsi="Arial" w:cs="Arial"/>
        </w:rPr>
      </w:pPr>
    </w:p>
    <w:p w14:paraId="49489044" w14:textId="77777777" w:rsidR="006F7368" w:rsidRDefault="006F7368">
      <w:pPr>
        <w:widowControl/>
        <w:ind w:right="-4"/>
        <w:rPr>
          <w:rFonts w:ascii="Arial" w:hAnsi="Arial" w:cs="Arial"/>
        </w:rPr>
      </w:pPr>
    </w:p>
    <w:p w14:paraId="7FD354D8" w14:textId="77777777" w:rsidR="006F7368" w:rsidRDefault="006F7368">
      <w:pPr>
        <w:widowControl/>
        <w:ind w:right="-4"/>
        <w:rPr>
          <w:rFonts w:ascii="Arial" w:hAnsi="Arial" w:cs="Arial"/>
          <w:sz w:val="28"/>
          <w:szCs w:val="28"/>
        </w:rPr>
      </w:pPr>
    </w:p>
    <w:p w14:paraId="696AED75" w14:textId="77777777" w:rsidR="006F7368" w:rsidRDefault="006F7368">
      <w:pPr>
        <w:widowControl/>
        <w:ind w:right="-4"/>
        <w:rPr>
          <w:rFonts w:ascii="Arial" w:hAnsi="Arial" w:cs="Arial"/>
          <w:sz w:val="28"/>
          <w:szCs w:val="28"/>
        </w:rPr>
      </w:pPr>
    </w:p>
    <w:p w14:paraId="46249F9C" w14:textId="77777777" w:rsidR="006F7368" w:rsidRDefault="002E7A1C">
      <w:pPr>
        <w:widowControl/>
        <w:ind w:right="-4"/>
        <w:jc w:val="center"/>
      </w:pPr>
      <w:r>
        <w:rPr>
          <w:rFonts w:ascii="Arial" w:hAnsi="Arial" w:cs="Arial" w:eastAsia="Arial"/>
          <w:b w:val="0"/>
          <w:i w:val="0"/>
          <w:sz w:val="18"/>
        </w:rPr>
        <w:t>2026 Yılı</w:t>
      </w:r>
    </w:p>
    <w:p w14:paraId="060BF20D" w14:textId="77777777" w:rsidR="006F7368" w:rsidRDefault="006F7368">
      <w:pPr>
        <w:widowControl/>
        <w:ind w:right="-4"/>
        <w:rPr>
          <w:rFonts w:ascii="Arial" w:hAnsi="Arial" w:cs="Arial"/>
          <w:sz w:val="28"/>
          <w:szCs w:val="28"/>
        </w:rPr>
      </w:pPr>
    </w:p>
    <w:p w14:paraId="1351900D" w14:textId="77777777" w:rsidR="006F7368" w:rsidRDefault="002E7A1C">
      <w:pPr>
        <w:widowControl/>
        <w:jc w:val="center"/>
        <w:rPr>
          <w:rFonts w:ascii="Arial" w:hAnsi="Arial" w:cs="Arial"/>
          <w:sz w:val="28"/>
          <w:szCs w:val="28"/>
        </w:rPr>
        <w:sectPr w:rsidR="006F7368">
          <w:pgSz w:w="11906" w:h="16838"/>
          <w:pgMar w:top="1440" w:right="1344" w:bottom="720" w:left="1239" w:header="0" w:footer="0" w:gutter="0"/>
          <w:cols w:space="708"/>
          <w:formProt w:val="0"/>
          <w:docGrid w:linePitch="272" w:charSpace="24576"/>
        </w:sectPr>
      </w:pPr>
      <w:r>
        <w:rPr>
          <w:rFonts w:ascii="Arial" w:hAnsi="Arial" w:cs="Arial" w:eastAsia="Arial"/>
          <w:b w:val="0"/>
          <w:i w:val="0"/>
          <w:sz w:val="18"/>
        </w:rPr>
      </w:r>
    </w:p>
    <w:p w14:paraId="3B100675" w14:textId="77777777" w:rsidR="006F7368" w:rsidRDefault="002E7A1C">
      <w:pPr>
        <w:keepNext/>
        <w:tabs>
          <w:tab w:val="left" w:pos="284"/>
        </w:tabs>
        <w:spacing w:before="220" w:after="80"/>
        <w:jc w:val="both"/>
        <w:rPr>
          <w:rFonts w:ascii="Arial" w:hAnsi="Arial" w:cs="Arial"/>
          <w:b/>
          <w:sz w:val="18"/>
          <w:szCs w:val="18"/>
        </w:rPr>
        <w:widowControl/>
        <w:pBdr>
          <w:bottom w:val="single" w:sz="8" w:space="3" w:color="1F3864"/>
        </w:pBdr>
      </w:pPr>
      <w:r>
        <w:rPr>
          <w:rFonts w:ascii="Arial" w:hAnsi="Arial" w:cs="Arial" w:eastAsia="Arial"/>
          <w:b/>
          <w:i w:val="0"/>
          <w:color w:val="1F3864"/>
          <w:sz w:val="22"/>
          <w:szCs w:val="18"/>
        </w:rPr>
        <w:lastRenderedPageBreak/>
        <w:t>A. GENEL BİLGİLER</w:t>
      </w:r>
    </w:p>
    <w:p w14:paraId="70D49822" w14:textId="77777777" w:rsidR="006F7368" w:rsidRDefault="006F7368">
      <w:pPr>
        <w:keepNext/>
        <w:widowControl/>
        <w:tabs>
          <w:tab w:val="left" w:pos="284"/>
        </w:tabs>
        <w:spacing w:before="5"/>
        <w:jc w:val="both"/>
        <w:rPr>
          <w:rFonts w:ascii="Arial" w:hAnsi="Arial" w:cs="Arial"/>
          <w:b/>
          <w:sz w:val="18"/>
          <w:szCs w:val="18"/>
        </w:rPr>
      </w:pPr>
    </w:p>
    <w:tbl>
      <w:tblPr>
        <w:tblW w:w="9072" w:type="dxa"/>
        <w:tblInd w:w="109" w:type="dxa"/>
        <w:tblLook w:val="0000" w:firstRow="0" w:lastRow="0" w:firstColumn="0" w:lastColumn="0" w:noHBand="0" w:noVBand="0"/>
      </w:tblPr>
      <w:tblGrid>
        <w:gridCol w:w="9072"/>
      </w:tblGrid>
      <w:tr w:rsidR="006F7368" w14:paraId="118DDEC0" w14:textId="77777777">
        <w:trPr>
          <w:trHeight w:val="20"/>
          <w:cantSplit/>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26DD4431" w14:textId="77777777" w:rsidR="006F7368" w:rsidRDefault="002E7A1C">
            <w:pPr>
              <w:pStyle w:val="WW-NormalWeb1"/>
              <w:widowControl/>
              <w:snapToGrid w:val="0"/>
              <w:spacing w:before="60" w:after="60"/>
              <w:jc w:val="both"/>
              <w:rPr>
                <w:rFonts w:ascii="Arial" w:hAnsi="Arial" w:cs="Arial"/>
                <w:b/>
                <w:color w:val="000000"/>
                <w:sz w:val="18"/>
                <w:szCs w:val="18"/>
              </w:rPr>
            </w:pPr>
            <w:r>
              <w:rPr>
                <w:rFonts w:ascii="Arial" w:hAnsi="Arial" w:cs="Arial"/>
                <w:b/>
                <w:color w:val="000000"/>
                <w:sz w:val="18"/>
                <w:szCs w:val="18"/>
              </w:rPr>
              <w:t xml:space="preserve">Başvuru Sahibinin Adı Soyadı: </w:t>
            </w:r>
            <w:r>
              <w:rPr>
                <w:rFonts w:ascii="Arial" w:hAnsi="Arial" w:cs="Arial" w:eastAsia="Arial"/>
                <w:b w:val="0"/>
                <w:i w:val="0"/>
                <w:sz w:val="18"/>
              </w:rPr>
              <w:t xml:space="preserve">  Cem ÖZAL</w:t>
            </w:r>
          </w:p>
        </w:tc>
      </w:tr>
      <w:tr w:rsidR="006F7368" w14:paraId="48D5E0B3" w14:textId="77777777">
        <w:trPr>
          <w:trHeight w:val="20"/>
          <w:cantSplit/>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0AA72227" w14:textId="77777777" w:rsidR="006F7368" w:rsidRDefault="002E7A1C">
            <w:pPr>
              <w:pStyle w:val="WW-NormalWeb1"/>
              <w:widowControl/>
              <w:snapToGrid w:val="0"/>
              <w:spacing w:before="60" w:after="60"/>
              <w:jc w:val="both"/>
              <w:rPr>
                <w:rFonts w:ascii="Arial" w:hAnsi="Arial" w:cs="Arial"/>
                <w:b/>
                <w:color w:val="000000"/>
                <w:sz w:val="18"/>
                <w:szCs w:val="18"/>
              </w:rPr>
            </w:pPr>
            <w:r>
              <w:rPr>
                <w:rFonts w:ascii="Arial" w:hAnsi="Arial" w:cs="Arial"/>
                <w:b/>
                <w:color w:val="000000"/>
                <w:sz w:val="18"/>
                <w:szCs w:val="18"/>
              </w:rPr>
              <w:t>Araştırma Önerisinin Başlığı:</w:t>
            </w:r>
            <w:r>
              <w:rPr>
                <w:rFonts w:ascii="Arial" w:hAnsi="Arial" w:cs="Arial" w:eastAsia="Arial"/>
                <w:b w:val="0"/>
                <w:i w:val="0"/>
                <w:sz w:val="18"/>
              </w:rPr>
              <w:t xml:space="preserve">  Türkçe İdari Yazışmada Karar Katmanı Mimarisinin Belge Anlama Başarımına ve Kaynak Dayanaklılığına Etkisi: Kontrollü Faktöriyel Deney</w:t>
            </w:r>
          </w:p>
        </w:tc>
      </w:tr>
      <w:tr w:rsidR="006F7368" w14:paraId="11445FA5" w14:textId="77777777">
        <w:trPr>
          <w:trHeight w:val="20"/>
          <w:cantSplit/>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501A0526" w14:textId="77777777" w:rsidR="006F7368" w:rsidRDefault="002E7A1C">
            <w:pPr>
              <w:pStyle w:val="WW-NormalWeb1"/>
              <w:widowControl/>
              <w:snapToGrid w:val="0"/>
              <w:spacing w:before="60" w:after="60"/>
              <w:jc w:val="both"/>
              <w:rPr>
                <w:rFonts w:ascii="Arial" w:hAnsi="Arial" w:cs="Arial"/>
                <w:b/>
                <w:color w:val="000000"/>
                <w:sz w:val="18"/>
                <w:szCs w:val="18"/>
                <w:highlight w:val="yellow"/>
              </w:rPr>
            </w:pPr>
            <w:r>
              <w:rPr>
                <w:rFonts w:ascii="Arial" w:hAnsi="Arial" w:cs="Arial"/>
                <w:b/>
                <w:color w:val="000000"/>
                <w:sz w:val="18"/>
                <w:szCs w:val="18"/>
              </w:rPr>
              <w:t>Danışmanın Adı Soyadı:</w:t>
            </w:r>
            <w:r>
              <w:rPr>
                <w:rFonts w:ascii="Arial" w:hAnsi="Arial" w:cs="Arial" w:eastAsia="Arial"/>
                <w:b w:val="0"/>
                <w:i w:val="0"/>
                <w:sz w:val="18"/>
              </w:rPr>
              <w:t xml:space="preserve">  Dr. Öğr. Üyesi Bilgin AVENOĞLU</w:t>
            </w:r>
          </w:p>
        </w:tc>
      </w:tr>
      <w:tr w:rsidR="006F7368" w14:paraId="7002A70C" w14:textId="77777777">
        <w:trPr>
          <w:trHeight w:val="361"/>
          <w:cantSplit/>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0715F272" w14:textId="77777777" w:rsidR="006F7368" w:rsidRDefault="002E7A1C">
            <w:pPr>
              <w:pStyle w:val="WW-NormalWeb1"/>
              <w:widowControl/>
              <w:snapToGrid w:val="0"/>
              <w:spacing w:before="60" w:after="60"/>
              <w:jc w:val="both"/>
              <w:rPr>
                <w:rFonts w:ascii="Arial" w:hAnsi="Arial" w:cs="Arial"/>
                <w:b/>
                <w:color w:val="000000"/>
                <w:sz w:val="18"/>
                <w:szCs w:val="18"/>
              </w:rPr>
            </w:pPr>
            <w:r>
              <w:rPr>
                <w:rFonts w:ascii="Arial" w:hAnsi="Arial" w:cs="Arial"/>
                <w:b/>
                <w:color w:val="000000"/>
                <w:sz w:val="18"/>
                <w:szCs w:val="18"/>
              </w:rPr>
              <w:t>Araştırmanın Yürütüleceği Kurum/Kuruluş:</w:t>
            </w:r>
            <w:r>
              <w:rPr>
                <w:rFonts w:ascii="Arial" w:hAnsi="Arial" w:cs="Arial" w:eastAsia="Arial"/>
                <w:b w:val="0"/>
                <w:i w:val="0"/>
                <w:sz w:val="18"/>
              </w:rPr>
              <w:t xml:space="preserve">  Çankaya Üniversitesi, Mühendislik Fakültesi</w:t>
            </w:r>
          </w:p>
        </w:tc>
      </w:tr>
    </w:tbl>
    <w:p w14:paraId="30CF7AEF" w14:textId="77777777" w:rsidR="006F7368" w:rsidRDefault="006F7368">
      <w:pPr>
        <w:keepNext/>
        <w:widowControl/>
        <w:spacing w:before="5"/>
        <w:ind w:right="-144"/>
        <w:jc w:val="both"/>
        <w:rPr>
          <w:rFonts w:ascii="Arial" w:hAnsi="Arial" w:cs="Arial"/>
          <w:sz w:val="22"/>
          <w:szCs w:val="22"/>
        </w:rPr>
      </w:pPr>
    </w:p>
    <w:p w14:paraId="22ABFB2B" w14:textId="77777777" w:rsidR="006F7368" w:rsidRDefault="006F7368">
      <w:pPr>
        <w:keepNext/>
        <w:widowControl/>
        <w:spacing w:before="5"/>
        <w:ind w:right="-144"/>
        <w:jc w:val="both"/>
        <w:rPr>
          <w:rFonts w:ascii="Arial" w:hAnsi="Arial" w:cs="Arial"/>
          <w:sz w:val="18"/>
          <w:szCs w:val="18"/>
        </w:rPr>
      </w:pPr>
    </w:p>
    <w:p w14:paraId="3ACF5A04" w14:textId="77777777" w:rsidR="006F7368" w:rsidRDefault="002E7A1C">
      <w:pPr>
        <w:keepNext/>
        <w:spacing w:before="220" w:after="80"/>
        <w:ind w:right="-144"/>
        <w:jc w:val="both"/>
        <w:rPr>
          <w:rFonts w:ascii="Arial" w:hAnsi="Arial" w:cs="Arial"/>
          <w:b/>
          <w:sz w:val="18"/>
          <w:szCs w:val="18"/>
        </w:rPr>
        <w:widowControl/>
        <w:pBdr>
          <w:bottom w:val="single" w:sz="8" w:space="3" w:color="1F3864"/>
        </w:pBdr>
      </w:pPr>
      <w:r>
        <w:rPr>
          <w:rFonts w:ascii="Arial" w:hAnsi="Arial" w:cs="Arial" w:eastAsia="Arial"/>
          <w:b/>
          <w:i w:val="0"/>
          <w:color w:val="1F3864"/>
          <w:sz w:val="22"/>
          <w:szCs w:val="18"/>
        </w:rPr>
        <w:t>ÖZET</w:t>
      </w:r>
    </w:p>
    <w:p w14:paraId="3FBD2A8A" w14:textId="77777777" w:rsidR="006F7368" w:rsidRDefault="006F7368">
      <w:pPr>
        <w:keepNext/>
        <w:widowControl/>
        <w:spacing w:before="5"/>
        <w:ind w:left="142" w:right="-144" w:hanging="284"/>
        <w:jc w:val="both"/>
        <w:rPr>
          <w:rFonts w:ascii="Arial" w:hAnsi="Arial" w:cs="Arial"/>
          <w:b/>
          <w:sz w:val="18"/>
          <w:szCs w:val="18"/>
        </w:rPr>
      </w:pPr>
    </w:p>
    <w:p w14:paraId="7715281B" w14:textId="77777777" w:rsidR="006F7368" w:rsidRDefault="006F7368">
      <w:pPr>
        <w:keepNext/>
        <w:widowControl/>
        <w:jc w:val="both"/>
        <w:rPr>
          <w:rFonts w:ascii="Arial" w:hAnsi="Arial" w:cs="Arial"/>
          <w:bCs/>
          <w:color w:val="000000"/>
          <w:sz w:val="18"/>
          <w:szCs w:val="18"/>
          <w:lang w:eastAsia="ar-SA"/>
        </w:rPr>
      </w:pPr>
    </w:p>
    <w:tbl>
      <w:tblPr>
        <w:tblW w:w="9072" w:type="dxa"/>
        <w:tblInd w:w="109" w:type="dxa"/>
        <w:tblLook w:val="0000" w:firstRow="0" w:lastRow="0" w:firstColumn="0" w:lastColumn="0" w:noHBand="0" w:noVBand="0"/>
      </w:tblPr>
      <w:tblGrid>
        <w:gridCol w:w="9072"/>
      </w:tblGrid>
      <w:tr w:rsidR="006F7368" w14:paraId="3BC9122B" w14:textId="77777777">
        <w:trPr>
          <w:trHeight w:val="1418"/>
        </w:trPr>
        <w:tc>
          <w:tcPr>
            <w:tcW w:w="9072" w:type="dxa"/>
            <w:tcBorders>
              <w:top w:val="single" w:sz="8" w:space="0" w:color="000000"/>
              <w:left w:val="single" w:sz="8" w:space="0" w:color="000000"/>
              <w:bottom w:val="single" w:sz="4" w:space="0" w:color="000000"/>
              <w:right w:val="single" w:sz="8" w:space="0" w:color="000000"/>
            </w:tcBorders>
            <w:shd w:val="clear" w:color="auto" w:fill="auto"/>
          </w:tcPr>
          <w:p>
            <w:pPr>
              <w:widowControl/>
              <w:spacing w:after="40" w:before="0"/>
            </w:pPr>
            <w:r>
              <w:rPr>
                <w:rFonts w:ascii="Arial" w:hAnsi="Arial" w:cs="Arial" w:eastAsia="Arial"/>
                <w:b/>
                <w:i w:val="0"/>
                <w:sz w:val="18"/>
              </w:rPr>
              <w:t>Özet</w:t>
            </w:r>
          </w:p>
          <w:p>
            <w:pPr>
              <w:widowControl/>
              <w:spacing w:after="40" w:before="0"/>
              <w:jc w:val="both"/>
            </w:pPr>
            <w:r>
              <w:rPr>
                <w:rFonts w:ascii="Arial" w:hAnsi="Arial" w:cs="Arial" w:eastAsia="Arial"/>
                <w:b w:val="0"/>
                <w:i w:val="0"/>
                <w:sz w:val="18"/>
              </w:rPr>
              <w:t>Kamu kurumlarına gelen evrakın türünü belirlemek, zorunlu bilgi unsurlarını çıkarmak, eksiğini görmek, dayanağını bulmak, doğru birime yöneltmek ve cevap taslağını yazmak bugün el emeğiyle yürütülür. Bu araştırma, dil modellerinin bu işi devralabilmesinin asıl koşulunu sınar: üretilen metnin kaynağa dayanaklılığının ölçülebilir biçimde güvence altına alınması. Hukuki sonuç doğuran bir alanda sorun hız değildir: bir cümlenin hangi belgeye dayandığı gösterilemiyorsa hızlı üretim riski büyütür.</w:t>
            </w:r>
          </w:p>
          <w:p>
            <w:pPr>
              <w:widowControl/>
              <w:spacing w:after="40" w:before="0"/>
              <w:jc w:val="both"/>
            </w:pPr>
            <w:r>
              <w:rPr>
                <w:rFonts w:ascii="Arial" w:hAnsi="Arial" w:cs="Arial" w:eastAsia="Arial"/>
                <w:b w:val="0"/>
                <w:i w:val="0"/>
                <w:sz w:val="18"/>
              </w:rPr>
              <w:t>Alanyazında üç eksik birlikte durmaktadır. Türkçe idari yazışma için kamuya açık ve yeniden üretilebilir bir değerlendirme kümesi yoktur. Dayanaklılık, üretim sonrasında etiketlenen bir ölçüt olarak ele alınmaktadır. Bu ölçütün kendi geçerliliği ise bağımsız bir dış yargıya karşı sınanmamıştır.</w:t>
            </w:r>
          </w:p>
          <w:p>
            <w:pPr>
              <w:widowControl/>
              <w:spacing w:after="40" w:before="0"/>
              <w:jc w:val="both"/>
            </w:pPr>
            <w:r>
              <w:rPr>
                <w:rFonts w:ascii="Arial" w:hAnsi="Arial" w:cs="Arial" w:eastAsia="Arial"/>
                <w:b w:val="0"/>
                <w:i w:val="0"/>
                <w:sz w:val="18"/>
              </w:rPr>
              <w:t>Öneri, tek bir artefakta bağlı olmayan bir önermeyi sınar. Kısıt, üretim sonrasında süzgeç olarak değil üretim anında seçim uzayının daraltılması olarak uygulandığında, kazancı girdinin belirsizliği arttıkça büyür. Önerme yanlışlanabilirdir. Doğru cevap kısıtlanan kümenin dışındaysa aynı mekanizma sistematik bir hata kaynağına döner. İdari yazışma seçilmiştir; çünkü cevap uzayı kapalı tanımlanabilir ve hatanın hukuki bedeli ölçülebilir.</w:t>
            </w:r>
          </w:p>
          <w:p>
            <w:pPr>
              <w:widowControl/>
              <w:spacing w:after="40" w:before="0"/>
              <w:jc w:val="both"/>
            </w:pPr>
            <w:r>
              <w:rPr>
                <w:rFonts w:ascii="Arial" w:hAnsi="Arial" w:cs="Arial" w:eastAsia="Arial"/>
                <w:b w:val="0"/>
                <w:i w:val="0"/>
                <w:sz w:val="18"/>
              </w:rPr>
              <w:t>Program ön-kayıtlı üç deneyden oluşur. Birinci deneyde karar kaynağının mimarisi dört seviyede, girdi bozulmasının üç seviyesiyle çaprazlanır; aynı 240 belge on iki koşulda işlenir. Dört seviye, salt kural katmanından kanıt-alıntı kısıtlı hibride uzanır. Bozulma düzeyi, basılıp taranan belgelerde ölçülen karakter hata oranına çapalanır. İkinci deney, otomatik dayanak doğrulayıcısını üç bağımsız değerlendiricinin kör yargısıyla karşılaştırır; değerlendiriciler sistemin kararını görmez. Böylece aracın kendi çıktısını kendi ölçütüyle doğrulamasından doğan dairesellik kırılır. Üçüncü deney doğrulama kapısının sıkılık ödünleşimini, çok-ajanlı müzakerenin yakınsamasını ve mimarinin gecikme bedelini ölçer.</w:t>
            </w:r>
          </w:p>
          <w:p>
            <w:pPr>
              <w:widowControl/>
              <w:spacing w:after="40" w:before="0"/>
              <w:jc w:val="both"/>
            </w:pPr>
            <w:r>
              <w:rPr>
                <w:rFonts w:ascii="Arial" w:hAnsi="Arial" w:cs="Arial" w:eastAsia="Arial"/>
                <w:b w:val="0"/>
                <w:i w:val="0"/>
                <w:sz w:val="18"/>
              </w:rPr>
              <w:t>Sekiz hipotez on bir testlik onaylayıcı ailede sınanır: dört kapılı mekanizma kolu ve ayrı bir ölçüm geçerliliği kolu. Hipotezlerin bir bölümü, önerilen mimarinin aleyhine sonuç verebilecek biçimde kurulmuştur. Örneklem büyüklükleri güç simülasyonuyla değerlendirilmiştir: ana küme 240, replikasyon kümesi 120 belge, kör değerlendirme 300 iddiadır. Büyüklük, etkileşim hipotezi dışında yeterlidir; orada sınır saptanabilir en küçük etkileşim olarak ilan edilir. Birincil hipotezler, dışlama ölçütleri ve analiz planı veri toplanmadan önce sürüm damgalı bir ön-kayıtla kilitlenir. Replikasyon kümesi yalnız son doğrulayıcı sınamada açılır. Çalışma üç öğrenci ve bir akademik danışmanla, on iki aya yayılmış beş iş paketinde yürütülür.</w:t>
            </w:r>
          </w:p>
          <w:p>
            <w:pPr>
              <w:widowControl/>
              <w:spacing w:after="40" w:before="0"/>
              <w:jc w:val="both"/>
            </w:pPr>
            <w:r>
              <w:rPr>
                <w:rFonts w:ascii="Arial" w:hAnsi="Arial" w:cs="Arial" w:eastAsia="Arial"/>
                <w:b w:val="0"/>
                <w:i w:val="0"/>
                <w:sz w:val="18"/>
              </w:rPr>
              <w:t>D1 ve D3 deneyleri makine tarafında yürütülür ve insan katılımcı içermez; ölçüm birimi belge ve belgeden çıkarılan iddiadır. D2'de üç bağımsız değerlendiriciden belge-iddia çiftlerine ilişkin uzman yargısı alınacaktır; bu aşamanın etik statüsünü yetkili etik kurul belirleyecek, kurul kararı alınmadan değerlendirme verisi toplanmayacaktır. D1-D3 ana deneyleri ile replikasyon sınaması tümüyle sentetik belgeler üzerinde yürütülür; H1 ve H5'in genellenebilirliği İP5'te kamuya açık ve kişisel veri içermeyen 60 gerçek belgede ön-kayıtlı dış geçerlilik analiziyle sınanır. Hiçbir belge katmanında kişisel veri işlenmez. Beklenen çıktılar açık erişimli bir değerlendirme kümesi, kör etiketli bir dayanaklılık altın kümesi ve dış servis erişimi olmadan koşan bir yeniden üretim paketidir. Katkı yalnız bir sistemin başarımı değil, dayanaklılık ölçümünün geçerliliğine ilişkin yanlışlanabilir bir kayıttır.</w:t>
            </w:r>
          </w:p>
        </w:tc>
      </w:tr>
      <w:tr w:rsidR="006F7368" w14:paraId="1CA3019D" w14:textId="77777777">
        <w:tc>
          <w:tcPr>
            <w:tcW w:w="9072" w:type="dxa"/>
            <w:tcBorders>
              <w:top w:val="single" w:sz="8" w:space="0" w:color="000000"/>
              <w:left w:val="single" w:sz="8" w:space="0" w:color="000000"/>
              <w:bottom w:val="single" w:sz="4" w:space="0" w:color="000000"/>
              <w:right w:val="single" w:sz="8" w:space="0" w:color="000000"/>
            </w:tcBorders>
            <w:shd w:val="clear" w:color="auto" w:fill="auto"/>
          </w:tcPr>
          <w:p>
            <w:pPr>
              <w:widowControl/>
            </w:pPr>
            <w:r>
              <w:rPr>
                <w:rFonts w:ascii="Arial" w:hAnsi="Arial" w:cs="Arial" w:eastAsia="Arial"/>
                <w:b/>
                <w:i w:val="0"/>
                <w:sz w:val="18"/>
              </w:rPr>
              <w:t xml:space="preserve">Anahtar Kelimeler: </w:t>
            </w:r>
            <w:r>
              <w:rPr>
                <w:rFonts w:ascii="Arial" w:hAnsi="Arial" w:cs="Arial" w:eastAsia="Arial"/>
                <w:b w:val="0"/>
                <w:i w:val="0"/>
                <w:sz w:val="18"/>
              </w:rPr>
              <w:t>Türkçe doğal dil işleme, resmî yazışma belge anlama, kaynak dayanaklılığı doğrulama, kontrollü ablasyon deneyi, denetlenebilir karar destek</w:t>
            </w:r>
          </w:p>
        </w:tc>
      </w:tr>
    </w:tbl>
    <w:p w14:paraId="3481AFA4" w14:textId="77777777" w:rsidR="006F7368" w:rsidRDefault="006F7368">
      <w:pPr>
        <w:keepNext/>
        <w:widowControl/>
        <w:jc w:val="both"/>
        <w:rPr>
          <w:rFonts w:ascii="Arial" w:hAnsi="Arial" w:cs="Arial"/>
          <w:bCs/>
          <w:color w:val="000000"/>
          <w:sz w:val="18"/>
          <w:szCs w:val="18"/>
          <w:lang w:eastAsia="ar-SA"/>
        </w:rPr>
      </w:pPr>
    </w:p>
    <w:p w14:paraId="6E3BE49E" w14:textId="77777777" w:rsidR="006F7368" w:rsidRDefault="006F7368">
      <w:pPr>
        <w:keepNext/>
        <w:widowControl/>
        <w:suppressAutoHyphens/>
        <w:spacing w:before="5" w:line="300" w:lineRule="atLeast"/>
        <w:jc w:val="both"/>
        <w:rPr>
          <w:rFonts w:ascii="Arial" w:hAnsi="Arial" w:cs="Arial"/>
          <w:b/>
          <w:sz w:val="18"/>
          <w:szCs w:val="18"/>
        </w:rPr>
      </w:pPr>
    </w:p>
    <w:p w14:paraId="0ABE6A87" w14:textId="7A26FE65" w:rsidR="006F7368" w:rsidRDefault="00095E72">
      <w:pPr>
        <w:pStyle w:val="WW-NormalWeb1"/>
        <w:keepNext/>
        <w:widowControl/>
        <w:numPr>
          <w:ilvl w:val="0"/>
          <w:numId w:val="3"/>
        </w:numPr>
        <w:spacing w:before="220" w:after="80"/>
        <w:ind w:left="142" w:hanging="284"/>
        <w:jc w:val="both"/>
        <w:rPr>
          <w:rFonts w:ascii="Arial" w:hAnsi="Arial" w:cs="Arial"/>
          <w:color w:val="000000"/>
          <w:sz w:val="18"/>
          <w:szCs w:val="18"/>
        </w:rPr>
        <w:pBdr>
          <w:bottom w:val="single" w:sz="8" w:space="3" w:color="1F3864"/>
        </w:pBdr>
      </w:pPr>
      <w:r>
        <w:rPr>
          <w:rFonts w:ascii="Arial" w:hAnsi="Arial" w:cs="Arial" w:eastAsia="Arial"/>
          <w:b/>
          <w:bCs/>
          <w:i w:val="0"/>
          <w:color w:val="1F3864"/>
          <w:sz w:val="22"/>
          <w:szCs w:val="18"/>
        </w:rPr>
        <w:t>ARAŞTIRMA ÖNERİSİNİN BİLİMSEL NİTELİĞİ</w:t>
      </w:r>
    </w:p>
    <w:p w14:paraId="46096A86" w14:textId="77777777" w:rsidR="006F7368" w:rsidRDefault="006F7368">
      <w:pPr>
        <w:pStyle w:val="WW-NormalWeb1"/>
        <w:keepNext/>
        <w:widowControl/>
        <w:spacing w:before="0" w:after="0"/>
        <w:jc w:val="both"/>
        <w:rPr>
          <w:rFonts w:ascii="Arial" w:hAnsi="Arial" w:cs="Arial"/>
          <w:bCs/>
          <w:sz w:val="18"/>
          <w:szCs w:val="18"/>
        </w:rPr>
      </w:pPr>
    </w:p>
    <w:p w14:paraId="72487A55" w14:textId="54F5F22E" w:rsidR="006F7368" w:rsidRDefault="002E7A1C">
      <w:pPr>
        <w:pStyle w:val="WW-NormalWeb1"/>
        <w:keepNext/>
        <w:widowControl/>
        <w:spacing w:before="160" w:after="60"/>
        <w:jc w:val="both"/>
        <w:rPr>
          <w:rFonts w:ascii="Arial" w:hAnsi="Arial" w:cs="Arial"/>
          <w:b/>
          <w:bCs/>
          <w:sz w:val="18"/>
          <w:szCs w:val="18"/>
        </w:rPr>
      </w:pPr>
      <w:r>
        <w:rPr>
          <w:rFonts w:ascii="Arial" w:hAnsi="Arial" w:cs="Arial" w:eastAsia="Arial"/>
          <w:b/>
          <w:bCs/>
          <w:i w:val="0"/>
          <w:color w:val="1F3864"/>
          <w:sz w:val="19"/>
          <w:szCs w:val="18"/>
        </w:rPr>
        <w:t xml:space="preserve"> 1.1. Konunun Önemi</w:t>
      </w:r>
      <w:r w:rsidR="00013443">
        <w:rPr>
          <w:rFonts w:ascii="Arial" w:hAnsi="Arial" w:cs="Arial" w:eastAsia="Arial"/>
          <w:b/>
          <w:bCs/>
          <w:i w:val="0"/>
          <w:color w:val="1F3864"/>
          <w:sz w:val="19"/>
          <w:szCs w:val="18"/>
        </w:rPr>
        <w:t xml:space="preserve"> ve</w:t>
      </w:r>
      <w:r>
        <w:rPr>
          <w:rFonts w:ascii="Arial" w:hAnsi="Arial" w:cs="Arial" w:eastAsia="Arial"/>
          <w:b/>
          <w:bCs/>
          <w:i w:val="0"/>
          <w:color w:val="1F3864"/>
          <w:sz w:val="19"/>
          <w:szCs w:val="18"/>
        </w:rPr>
        <w:t xml:space="preserve"> Araştırma Önerisinin </w:t>
      </w:r>
      <w:r w:rsidR="00013443">
        <w:rPr>
          <w:rFonts w:ascii="Arial" w:hAnsi="Arial" w:cs="Arial" w:eastAsia="Arial"/>
          <w:b/>
          <w:bCs/>
          <w:i w:val="0"/>
          <w:color w:val="1F3864"/>
          <w:sz w:val="19"/>
          <w:szCs w:val="18"/>
        </w:rPr>
        <w:t>Bilimsel Niteliği</w:t>
      </w:r>
    </w:p>
    <w:p w14:paraId="6189FF0B" w14:textId="77777777" w:rsidR="006F7368" w:rsidRDefault="006F7368">
      <w:pPr>
        <w:pStyle w:val="WW-NormalWeb1"/>
        <w:keepNext/>
        <w:widowControl/>
        <w:spacing w:before="0" w:after="0"/>
        <w:jc w:val="both"/>
        <w:rPr>
          <w:rFonts w:ascii="Arial" w:hAnsi="Arial" w:cs="Arial"/>
          <w:bCs/>
          <w:sz w:val="18"/>
          <w:szCs w:val="18"/>
        </w:rPr>
      </w:pPr>
    </w:p>
    <w:p>
      <w:pPr>
        <w:keepNext/>
        <w:widowControl/>
        <w:spacing w:before="140" w:after="40"/>
      </w:pPr>
      <w:r>
        <w:rPr>
          <w:rFonts w:ascii="Arial" w:hAnsi="Arial" w:cs="Arial" w:eastAsia="Arial"/>
          <w:b/>
          <w:i w:val="0"/>
          <w:color w:val="1F3864"/>
          <w:sz w:val="18"/>
        </w:rPr>
        <w:t>KONUNUN KAPSAMI, SINIRLARI VE ÖNEMİ</w:t>
      </w:r>
    </w:p>
    <w:p>
      <w:pPr>
        <w:widowControl/>
        <w:spacing w:after="40"/>
        <w:jc w:val="both"/>
      </w:pPr>
      <w:r>
        <w:rPr>
          <w:rFonts w:ascii="Arial" w:hAnsi="Arial" w:cs="Arial" w:eastAsia="Arial"/>
          <w:b w:val="0"/>
          <w:i w:val="0"/>
          <w:sz w:val="18"/>
        </w:rPr>
        <w:t>Kamu evrakında tür belirleme, bilgi unsuru çıkarma, eksik denetimi, dayanak bulma, havale ve cevap taslağı el emeğiyle üretilir; yanlış havale evrakı geciktirir, kesin cevap süreleri (dilekçede otuz gün, bilgi edinmede on beş iş günü) kaçırıldığında hukuki sorumluluk doğar. Ön çalışmada derlenen envanter 4.066 kurum içerir; iç birim yapısı ancak dörtte birlik kesimde makine-okunurdur.</w:t>
      </w:r>
    </w:p>
    <w:p>
      <w:pPr>
        <w:widowControl/>
        <w:spacing w:after="40"/>
        <w:jc w:val="both"/>
      </w:pPr>
      <w:r>
        <w:rPr>
          <w:rFonts w:ascii="Arial" w:hAnsi="Arial" w:cs="Arial" w:eastAsia="Arial"/>
          <w:b w:val="0"/>
          <w:i w:val="0"/>
          <w:sz w:val="18"/>
        </w:rPr>
        <w:t>Bilimsel problem şudur: hukuki sonuç doğuran bir alanda model çıktısının kaynağa dayanaklılığı hangi mimari kısıtlarla güvence altına alınır ve bu dayanaklılığın ölçüsü hangi geçerlilikle doğrulanır? Ana deneylerin evrakı tümüyle sentetiktir ve ölçüm birimi metindir; genellenebilirlik ayrıca 60 gerçek belgede sınanır; amaç kısıtın etkisini kontrollü deneyle ölçmektir.</w:t>
      </w:r>
    </w:p>
    <w:p>
      <w:pPr>
        <w:keepNext/>
        <w:widowControl/>
        <w:spacing w:before="140" w:after="40"/>
      </w:pPr>
      <w:r>
        <w:rPr>
          <w:rFonts w:ascii="Arial" w:hAnsi="Arial" w:cs="Arial" w:eastAsia="Arial"/>
          <w:b/>
          <w:i w:val="0"/>
          <w:color w:val="1F3864"/>
          <w:sz w:val="18"/>
        </w:rPr>
        <w:t>LİTERATÜRÜN BUGÜNKÜ DURUMU</w:t>
      </w:r>
    </w:p>
    <w:p>
      <w:pPr>
        <w:widowControl/>
        <w:spacing w:after="40"/>
        <w:jc w:val="both"/>
      </w:pPr>
      <w:r>
        <w:rPr>
          <w:rFonts w:ascii="Arial" w:hAnsi="Arial" w:cs="Arial" w:eastAsia="Arial"/>
          <w:b w:val="0"/>
          <w:i w:val="0"/>
          <w:sz w:val="18"/>
        </w:rPr>
        <w:t>Belge anlamada standart kıyas kümeleri - bilgi çıkarımı [1] ve uçtan uca belge anlama [2] - İngilizce ve görsel-form odaklıdır; idari yazışmaya özgü unsurları (ilgi zinciri, saklama planı kodu, imza-yetki bağı) modellemez. Türkçede sondan eklemeli yapının etkisi ölçülmüş [3], zorluklar derlenmiş [4], alan uyarlaması hukukta kalmıştır [5]. En yakın Türkçe çalışma dosya planı numarasını 169 belge ve tek kurumla incelemiş [6]; tür, bilgi çıkarımı ve taslak kalitesi ölçülmemiştir.</w:t>
      </w:r>
    </w:p>
    <w:p>
      <w:pPr>
        <w:widowControl/>
        <w:spacing w:after="40"/>
        <w:jc w:val="both"/>
      </w:pPr>
      <w:r>
        <w:rPr>
          <w:rFonts w:ascii="Arial" w:hAnsi="Arial" w:cs="Arial" w:eastAsia="Arial"/>
          <w:b w:val="0"/>
          <w:i w:val="0"/>
          <w:sz w:val="18"/>
        </w:rPr>
        <w:t>Atfedilebilirlik insan etiketli çerçeveye oturtulmuş [7], öz-sorgulama önerilmiştir [8]. Hukukta geri getirmeyle güçlendirilmiş üretimin uydurmayı ortadan kaldırmadığı ölçülmüştür: rastgele kararlarda %58-88 uydurma [9], ticari araçların "uydurmasız" iddiası ön-kayıtlı deneyle çürütülmüş [10]. Geri getirme mimarileri derlenmiş [11]; öz-eleştirili [12] ve düzeltmeli [13] getirme, model-hakem yanlılığı [14], müzakere kazancı [15] çalışılmıştır. Kamuda yapay zekâ alanyazını etik ve benimseme düzeyinde kalır [16][17].</w:t>
      </w:r>
    </w:p>
    <w:p>
      <w:pPr>
        <w:keepNext/>
        <w:widowControl/>
        <w:spacing w:before="140" w:after="40"/>
      </w:pPr>
      <w:r>
        <w:rPr>
          <w:rFonts w:ascii="Arial" w:hAnsi="Arial" w:cs="Arial" w:eastAsia="Arial"/>
          <w:b/>
          <w:i w:val="0"/>
          <w:color w:val="1F3864"/>
          <w:sz w:val="18"/>
        </w:rPr>
        <w:t>TAM OLARAK HANGİ BOŞLUK AÇIK VE NEDEN KAPANMADI</w:t>
      </w:r>
    </w:p>
    <w:p>
      <w:pPr>
        <w:widowControl/>
        <w:spacing w:after="40"/>
        <w:jc w:val="both"/>
      </w:pPr>
      <w:r>
        <w:rPr>
          <w:rFonts w:ascii="Arial" w:hAnsi="Arial" w:cs="Arial" w:eastAsia="Arial"/>
          <w:b w:val="0"/>
          <w:i w:val="0"/>
          <w:sz w:val="18"/>
        </w:rPr>
        <w:t>Altı alan tek tek olgundur, kesişimleri boştur. (B1) Türkçe idari yazışma için kamuya açık, etiketli değerlendirme kümesi yoktur; ölçüm kümesi olmadan iddia yanlışlanamaz [1][2][6]. (B2) Dayanaklılık üretim sonrası etiketlenir [7][9][10]; üretim anında kısıt olarak kurulup kazancı yanlış-veto maliyetiyle ölçülmemiştir. (B3) Çok-ajanlı yönlendirmede hedef küme kapalı varsayılır; kamu teşkilatında açık uçludur ve doğan hata sınıfı ölçülmemiştir. (B4) Kalibrasyon çalışmaları tek modellidir; çok düğümlü hatlarda sinyaller epistemik türüne (gözlem/çıkarım) göre ayrıştırılıp bant olarak sunulmamıştır. Zararı ön çalışmada ölçülmüştür: sinyal ölçümle seçilince ayırt edicilik (ROC alanı) 0,877'den 0,964'e çıkmıştır. (B5) İnsan gözetimi normatif savunulur [16][17]; ön koşulu olan denetlenebilir çıktı üretimde zorunlu kılınıp kör uzman ölçütüne karşı sınanmamıştır. (B6) Müzakerenin yakınsaması - kaç bulgunun kapandığı, direndiği, yeni doğduğu - ölçülmemiştir; ölçüm birimi nihai cevaptır [15].</w:t>
      </w:r>
    </w:p>
    <w:p>
      <w:pPr>
        <w:widowControl/>
        <w:spacing w:after="40"/>
        <w:jc w:val="both"/>
      </w:pPr>
      <w:r>
        <w:rPr>
          <w:rFonts w:ascii="Arial" w:hAnsi="Arial" w:cs="Arial" w:eastAsia="Arial"/>
          <w:b w:val="0"/>
          <w:i w:val="0"/>
          <w:sz w:val="18"/>
        </w:rPr>
        <w:t>Bu öneri B4'ü tümüyle kapatmaz: H5 ve İP4 yalnız gözlem tabanlı sinyal için ilk adımı verir; epistemik tür ayrıştırmasının kalibrasyonu izleyen projeye bırakılmıştır (4. bölüm).</w:t>
      </w:r>
    </w:p>
    <w:p>
      <w:pPr>
        <w:widowControl/>
        <w:spacing w:after="40"/>
        <w:jc w:val="both"/>
      </w:pPr>
      <w:r>
        <w:rPr>
          <w:rFonts w:ascii="Arial" w:hAnsi="Arial" w:cs="Arial" w:eastAsia="Arial"/>
          <w:b w:val="0"/>
          <w:i w:val="0"/>
          <w:sz w:val="18"/>
        </w:rPr>
        <w:t>Kapanmama nedeni yöntemseldir: ölçüt çoğunlukla sistemin beyanıdır, karşılaştırmalar ön-kayıtsızdır. Ölçülmeden alınan tek bir değişiklik ön çalışmada aynı 108 belgede birim yönlendirme isabetini 0,907'den 0,54'e düşürmüş.</w:t>
      </w:r>
    </w:p>
    <w:p>
      <w:pPr>
        <w:keepNext/>
        <w:widowControl/>
        <w:spacing w:before="140" w:after="40"/>
      </w:pPr>
      <w:r>
        <w:rPr>
          <w:rFonts w:ascii="Arial" w:hAnsi="Arial" w:cs="Arial" w:eastAsia="Arial"/>
          <w:b/>
          <w:i w:val="0"/>
          <w:color w:val="1F3864"/>
          <w:sz w:val="18"/>
        </w:rPr>
        <w:t>KURAMSAL İDDİA VE SINIR KOŞULU</w:t>
      </w:r>
    </w:p>
    <w:p>
      <w:pPr>
        <w:widowControl/>
        <w:spacing w:after="40"/>
        <w:jc w:val="both"/>
      </w:pPr>
      <w:r>
        <w:rPr>
          <w:rFonts w:ascii="Arial" w:hAnsi="Arial" w:cs="Arial" w:eastAsia="Arial"/>
          <w:b w:val="0"/>
          <w:i w:val="0"/>
          <w:sz w:val="18"/>
        </w:rPr>
        <w:t>Kısıtın erken bağlanması önermesi: kısıt, üretim sonrasında süzgeç değil üretim anında seçim uzayının daraltılması olarak uygulandığında hata ara temsillerde de bastırılır; kazancı girdinin belirsizliği arttıkça büyür. Yanlışlama ölçütü H2'nin etkileşim terimidir: bozulma arttıkça kollar arasındaki fark sabit kalır ya da daralırsa önerme çürütülür; saptanabilir en küçük etkileşim ön-kayıtta ilan edilmiştir (2.6). Sınır koşulu (H7): doğru cevap kapalı kümenin dışındaysa mekanizma sistematik hata kaynağına döner. Önerme Türkçeye özgü değildir; cevap uzayı kapalı tanımlanabilen her üretim görevine taşınabilir.</w:t>
      </w:r>
    </w:p>
    <w:p>
      <w:pPr>
        <w:keepNext/>
        <w:widowControl/>
        <w:spacing w:before="140" w:after="40"/>
      </w:pPr>
      <w:r>
        <w:rPr>
          <w:rFonts w:ascii="Arial" w:hAnsi="Arial" w:cs="Arial" w:eastAsia="Arial"/>
          <w:b/>
          <w:i w:val="0"/>
          <w:color w:val="1F3864"/>
          <w:sz w:val="18"/>
        </w:rPr>
        <w:t>ÖNERİNİN ÖZGÜN DEĞERİ</w:t>
      </w:r>
    </w:p>
    <w:p>
      <w:pPr>
        <w:widowControl/>
        <w:spacing w:after="20"/>
        <w:ind w:left="360" w:hanging="360"/>
        <w:jc w:val="both"/>
      </w:pPr>
      <w:r>
        <w:rPr>
          <w:rFonts w:ascii="Arial" w:hAnsi="Arial" w:cs="Arial" w:eastAsia="Arial"/>
          <w:b/>
          <w:i w:val="0"/>
          <w:sz w:val="18"/>
        </w:rPr>
        <w:t xml:space="preserve">(1) </w:t>
      </w:r>
      <w:r>
        <w:rPr>
          <w:rFonts w:ascii="Arial" w:hAnsi="Arial" w:cs="Arial" w:eastAsia="Arial"/>
          <w:b w:val="0"/>
          <w:i w:val="0"/>
          <w:sz w:val="18"/>
        </w:rPr>
        <w:t>Kaynak-dayanaklılık üretim sonrası etiketlenen ölçüt değil, üretim anında dayatılan mimari kısıttır; kazancı aynı belgelerde eşleştirilmiş olarak yanlış-veto maliyetiyle ölçülür. (2) Ölçümün geçerliliği sistemin beyanıyla değil, kararını görmeyen üç bağımsız değerlendiricinin kör yargısına, ölçütün güvenilirliğine normalize edilmiş uyumla sınanır; dairesellik böylece kırılır. (3) Müzakerede ölçüm birimi nihai cevap değil bulgudur: revize metin yeniden ölçülür; kapanan, direnen ve yeni doğan bulgular ayrı defterlenir.</w:t>
      </w:r>
    </w:p>
    <w:p>
      <w:pPr>
        <w:keepNext/>
        <w:widowControl/>
        <w:spacing w:before="140" w:after="40"/>
      </w:pPr>
      <w:r>
        <w:rPr>
          <w:rFonts w:ascii="Arial" w:hAnsi="Arial" w:cs="Arial" w:eastAsia="Arial"/>
          <w:b/>
          <w:i w:val="0"/>
          <w:color w:val="1F3864"/>
          <w:sz w:val="18"/>
        </w:rPr>
        <w:t>ARAŞTIRMA SORULARI</w:t>
      </w:r>
    </w:p>
    <w:p>
      <w:pPr>
        <w:widowControl/>
        <w:spacing w:after="40"/>
        <w:jc w:val="both"/>
      </w:pPr>
      <w:r>
        <w:rPr>
          <w:rFonts w:ascii="Arial" w:hAnsi="Arial" w:cs="Arial" w:eastAsia="Arial"/>
          <w:b w:val="0"/>
          <w:i w:val="0"/>
          <w:sz w:val="18"/>
        </w:rPr>
        <w:t>AS1: Dört mimari kolun (2.1) evrak türü sınıflandırma, hedef birim yönlendirme ve eksik alan tespiti başarımını hangi yönde değiştirdiği; etkinin hedef birim kapalı kümenin dışındayken tersine dönüp dönmediği (H7) ve belge başına gecikme bedeli (H8).</w:t>
      </w:r>
    </w:p>
    <w:p>
      <w:pPr>
        <w:widowControl/>
        <w:spacing w:after="40"/>
      </w:pPr>
      <w:r>
        <w:rPr>
          <w:rFonts w:ascii="Arial" w:hAnsi="Arial" w:cs="Arial" w:eastAsia="Arial"/>
          <w:b w:val="0"/>
          <w:i w:val="0"/>
          <w:sz w:val="18"/>
        </w:rPr>
        <w:t>AS2: Bozulma arttıkça başarım kaybının kollara göre nasıl farklılaştığı ve kırılma eşiğinin kestirilebilirliği.</w:t>
      </w:r>
    </w:p>
    <w:p>
      <w:pPr>
        <w:widowControl/>
        <w:spacing w:after="40"/>
      </w:pPr>
      <w:r>
        <w:rPr>
          <w:rFonts w:ascii="Arial" w:hAnsi="Arial" w:cs="Arial" w:eastAsia="Arial"/>
          <w:b w:val="0"/>
          <w:i w:val="0"/>
          <w:sz w:val="18"/>
        </w:rPr>
        <w:t>AS3: Otomatik doğrulayıcının kör uzman yargısıyla uyumunun, geçerli ölçüm aracı sayılma eşiğini aşıp aşmadığı.</w:t>
      </w:r>
    </w:p>
    <w:p>
      <w:pPr>
        <w:widowControl/>
        <w:spacing w:after="40"/>
        <w:jc w:val="both"/>
      </w:pPr>
      <w:r>
        <w:rPr>
          <w:rFonts w:ascii="Arial" w:hAnsi="Arial" w:cs="Arial" w:eastAsia="Arial"/>
          <w:b w:val="0"/>
          <w:i w:val="0"/>
          <w:sz w:val="18"/>
        </w:rPr>
        <w:t>AS4: Kapı sıkılığı artarken dayanaksızlık azalması ile yanlış-veto artışı arasındaki ödünleşimin biçimi ve ilan edilmiş tolerans altında en iyi çalışma noktası.</w:t>
      </w:r>
    </w:p>
    <w:p>
      <w:pPr>
        <w:widowControl/>
        <w:spacing w:after="40"/>
      </w:pPr>
      <w:r>
        <w:rPr>
          <w:rFonts w:ascii="Arial" w:hAnsi="Arial" w:cs="Arial" w:eastAsia="Arial"/>
          <w:b w:val="0"/>
          <w:i w:val="0"/>
          <w:sz w:val="18"/>
        </w:rPr>
        <w:t>AS5: Müzakerenin dayanaksızlık ve biçim uyumsuzluğunu azaltıp azaltmadığı, doygunluk turu ve gecikme-maliyet bedeli.</w:t>
      </w:r>
    </w:p>
    <w:p>
      <w:pPr>
        <w:keepNext/>
        <w:widowControl/>
        <w:spacing w:before="140" w:after="40"/>
      </w:pPr>
      <w:r>
        <w:rPr>
          <w:rFonts w:ascii="Arial" w:hAnsi="Arial" w:cs="Arial" w:eastAsia="Arial"/>
          <w:b/>
          <w:i w:val="0"/>
          <w:color w:val="1F3864"/>
          <w:sz w:val="18"/>
        </w:rPr>
        <w:t>HİPOTEZLER</w:t>
      </w:r>
    </w:p>
    <w:p>
      <w:pPr>
        <w:widowControl/>
        <w:spacing w:after="40"/>
        <w:jc w:val="both"/>
      </w:pPr>
      <w:r>
        <w:rPr>
          <w:rFonts w:ascii="Arial" w:hAnsi="Arial" w:cs="Arial" w:eastAsia="Arial"/>
          <w:b w:val="0"/>
          <w:i w:val="0"/>
          <w:sz w:val="18"/>
        </w:rPr>
        <w:t>H1 - H0: Kısıtlı hibrit ile literatür tabanı kolunun hedef birim ilk-sıra isabetleri eşittir (eşleşmiş uyumsuz çiftlerde p01 = p10). Ha: Farklıdır, yön hibrit lehinedir. Aynı hipotez tür sınıflandırma ve eksik alan tespiti için de kurulur.</w:t>
      </w:r>
    </w:p>
    <w:p>
      <w:pPr>
        <w:widowControl/>
        <w:spacing w:after="40"/>
        <w:jc w:val="both"/>
      </w:pPr>
      <w:r>
        <w:rPr>
          <w:rFonts w:ascii="Arial" w:hAnsi="Arial" w:cs="Arial" w:eastAsia="Arial"/>
          <w:b w:val="0"/>
          <w:i w:val="0"/>
          <w:sz w:val="18"/>
        </w:rPr>
        <w:t>H2 - H0: Mimari ile girdi bozulma düzeyi arasında etkileşim yoktur. Ha: Etkileşim vardır; bozulma arttıkça kısıtlı hibritin göreli üstünlüğü büyür.</w:t>
      </w:r>
    </w:p>
    <w:p>
      <w:pPr>
        <w:widowControl/>
        <w:spacing w:after="40"/>
        <w:jc w:val="both"/>
      </w:pPr>
      <w:r>
        <w:rPr>
          <w:rFonts w:ascii="Arial" w:hAnsi="Arial" w:cs="Arial" w:eastAsia="Arial"/>
          <w:b w:val="0"/>
          <w:i w:val="0"/>
          <w:sz w:val="18"/>
        </w:rPr>
        <w:t>H3 - H0: Bozulma ile doğruluk arasında monoton eğilim yoktur. Ha: Doğruluk monoton azalır ve en az bir bileşende kırılma eşiği bulunur.</w:t>
      </w:r>
    </w:p>
    <w:p>
      <w:pPr>
        <w:widowControl/>
        <w:spacing w:after="40"/>
        <w:jc w:val="both"/>
      </w:pPr>
      <w:r>
        <w:rPr>
          <w:rFonts w:ascii="Arial" w:hAnsi="Arial" w:cs="Arial" w:eastAsia="Arial"/>
          <w:b w:val="0"/>
          <w:i w:val="0"/>
          <w:sz w:val="18"/>
        </w:rPr>
        <w:t>H4 - H0: Otomatik doğrulayıcı ile kör uzman yargısı arasındaki normalize edilmiş uyum, geçerlilik eşiğinin altındadır. Ha: Eşiği aşar.</w:t>
      </w:r>
    </w:p>
    <w:p>
      <w:pPr>
        <w:widowControl/>
        <w:spacing w:after="40"/>
        <w:jc w:val="both"/>
      </w:pPr>
      <w:r>
        <w:rPr>
          <w:rFonts w:ascii="Arial" w:hAnsi="Arial" w:cs="Arial" w:eastAsia="Arial"/>
          <w:b w:val="0"/>
          <w:i w:val="0"/>
          <w:sz w:val="18"/>
        </w:rPr>
        <w:t>H5 - H0: Kapı açıkken dayanaksız iddia oranı değişmez ve/veya yanlış-veto tolerans dışındadır. Ha: Dayanaksızlık anlamlı düşer VE yanlış-veto 0,05 sınırı içinde kalır; ikisi birlikte sağlanmazsa hipotez reddedilir.</w:t>
      </w:r>
    </w:p>
    <w:p>
      <w:pPr>
        <w:widowControl/>
        <w:spacing w:after="40"/>
        <w:jc w:val="both"/>
      </w:pPr>
      <w:r>
        <w:rPr>
          <w:rFonts w:ascii="Arial" w:hAnsi="Arial" w:cs="Arial" w:eastAsia="Arial"/>
          <w:b w:val="0"/>
          <w:i w:val="0"/>
          <w:sz w:val="18"/>
        </w:rPr>
        <w:t>H6 - H0: Müzakere turu sayısı belge başına açık bulgu sayısını değiştirmez. Ha: Bulgu sayısı azalır ve belirli bir turdan sonra doygunluğa ulaşır.</w:t>
      </w:r>
    </w:p>
    <w:p>
      <w:pPr>
        <w:widowControl/>
        <w:spacing w:after="40"/>
        <w:jc w:val="both"/>
      </w:pPr>
      <w:r>
        <w:rPr>
          <w:rFonts w:ascii="Arial" w:hAnsi="Arial" w:cs="Arial" w:eastAsia="Arial"/>
          <w:b w:val="0"/>
          <w:i w:val="0"/>
          <w:sz w:val="18"/>
        </w:rPr>
        <w:t>H7 (sınır koşulu) - H0: Kapalı-küme kısıtının etkisi, hedef biriminin kümede bulunmadığı belgelerde de aynıdır. Ha: Kısıt bu belgelerde kısıtsız kola göre daha kötü sonuç verir.</w:t>
      </w:r>
    </w:p>
    <w:p>
      <w:pPr>
        <w:widowControl/>
        <w:spacing w:after="40"/>
        <w:jc w:val="both"/>
      </w:pPr>
      <w:r>
        <w:rPr>
          <w:rFonts w:ascii="Arial" w:hAnsi="Arial" w:cs="Arial" w:eastAsia="Arial"/>
          <w:b w:val="0"/>
          <w:i w:val="0"/>
          <w:sz w:val="18"/>
        </w:rPr>
        <w:t>H8 (bedel) - H0: Kısıtlı hibritin belge başına gecikme farkı log ölçekte ±%20 eşdeğerlik sınırının dışındadır. Ha: Fark sınır içindedir (iki tek yönlü test). Eşdeğerlik kurulamazsa fark eşleştirilmiş Wilcoxon ile betimlenir ve bedel olarak raporlanır.</w:t>
      </w:r>
    </w:p>
    <w:p>
      <w:pPr>
        <w:widowControl/>
        <w:spacing w:after="40"/>
        <w:jc w:val="both"/>
      </w:pPr>
      <w:r>
        <w:rPr>
          <w:rFonts w:ascii="Arial" w:hAnsi="Arial" w:cs="Arial" w:eastAsia="Arial"/>
          <w:b w:val="0"/>
          <w:i w:val="0"/>
          <w:sz w:val="18"/>
        </w:rPr>
        <w:t>Bilgi kazancı beyanı: Her birincil hipotez için H0'ın reddedilmesi VE reddedilememesi hâlinde ne öğrenileceği ön-kayıtta yazılır, iki dal da yayımlanır. H4'te eşik aşılamazsa ölçümün geçerli araç olmadığı ilan edilir; H7'un Ha yönünde çıkması mimarinin aleyhinedir; H8'da eşdeğerlik kurulamazsa gecikme bedeli sayısal ilan edilir.</w:t>
      </w:r>
    </w:p>
    <w:p>
      <w:pPr>
        <w:widowControl/>
        <w:spacing w:after="40"/>
        <w:jc w:val="both"/>
      </w:pPr>
      <w:r>
        <w:rPr>
          <w:rFonts w:ascii="Arial" w:hAnsi="Arial" w:cs="Arial" w:eastAsia="Arial"/>
          <w:b w:val="0"/>
          <w:i w:val="0"/>
          <w:sz w:val="18"/>
        </w:rPr>
        <w:t>Öneriyi yazılım geliştirmeden ayıran üç unsur: ön-kayıt kilidi, ölçütün sistemin vetosu değil ekip dışı uzman yargısı olması (birim kişi değil metindeki iddiadır) ve replikasyon kümesinin yalnız son sınamada açılması. Ön çalışma sayıları başarım değil fizibilite göstergesidir; taban ölçümler İP1'de yeniden koşulur.</w:t>
      </w:r>
    </w:p>
    <w:p>
      <w:pPr>
        <w:keepNext/>
        <w:widowControl/>
        <w:spacing w:before="140" w:after="40"/>
      </w:pPr>
      <w:r>
        <w:rPr>
          <w:rFonts w:ascii="Arial" w:hAnsi="Arial" w:cs="Arial" w:eastAsia="Arial"/>
          <w:b/>
          <w:i w:val="0"/>
          <w:color w:val="1F3864"/>
          <w:sz w:val="18"/>
        </w:rPr>
        <w:t>ÜST POLİTİKA BELGELERİYLE İLİŞKİLENDİRME VE SAĞLANACAK YARAR</w:t>
      </w:r>
    </w:p>
    <w:p>
      <w:pPr>
        <w:widowControl/>
        <w:spacing w:after="40"/>
        <w:jc w:val="both"/>
      </w:pPr>
      <w:r>
        <w:rPr>
          <w:rFonts w:ascii="Arial" w:hAnsi="Arial" w:cs="Arial" w:eastAsia="Arial"/>
          <w:b w:val="0"/>
          <w:i w:val="0"/>
          <w:sz w:val="18"/>
        </w:rPr>
        <w:t>On İkinci Kalkınma Planı m.557 kritik teknoloji alanlarında "yapay zekâ"yı (1.), "büyük veri"yi (4.) ve "siber güvenlik"i (5.) sayar; m.557.1 bu alanlardaki projelerin desteklenmesini hükme bağlar [18]. m.964.7 "dijital teknolojilerin kamu yönetimine etkileri" için araştırma programı öngörür [18]; öneri buna karşılık gelen kontrollü deneydir. m.968.2 güvenilir yapay zekâ etik ilkelerini, m.963.3 otomasyonda süreç sahipliğini şart koşar; karar daima görevlide kalır [18]. 2030 Sanayi ve Teknoloji Stratejisi'nde 6. strateji Türkçe büyük dil modelini, 21. strateji öncelikli alanlardan "Bilgisayar Bilimleri" (1.) ile "Yapay Zekâ"yı (10.), 40. strateji kamu süreçlerinin otomasyonunu önceliklendirir [19]. Ulusal öncelikli Ar-Ge konuları listesi "yapay zekâ", "büyük veri ve bulut bilişim" ve "siber güvenlik"i içerir [20]. Ulusal Yapay Zekâ Stratejisi Türkçe doğal dil işlemeyi önceliklendirir, kamuda güvenilirlik damgası öngörür; ülke kamuda yapay zekâya hazırlıkta 172 ülke içinde 67. sıradadır [21].</w:t>
      </w:r>
    </w:p>
    <w:p>
      <w:pPr>
        <w:widowControl/>
        <w:spacing w:after="40"/>
        <w:jc w:val="both"/>
      </w:pPr>
      <w:r>
        <w:rPr>
          <w:rFonts w:ascii="Arial" w:hAnsi="Arial" w:cs="Arial" w:eastAsia="Arial"/>
          <w:b w:val="0"/>
          <w:i w:val="0"/>
          <w:sz w:val="18"/>
        </w:rPr>
        <w:t>Sağlanacak yarar üç çıktıyla ölçülecektir: (1) kişisel veri içermeyen, sabit tohumlu Türkçe idari yazışma değerlendirme kümesi ve açık ölçüm protokolü; (2) otomatik ölçümün kör uzman yargısına karşı geçerliliğini uyum katsayıları ve güven aralıklarıyla raporlayan çalışma; (3) kapının ödünleşim eğrisini, müzakerenin yakınsama turunu ve mimarinin gecikme-maliyet bedelini veren sonuç kümesi. Çıktılar açık lisanslıdır [18][19].</w:t>
      </w:r>
    </w:p>
    <w:p w14:paraId="00E0A731" w14:textId="77777777" w:rsidR="00BB5D2F" w:rsidRDefault="00BB5D2F" w:rsidP="00190A53">
      <w:pPr>
        <w:pStyle w:val="WW-NormalWeb1"/>
        <w:keepNext/>
        <w:widowControl/>
        <w:spacing w:before="0" w:after="0"/>
        <w:jc w:val="both"/>
        <w:rPr>
          <w:rFonts w:ascii="Arial" w:hAnsi="Arial" w:cs="Arial"/>
          <w:bCs/>
          <w:sz w:val="18"/>
          <w:szCs w:val="18"/>
        </w:rPr>
      </w:pPr>
    </w:p>
    <w:p w14:paraId="292A44BB" w14:textId="77777777" w:rsidR="006F7368" w:rsidRDefault="006F7368">
      <w:pPr>
        <w:pStyle w:val="WW-NormalWeb1"/>
        <w:keepNext/>
        <w:widowControl/>
        <w:tabs>
          <w:tab w:val="left" w:pos="993"/>
        </w:tabs>
        <w:spacing w:before="0" w:after="0"/>
        <w:ind w:left="360"/>
        <w:jc w:val="both"/>
        <w:rPr>
          <w:rFonts w:ascii="Arial" w:hAnsi="Arial" w:cs="Arial"/>
          <w:b/>
          <w:bCs/>
          <w:sz w:val="18"/>
          <w:szCs w:val="18"/>
        </w:rPr>
      </w:pPr>
    </w:p>
    <w:p w14:paraId="559B841D" w14:textId="77777777" w:rsidR="006F7368" w:rsidRDefault="002E7A1C">
      <w:pPr>
        <w:pStyle w:val="WW-NormalWeb1"/>
        <w:keepNext/>
        <w:widowControl/>
        <w:numPr>
          <w:ilvl w:val="1"/>
          <w:numId w:val="3"/>
        </w:numPr>
        <w:tabs>
          <w:tab w:val="left" w:pos="993"/>
        </w:tabs>
        <w:spacing w:before="160" w:after="60"/>
        <w:ind w:left="284"/>
        <w:jc w:val="both"/>
        <w:rPr>
          <w:rFonts w:ascii="Arial" w:hAnsi="Arial" w:cs="Arial"/>
          <w:b/>
          <w:bCs/>
          <w:sz w:val="18"/>
          <w:szCs w:val="18"/>
        </w:rPr>
      </w:pPr>
      <w:r>
        <w:rPr>
          <w:rFonts w:ascii="Arial" w:hAnsi="Arial" w:cs="Arial" w:eastAsia="Arial"/>
          <w:b/>
          <w:bCs/>
          <w:i w:val="0"/>
          <w:color w:val="1F3864"/>
          <w:sz w:val="19"/>
          <w:szCs w:val="18"/>
        </w:rPr>
        <w:t>Amaç ve Hedefler</w:t>
      </w:r>
    </w:p>
    <w:p w14:paraId="4A281FA1" w14:textId="77777777" w:rsidR="006F7368" w:rsidRDefault="002E7A1C">
      <w:pPr>
        <w:pStyle w:val="WW-NormalWeb1"/>
        <w:keepNext/>
        <w:widowControl/>
        <w:spacing w:before="0" w:after="0"/>
        <w:ind w:left="142"/>
        <w:rPr>
          <w:rFonts w:ascii="Arial" w:hAnsi="Arial" w:cs="Arial"/>
          <w:bCs/>
          <w:sz w:val="18"/>
          <w:szCs w:val="18"/>
        </w:rPr>
      </w:pPr>
      <w:r>
        <w:rPr>
          <w:rFonts w:ascii="Arial" w:hAnsi="Arial" w:cs="Arial"/>
          <w:bCs/>
          <w:sz w:val="18"/>
          <w:szCs w:val="18"/>
        </w:rPr>
        <w:t xml:space="preserve">   </w:t>
      </w:r>
    </w:p>
    <w:p w14:paraId="708E5416" w14:textId="77777777" w:rsidR="006F7368" w:rsidRDefault="006F7368">
      <w:pPr>
        <w:pStyle w:val="WW-NormalWeb1"/>
        <w:keepNext/>
        <w:widowControl/>
        <w:spacing w:before="0" w:after="0"/>
        <w:ind w:left="142" w:firstLine="709"/>
        <w:jc w:val="both"/>
        <w:rPr>
          <w:rFonts w:ascii="Arial" w:hAnsi="Arial" w:cs="Arial"/>
          <w:bCs/>
          <w:sz w:val="18"/>
          <w:szCs w:val="18"/>
        </w:rPr>
      </w:pPr>
    </w:p>
    <w:p>
      <w:pPr>
        <w:keepNext/>
        <w:widowControl/>
        <w:spacing w:before="140" w:after="40"/>
      </w:pPr>
      <w:r>
        <w:rPr>
          <w:rFonts w:ascii="Arial" w:hAnsi="Arial" w:cs="Arial" w:eastAsia="Arial"/>
          <w:b/>
          <w:i w:val="0"/>
          <w:color w:val="1F3864"/>
          <w:sz w:val="18"/>
        </w:rPr>
        <w:t>GENEL AMAÇ</w:t>
      </w:r>
    </w:p>
    <w:p>
      <w:pPr>
        <w:widowControl/>
        <w:spacing w:after="40"/>
        <w:jc w:val="both"/>
      </w:pPr>
      <w:r>
        <w:rPr>
          <w:rFonts w:ascii="Arial" w:hAnsi="Arial" w:cs="Arial" w:eastAsia="Arial"/>
          <w:b w:val="0"/>
          <w:i w:val="0"/>
          <w:sz w:val="18"/>
        </w:rPr>
        <w:t>Bu araştırmanın genel amacı, Türkçe idari yazışma belgelerinin makine ile işlenmesinde karar kaynağının mimari biçiminin (2.1'deki dört kol) belge anlama başarımı, resmî metnin kaynağa dayanaklılığı ve bu dayanaklılığı yargılayan ölçütün geçerliliği üzerindeki etkisini ön-kayıtlı ve kontrollü faktöriyel deneyde nedensel olarak kestirmek ve ölçüm çerçevesini yeniden üretilebilir biçimde belgelemektir. Gözlem birimi belgedir.</w:t>
      </w:r>
    </w:p>
    <w:p>
      <w:pPr>
        <w:widowControl/>
        <w:spacing w:after="40"/>
        <w:jc w:val="both"/>
      </w:pPr>
      <w:r>
        <w:rPr>
          <w:rFonts w:ascii="Arial" w:hAnsi="Arial" w:cs="Arial" w:eastAsia="Arial"/>
          <w:b w:val="0"/>
          <w:i w:val="0"/>
          <w:sz w:val="18"/>
        </w:rPr>
        <w:t>Amacın gerekçesi üç tespittir: ölçüm gelenekleri İngilizce ve görsel form odaklıdır, Türkçe idari yazışma için etiketli küme yoktur, en yakın çalışma tek kurumdadır [1][2][6]; geri getirmeli üretim hukukta dayanaksız iddiayı kaldırmaz, atfedilebilirlik üretim anında kısıt olarak değil sonrasında etiketlenen ölçü olarak ele alınır [7][9][10]; insan gözetimi normatif savunulur ama ön koşulu denetlenebilir çıktı kör uzman ölçütüne karşı sınanmamıştır [16][17]. Proje bu nedenle geliştirme işi değil, hipoteze bağlı bir sınama programıdır.</w:t>
      </w:r>
    </w:p>
    <w:p>
      <w:pPr>
        <w:widowControl/>
        <w:spacing w:after="40"/>
      </w:pPr>
      <w:r>
        <w:rPr>
          <w:rFonts w:ascii="Arial" w:hAnsi="Arial" w:cs="Arial" w:eastAsia="Arial"/>
          <w:b w:val="0"/>
          <w:i w:val="0"/>
          <w:sz w:val="18"/>
        </w:rPr>
        <w:t>ÖZGÜL HEDEFLER (iş paketi eşlemesiyle)</w:t>
      </w:r>
    </w:p>
    <w:p>
      <w:pPr>
        <w:widowControl/>
        <w:spacing w:after="40"/>
        <w:jc w:val="both"/>
      </w:pPr>
      <w:r>
        <w:rPr>
          <w:rFonts w:ascii="Arial" w:hAnsi="Arial" w:cs="Arial" w:eastAsia="Arial"/>
          <w:b w:val="0"/>
          <w:i w:val="0"/>
          <w:sz w:val="18"/>
        </w:rPr>
        <w:t>Hedef 1 (İP1) - Deneysel çerçeve ve dairesellik denetimi: hipotezler, test ailesi, dışlama ölçütleri ve analiz planı veri toplanmadan önce ön-kayıtla kilitlenir; 19 elemanlı kapalı tür kümesi x üç zorluk çaprazında 240 ana + 120 replikasyon belgelik sentetik küme katmanlı örneklemeyle hazırlanır; bozma işleci gerçek taranmış belgelerde ölçülen hata oranına çapalanır. (Başarı ölçütü üç ara kilometre taşıyla verilir: 1. ay sonu - üreteç ve etiket uzayı kilitli, 120 belge üretilmiş ve birinci kaynakta etiketlenmiş; 2. ay sonu - ön-kayıt kilitli, 240 belgelik ana küme iki bağımsız kaynakta etiketlenmiş ve sızıntı denetiminden geçmiş, güç simülasyonu güncel taban ölçümlerle yeniden koşulmuş; 3. ay sonu - 120 belgelik replikasyon kümesi mühürlenmiş ve açılmamak üzere ayrılmış. Ayrıca iki kaynaktaki altın etiket uyumu en az 0,90; üç bozulma kolunda karakter hata oranı sapması en fazla 0,01; kilitlenen on bağımlı değişkenin tamamı için sürüm damgalı taban artefaktı mevcut; sözlük örtüşme oranı sayısal raporlanmış; yerel model seviyesinde kısıtsız kolun geçersiz çıktı oranı %20'yi aşarsa bu blok seviyesi tasarımdan çıkarılmış ve karar ön-kayıtta ilan edilmiş.)</w:t>
      </w:r>
    </w:p>
    <w:p>
      <w:pPr>
        <w:widowControl/>
        <w:spacing w:after="40"/>
        <w:jc w:val="both"/>
      </w:pPr>
      <w:r>
        <w:rPr>
          <w:rFonts w:ascii="Arial" w:hAnsi="Arial" w:cs="Arial" w:eastAsia="Arial"/>
          <w:b w:val="0"/>
          <w:i w:val="0"/>
          <w:sz w:val="18"/>
        </w:rPr>
        <w:t>Hedef 2 (İP2) - Karar kaynağı mimarisinin belge anlama başarımına etkisi: dört kol aynı belgelerde eşleştirilmiş koşulur; tür sınıflandırma, birim yönlendirme ve eksik alan tespiti farkları kesin McNemar ve hiyerarşik kapı içinde Holm-Bonferroni düzeltmesiyle sınanır; maliyet tavanı paketin ilk haftasındaki 20 belgelik pilotla ölçülür. (Başarı ölçütü mutlak başarım değil karar verilebilirliktir: H1'in üç bağımlı değişkeninde eşleşmiş etki büyüklüğünün %95 aralık genişliği 0,15'ten dar; en az ikisinde gerçekleşen güç 0,80 üzerinde. Ret de destek de aynı ayrıntıda raporlanır.)</w:t>
      </w:r>
    </w:p>
    <w:p>
      <w:pPr>
        <w:widowControl/>
        <w:spacing w:after="40"/>
        <w:jc w:val="both"/>
      </w:pPr>
      <w:r>
        <w:rPr>
          <w:rFonts w:ascii="Arial" w:hAnsi="Arial" w:cs="Arial" w:eastAsia="Arial"/>
          <w:b w:val="0"/>
          <w:i w:val="0"/>
          <w:sz w:val="18"/>
        </w:rPr>
        <w:t>Hedef 3 (İP2) - Girdi bozulması altında hata yayılımı ve kısıtın koruyucu etkisi: üç bozulma seviyesinde mimariler arası fark karma etkili lojistik regresyon ve doğrulayıcı olarak genelleştirilmiş tahmin denklemleriyle sınanır. (Başarı ölçütü: mimari x bozulma etkileşimi iki yöntemde de aynı yönde ve Kapı 4'ün Holm düzeltmeli düzeyinde (alfa = 0,0133); kırılma eşiği tek sayı değil profil-olabilirlik %95 aralığıyla raporlanır; H2'nin gücü sınırlıdır: saptanabilir en küçük etkileşim ön-kayıtta 0,19 olarak ilan edilir ve örneklem n = 240'ta sabit tutulur.)</w:t>
      </w:r>
    </w:p>
    <w:p>
      <w:pPr>
        <w:widowControl/>
        <w:spacing w:after="40"/>
        <w:jc w:val="both"/>
      </w:pPr>
      <w:r>
        <w:rPr>
          <w:rFonts w:ascii="Arial" w:hAnsi="Arial" w:cs="Arial" w:eastAsia="Arial"/>
          <w:b w:val="0"/>
          <w:i w:val="0"/>
          <w:sz w:val="18"/>
        </w:rPr>
        <w:t>Hedef 4 (İP3) - Otomatik dayanak doğrulayıcısının ölçüm geçerliliği: 300 iddia, sistemin kararını görmeyen üç bağımsız değerlendiriciye tam çapraz desende etiketletilir; uyum, ölçütün kendi güvenilirliğine normalize edilerek kestirilir. Aynı pakette 60 belgelik dış geçerlilik kümesi derlenir ve altın etiketlenir. (Başarı ölçütü: değerlendiriciler arası güvenilirlikte nokta tahmini en az 0,80, kümelenmiş önyükleme %95 alt sınırı en az 0,67; normalize uyum oranının %95 alt sınırı 0,75'i aşar; beş iddia sınıfı için duyarlılık-özgüllük Wilson %95 aralığıyla ayrı verilir; eşiğin altında kalınırsa geçerlilik sınırı bulgu olarak yayımlanır.)</w:t>
      </w:r>
    </w:p>
    <w:p>
      <w:pPr>
        <w:widowControl/>
        <w:spacing w:after="40"/>
        <w:jc w:val="both"/>
      </w:pPr>
      <w:r>
        <w:rPr>
          <w:rFonts w:ascii="Arial" w:hAnsi="Arial" w:cs="Arial" w:eastAsia="Arial"/>
          <w:b w:val="0"/>
          <w:i w:val="0"/>
          <w:sz w:val="18"/>
        </w:rPr>
        <w:t>Hedef 5 (İP4) - Doğrulama kapısının ödünleşim eğrisi ve müzakerenin yakınsaması: kapı sıkılığı dokuz noktada süpürülerek dayanaksızlık ile yanlış-veto ödünleşimi haritalanır; müzakerede dört tur ve üç rol-çıkarma koşulunda kapanan, direnen ve yeni doğan bulgular ayrı defterlenir [15]. (Başarı ölçütü: seçilen çalışma noktasında yanlış-veto oranının %95 güven aralığı üst sınırının 0,05'i aşmadığı tek yönlü aşmazlık sınamasıyla gösterilir; dayanaksızlıktaki azalma kör uzman altın kümesine karşı alfa = 0,05 düzeyinde sınanır; doygunluk turu ile tur başına ek gecikme ve maliyet sayısal raporlanır.)</w:t>
      </w:r>
    </w:p>
    <w:p>
      <w:pPr>
        <w:widowControl/>
        <w:spacing w:after="40"/>
        <w:jc w:val="both"/>
      </w:pPr>
      <w:r>
        <w:rPr>
          <w:rFonts w:ascii="Arial" w:hAnsi="Arial" w:cs="Arial" w:eastAsia="Arial"/>
          <w:b w:val="0"/>
          <w:i w:val="0"/>
          <w:sz w:val="18"/>
        </w:rPr>
        <w:t>Hedef 6 (İP5) - Replikasyon ve yeniden üretilebilirliğin kanıtlanması: ön-kayıtlı birincil hipotezler, ana kümede hiç kullanılmamış 120 belgelik kümede yeniden sınanır; İP3'te derlenen 60 belgelik dış geçerlilik alt kümesinde ise iki ön-kayıtlı hipotez (H1, H5) onaylayıcı olarak sınanır. Ölçüm betikleri, deterministik kipte tek komutla koşan bir yeniden üretim paketine dönüştürülür. (Başarı ölçütü: birincil hipotezlerin en az %80'i replikasyonda aynı yönde sonuçlanır, yön uyuşmazlıkları gizlenmeden raporlanır; ekip dışı bağımsız koşumda deterministik metrikler en fazla %1 sapmayla yeniden üretilir; küme, betikler ve ön-kayıt dosyası izin verici açık lisansla yayımlanır.)</w:t>
      </w:r>
    </w:p>
    <w:p>
      <w:pPr>
        <w:keepNext/>
        <w:widowControl/>
        <w:spacing w:before="140" w:after="40"/>
      </w:pPr>
      <w:r>
        <w:rPr>
          <w:rFonts w:ascii="Arial" w:hAnsi="Arial" w:cs="Arial" w:eastAsia="Arial"/>
          <w:b/>
          <w:i w:val="0"/>
          <w:color w:val="1F3864"/>
          <w:sz w:val="18"/>
        </w:rPr>
        <w:t>ULAŞILABİLİRLİK</w:t>
      </w:r>
    </w:p>
    <w:p>
      <w:pPr>
        <w:widowControl/>
        <w:spacing w:after="40"/>
        <w:jc w:val="both"/>
      </w:pPr>
      <w:r>
        <w:rPr>
          <w:rFonts w:ascii="Arial" w:hAnsi="Arial" w:cs="Arial" w:eastAsia="Arial"/>
          <w:b w:val="0"/>
          <w:i w:val="0"/>
          <w:sz w:val="18"/>
        </w:rPr>
        <w:t>Hedefler gerçekçidir: ölçüm altyapısı ön çalışma olarak çalışır durumdadır; 12 aylık süre altyapı kurmaya değil deney yürütmeye ayrılacaktır. Mevcut olan ile üretilecek olanın ayrımı Yöntem bölümündedir (2.7.1); hiçbir iş paketi prototipin işlevlerini yeniden üretmez. Taban ölçümler, ön-kayıt kilidinden önce İP1'de güncel sürümle yeniden üretilir; H1'in çerçevesi bu ölçümden bağımsızdır ve üstünlük sınaması olarak sabittir (2.6).</w:t>
      </w:r>
    </w:p>
    <w:p w14:paraId="13C670F8" w14:textId="77777777" w:rsidR="006F7368" w:rsidRDefault="006F7368">
      <w:pPr>
        <w:pStyle w:val="WW-NormalWeb1"/>
        <w:keepNext/>
        <w:widowControl/>
        <w:spacing w:before="0" w:after="0"/>
        <w:rPr>
          <w:rFonts w:ascii="Arial" w:hAnsi="Arial" w:cs="Arial"/>
          <w:color w:val="000000"/>
          <w:sz w:val="18"/>
          <w:szCs w:val="18"/>
        </w:rPr>
      </w:pPr>
    </w:p>
    <w:p w14:paraId="3EE884CE" w14:textId="77777777" w:rsidR="00B24604" w:rsidRDefault="00B24604">
      <w:pPr>
        <w:pStyle w:val="WW-NormalWeb1"/>
        <w:keepNext/>
        <w:widowControl/>
        <w:spacing w:before="0" w:after="0"/>
        <w:rPr>
          <w:rFonts w:ascii="Arial" w:hAnsi="Arial" w:cs="Arial"/>
          <w:color w:val="000000"/>
          <w:sz w:val="18"/>
          <w:szCs w:val="18"/>
        </w:rPr>
      </w:pPr>
    </w:p>
    <w:p w14:paraId="793B9AD7" w14:textId="77777777" w:rsidR="00B24604" w:rsidRDefault="00B24604">
      <w:pPr>
        <w:pStyle w:val="WW-NormalWeb1"/>
        <w:keepNext/>
        <w:widowControl/>
        <w:spacing w:before="0" w:after="0"/>
        <w:rPr>
          <w:rFonts w:ascii="Arial" w:hAnsi="Arial" w:cs="Arial"/>
          <w:color w:val="000000"/>
          <w:sz w:val="18"/>
          <w:szCs w:val="18"/>
        </w:rPr>
      </w:pPr>
    </w:p>
    <w:p w14:paraId="7EB0194C" w14:textId="77777777" w:rsidR="006F7368" w:rsidRDefault="002E7A1C">
      <w:pPr>
        <w:pStyle w:val="WW-NormalWeb1"/>
        <w:keepNext/>
        <w:widowControl/>
        <w:numPr>
          <w:ilvl w:val="0"/>
          <w:numId w:val="2"/>
        </w:numPr>
        <w:spacing w:before="220" w:after="80"/>
        <w:ind w:left="142" w:hanging="218"/>
        <w:jc w:val="both"/>
        <w:rPr>
          <w:rFonts w:ascii="Arial" w:hAnsi="Arial" w:cs="Arial"/>
          <w:sz w:val="18"/>
          <w:szCs w:val="18"/>
        </w:rPr>
        <w:pBdr>
          <w:bottom w:val="single" w:sz="8" w:space="3" w:color="1F3864"/>
        </w:pBdr>
      </w:pPr>
      <w:r>
        <w:rPr>
          <w:rFonts w:ascii="Arial" w:hAnsi="Arial" w:cs="Arial" w:eastAsia="Arial"/>
          <w:b/>
          <w:bCs/>
          <w:i w:val="0"/>
          <w:color w:val="1F3864"/>
          <w:sz w:val="22"/>
          <w:szCs w:val="18"/>
        </w:rPr>
        <w:t>YÖNTEM</w:t>
      </w:r>
    </w:p>
    <w:p w14:paraId="30E332CC" w14:textId="77777777" w:rsidR="00A17861" w:rsidRDefault="00A17861" w:rsidP="00190A53">
      <w:pPr>
        <w:pStyle w:val="WW-NormalWeb1"/>
        <w:keepNext/>
        <w:widowControl/>
        <w:spacing w:before="0" w:after="0"/>
        <w:ind w:left="-76"/>
        <w:jc w:val="both"/>
        <w:rPr>
          <w:rFonts w:ascii="Arial" w:hAnsi="Arial" w:cs="Arial"/>
          <w:sz w:val="18"/>
          <w:szCs w:val="18"/>
        </w:rPr>
      </w:pPr>
    </w:p>
    <w:p w14:paraId="26D62095" w14:textId="77777777" w:rsidR="006F7368" w:rsidRDefault="006F7368">
      <w:pPr>
        <w:keepNext/>
        <w:widowControl/>
        <w:ind w:left="142"/>
        <w:jc w:val="both"/>
        <w:rPr>
          <w:rFonts w:ascii="Arial" w:hAnsi="Arial" w:cs="Arial"/>
          <w:color w:val="000000"/>
          <w:sz w:val="18"/>
          <w:szCs w:val="24"/>
        </w:rPr>
      </w:pPr>
    </w:p>
    <w:p w14:paraId="2371F440" w14:textId="77777777" w:rsidR="006F7368" w:rsidRDefault="006F7368">
      <w:pPr>
        <w:pStyle w:val="WW-NormalWeb1"/>
        <w:keepNext/>
        <w:widowControl/>
        <w:spacing w:before="0" w:after="0"/>
        <w:jc w:val="both"/>
        <w:rPr>
          <w:rFonts w:ascii="Arial" w:hAnsi="Arial" w:cs="Arial"/>
          <w:color w:val="000000"/>
          <w:sz w:val="18"/>
        </w:rPr>
      </w:pPr>
    </w:p>
    <w:p>
      <w:pPr>
        <w:keepNext/>
        <w:widowControl/>
        <w:spacing w:before="140" w:after="40"/>
      </w:pPr>
      <w:r>
        <w:rPr>
          <w:rFonts w:ascii="Arial" w:hAnsi="Arial" w:cs="Arial" w:eastAsia="Arial"/>
          <w:b/>
          <w:i w:val="0"/>
          <w:color w:val="1F3864"/>
          <w:sz w:val="18"/>
        </w:rPr>
        <w:t>2.1 ARAŞTIRMA TASARIMI</w:t>
      </w:r>
    </w:p>
    <w:p>
      <w:pPr>
        <w:widowControl/>
        <w:spacing w:after="40"/>
      </w:pPr>
      <w:r>
        <w:rPr>
          <w:rFonts w:ascii="Arial" w:hAnsi="Arial" w:cs="Arial" w:eastAsia="Arial"/>
          <w:b w:val="0"/>
          <w:i w:val="0"/>
          <w:sz w:val="18"/>
        </w:rPr>
        <w:t>Öneri, ön-kayıtlı hipotezleri kontrollü koşullarda sınayan üç bağlantılı deneyden oluşur.</w:t>
      </w:r>
    </w:p>
    <w:p>
      <w:pPr>
        <w:widowControl/>
        <w:spacing w:after="40"/>
      </w:pPr>
      <w:r>
        <w:rPr>
          <w:rFonts w:ascii="Arial" w:hAnsi="Arial" w:cs="Arial" w:eastAsia="Arial"/>
          <w:b w:val="0"/>
          <w:i w:val="0"/>
          <w:sz w:val="18"/>
        </w:rPr>
        <w:t>D1 - Karar mimarisi x girdi bozulması (4 x 3, belge-içi tekrarlı ölçüm). Bağımsız değişken 1, karar kaynağı:</w:t>
      </w:r>
    </w:p>
    <w:p>
      <w:pPr>
        <w:widowControl/>
        <w:spacing w:after="20"/>
        <w:ind w:left="280" w:hanging="180"/>
      </w:pPr>
      <w:r>
        <w:rPr>
          <w:rFonts w:ascii="Arial" w:hAnsi="Arial" w:cs="Arial" w:eastAsia="Arial"/>
          <w:b w:val="0"/>
          <w:i w:val="0"/>
          <w:sz w:val="18"/>
        </w:rPr>
        <w:t xml:space="preserve">•  </w:t>
      </w:r>
      <w:r>
        <w:rPr>
          <w:rFonts w:ascii="Arial" w:hAnsi="Arial" w:cs="Arial" w:eastAsia="Arial"/>
          <w:b w:val="0"/>
          <w:i w:val="0"/>
          <w:sz w:val="18"/>
        </w:rPr>
        <w:t>(a) salt deterministik kural ve sözlük katmanı;</w:t>
      </w:r>
    </w:p>
    <w:p>
      <w:pPr>
        <w:widowControl/>
        <w:spacing w:after="20"/>
        <w:ind w:left="280" w:hanging="180"/>
      </w:pPr>
      <w:r>
        <w:rPr>
          <w:rFonts w:ascii="Arial" w:hAnsi="Arial" w:cs="Arial" w:eastAsia="Arial"/>
          <w:b w:val="0"/>
          <w:i w:val="0"/>
          <w:sz w:val="18"/>
        </w:rPr>
        <w:t xml:space="preserve">•  </w:t>
      </w:r>
      <w:r>
        <w:rPr>
          <w:rFonts w:ascii="Arial" w:hAnsi="Arial" w:cs="Arial" w:eastAsia="Arial"/>
          <w:b w:val="0"/>
          <w:i w:val="0"/>
          <w:sz w:val="18"/>
        </w:rPr>
        <w:t>(b) kısıtsız tek geçişli üretim (alt sınır referansı);</w:t>
      </w:r>
    </w:p>
    <w:p>
      <w:pPr>
        <w:widowControl/>
        <w:spacing w:after="20"/>
        <w:ind w:left="280" w:hanging="180"/>
      </w:pPr>
      <w:r>
        <w:rPr>
          <w:rFonts w:ascii="Arial" w:hAnsi="Arial" w:cs="Arial" w:eastAsia="Arial"/>
          <w:b w:val="0"/>
          <w:i w:val="0"/>
          <w:sz w:val="18"/>
        </w:rPr>
        <w:t xml:space="preserve">•  </w:t>
      </w:r>
      <w:r>
        <w:rPr>
          <w:rFonts w:ascii="Arial" w:hAnsi="Arial" w:cs="Arial" w:eastAsia="Arial"/>
          <w:b w:val="0"/>
          <w:i w:val="0"/>
          <w:sz w:val="18"/>
        </w:rPr>
        <w:t>(b2) literatür tabanı - şemaya bağlı, geri getirmeli, öz-eleştirili tek geçişli üretim [11][12][13];</w:t>
      </w:r>
    </w:p>
    <w:p>
      <w:pPr>
        <w:widowControl/>
        <w:spacing w:after="20"/>
        <w:ind w:left="280" w:hanging="180"/>
      </w:pPr>
      <w:r>
        <w:rPr>
          <w:rFonts w:ascii="Arial" w:hAnsi="Arial" w:cs="Arial" w:eastAsia="Arial"/>
          <w:b w:val="0"/>
          <w:i w:val="0"/>
          <w:sz w:val="18"/>
        </w:rPr>
        <w:t xml:space="preserve">•  </w:t>
      </w:r>
      <w:r>
        <w:rPr>
          <w:rFonts w:ascii="Arial" w:hAnsi="Arial" w:cs="Arial" w:eastAsia="Arial"/>
          <w:b w:val="0"/>
          <w:i w:val="0"/>
          <w:sz w:val="18"/>
        </w:rPr>
        <w:t>(c) kapalı-küme seçici ve kanıt-alıntı kısıtlı hibrit.</w:t>
      </w:r>
    </w:p>
    <w:p>
      <w:pPr>
        <w:widowControl/>
        <w:spacing w:after="40"/>
        <w:jc w:val="both"/>
      </w:pPr>
      <w:r>
        <w:rPr>
          <w:rFonts w:ascii="Arial" w:hAnsi="Arial" w:cs="Arial" w:eastAsia="Arial"/>
          <w:b w:val="0"/>
          <w:i w:val="0"/>
          <w:sz w:val="18"/>
        </w:rPr>
        <w:t>(b2)'nin aslına uygunluğu bağımsız kabul testine bağlıdır: istem şablonları [12] ve [13]'ün kamuya açık referans uygulamalarına çapalanır, farkları ön-kayıt ekindedir; geri getirme ve öz-eleştiri tetiklenme oranı ilan edilen alt sınırın altında kalan koşum b2 sayılmaz.</w:t>
      </w:r>
    </w:p>
    <w:p>
      <w:pPr>
        <w:widowControl/>
        <w:spacing w:after="40"/>
        <w:jc w:val="both"/>
      </w:pPr>
      <w:r>
        <w:rPr>
          <w:rFonts w:ascii="Arial" w:hAnsi="Arial" w:cs="Arial" w:eastAsia="Arial"/>
          <w:b w:val="0"/>
          <w:i w:val="0"/>
          <w:sz w:val="18"/>
        </w:rPr>
        <w:t>H1'in birincil kontrastı (c)-(b2), (b) ise kısıtın toplam etkisidir. Erken bağlanmanın payını ayırmak için türetilmiş bir geç bağlanma koşulu tanımlanır: (b2)'nin saklanan çıktılarına aynı kapalı küme üretim sonrasında deterministik uygulanır (b2-geç); eşleme, ön-kayıt ekindeki en-yakın-eşleşme betiğidir ve (b2) için tanımlanan aslına uygunluk kabul testi (b2-geç)'e de aynen uygulanır. Ek model çağrısı gerektirmez. (c)-(b2-geç) karşıtlığı erken bağlanmanın süzgeçlemenin ötesindeki katkısını ölçer; ön-kayıtta kilitlenir, düzeltmesiz raporlanır ve onaylayıcı ailenin üyesi değildir. Bağımsız değişken 2 karakter düzeyi bozulmadır (temiz / orta / yüksek): aynı 240 belge on iki koşulda işlenir, 240 x 4 x 3 = 2.880 gözlem. Sağlayıcı yalnız model içeren kollara uygulandığından desen kısmen çaprazlanmıştır; blok 80 belgede iki ek sağlayıcıda tekrarlanır (80 x 3 x 3 x 2 = 1.440 ek gözlem). Gözlemlerin 720'si deterministik, 3.600'ü model çağrılıdır; türetilmiş (b2-geç) koşulu bu gövdeye 240 x 3 = 720 deterministik puanlama daha ekler ve ek model çağrısı gerektirmez.</w:t>
      </w:r>
    </w:p>
    <w:p>
      <w:pPr>
        <w:widowControl/>
        <w:spacing w:after="40"/>
        <w:jc w:val="both"/>
      </w:pPr>
      <w:r>
        <w:rPr>
          <w:rFonts w:ascii="Arial" w:hAnsi="Arial" w:cs="Arial" w:eastAsia="Arial"/>
          <w:b w:val="0"/>
          <w:i w:val="0"/>
          <w:sz w:val="18"/>
        </w:rPr>
        <w:t>D2 - Ölçüm geçerliliği: doğrulayıcı, sistemin kararını görmeyen üç bağımsız değerlendiricinin uzman yargısıyla (altın ölçüt [7]) karşılaştırılır. Değerlendirilen birim kişi değil metindeki iddiadır; ölçüt sistemin beyanı olmadığından dairesellik kırılır.</w:t>
      </w:r>
    </w:p>
    <w:p>
      <w:pPr>
        <w:widowControl/>
        <w:spacing w:after="40"/>
        <w:jc w:val="both"/>
      </w:pPr>
      <w:r>
        <w:rPr>
          <w:rFonts w:ascii="Arial" w:hAnsi="Arial" w:cs="Arial" w:eastAsia="Arial"/>
          <w:b w:val="0"/>
          <w:i w:val="0"/>
          <w:sz w:val="18"/>
        </w:rPr>
        <w:t>D3 - Kapı sıkılığının 9 noktalı süpürmesi ve müzakerenin tur ablasyonu (0/1/2/3 tur, üç rol-çıkarma); replikasyon kümesi yalnız son sınamada açılır [10]. Üç deneyin toplam hacmi 6.800 model çağrılı koşumdur; kalemlere ayrımı bütçe gerekçesindedir.</w:t>
      </w:r>
    </w:p>
    <w:p>
      <w:pPr>
        <w:widowControl/>
        <w:spacing w:after="40"/>
        <w:jc w:val="both"/>
      </w:pPr>
      <w:r>
        <w:rPr>
          <w:rFonts w:ascii="Arial" w:hAnsi="Arial" w:cs="Arial" w:eastAsia="Arial"/>
          <w:b w:val="0"/>
          <w:i w:val="0"/>
          <w:sz w:val="18"/>
        </w:rPr>
        <w:t>Kaynak dayanıklılığı: İP2'nin ilk haftasındaki 20 belgelik pilot, belge başına gerçekleşen maliyeti ölçer ve bütçe tavanını sabitler. Tavan aşılırsa azaltma sırası şimdiden ilan edilir: (1) sağlayıcı bloğu üç seviyeden iki seviyeye iner, (2) eşik süpürmesi dokuz noktadan beş noktaya iner, (3) müzakere ablasyonunda tur sayısı dörtten üçe iner. Korunan çekirdek: D1'in 240 x 4 x 3 gövdesi ile D2'nin 300 iddialık kör değerlendirmesi hiçbir koşulda küçültülmez; H1-H5 ve H7 bu iki gövdeye dayanır. Azaltma H5'in eşik süpürmesini seyreltebilir; açık/kapalı birincil kontrastı her koşulda korunur.</w:t>
      </w:r>
    </w:p>
    <w:p>
      <w:pPr>
        <w:keepNext/>
        <w:widowControl/>
        <w:spacing w:before="140" w:after="40"/>
      </w:pPr>
      <w:r>
        <w:rPr>
          <w:rFonts w:ascii="Arial" w:hAnsi="Arial" w:cs="Arial" w:eastAsia="Arial"/>
          <w:b/>
          <w:i w:val="0"/>
          <w:color w:val="1F3864"/>
          <w:sz w:val="18"/>
        </w:rPr>
        <w:t>2.2 VERİ KÜMESİ VE ÖRNEKLEME</w:t>
      </w:r>
    </w:p>
    <w:p>
      <w:pPr>
        <w:widowControl/>
        <w:spacing w:after="40"/>
        <w:jc w:val="both"/>
      </w:pPr>
      <w:r>
        <w:rPr>
          <w:rFonts w:ascii="Arial" w:hAnsi="Arial" w:cs="Arial" w:eastAsia="Arial"/>
          <w:b w:val="0"/>
          <w:i w:val="0"/>
          <w:sz w:val="18"/>
        </w:rPr>
        <w:t>Belge kaynağı üç katmandır ve katmanlar birbirinin yerine kullanılmaz. (1) Ana küme (240 belge) ile replikasyon kümesi (120 belge) tümüyle sentetik ve kurgudur; D1-D3 kapsamındaki ana hipotez sınamaları bu iki kümede yürütülür. H1 ve H5'in genellenebilirliği ayrıca İP5'te 60 belgelik dış geçerlilik kümesinde ön-kayıtlı doğrulayıcı analizle sınanır; H5 iddia düzeyinde ölçüldüğünden 300 iddialık kör değerlendirme kümesinin 60'ı bu belgelerden, 240'ı ana kümeden seçilir. Dış alt kümede H5'in gücü yalnız düşük taban oranlarında yeterlidir ve bulgu bu sınırla raporlanır. (2) OCR kalibrasyon materyali (en az 50 görüntü), metni bilinen sentetik ve kamuya açık belgelerin ekipçe basılıp taranmasıyla üretilir; yer doğrusu metin bu yolla elde edilir; bozma işlecinin çapası, yani karakter hata oranı yalnız bunlarda ölçülür; hiçbir hipotez sınamasına girmezler. (3) Dış geçerlilik kümesi (İP1 ön taraması yeterli belge bulunamadığını gösterirse 40'a inen 60 belge; bu durumda dış alt kümeden gelen iddia payı ana kümeden tamamlanır ve kör değerlendirme 300 iddiada sabit kalır, altın etiketleri kurumun kendi teşkilat şemasına çapalanarak iki bağımsız kaynakta kurulur), kurumların kendi sitelerinde yayımlanmış, kamuya açık ve kişisel veri içermeyen gerçek yazışma örnekleridir; yalnız İP5'teki doğrulayıcı genelleme sınamasında kullanılır, ana analizlere girmez. Üç katmanın hiçbirinde kişisel veri işlenmez (2.8).</w:t>
      </w:r>
    </w:p>
    <w:p>
      <w:pPr>
        <w:widowControl/>
        <w:spacing w:after="40"/>
        <w:jc w:val="both"/>
      </w:pPr>
      <w:r>
        <w:rPr>
          <w:rFonts w:ascii="Arial" w:hAnsi="Arial" w:cs="Arial" w:eastAsia="Arial"/>
          <w:b w:val="0"/>
          <w:i w:val="0"/>
          <w:sz w:val="18"/>
        </w:rPr>
        <w:t>Örnekleme 19 elemanlı kapalı tür kümesinde katmanlıdır; hedef birim kümesi kurumların kendi yayımladığı teşkilat şemalarından türetilir ve aynı anda kilitlenir; küme ekipçe türetilmemiş, resmî yazışma yönetmeliği ve standart dosya planı başlıklarına çapalanmış, belge üretecinden önce kilitlenmiştir. 19 eleman (18 tür + çekimserlik) x 3 zorluk çaprazında hücre başına en az 4 belge, tek/çok konulu oran 3:1, eksik zorunlu alan oranı %40. Ana kümenin %20'si (48 belge) hedef birimi kapalı kümenin dışında kalır ve H7 için ilan edilir. Dış geçerlilik kümesi 12 kurum türüne yayılır. Küme yaygın etki çıktısıdır; en yakın Türkçe çalışma 169 belgede kalmıştır [1][2][6].</w:t>
      </w:r>
    </w:p>
    <w:p>
      <w:pPr>
        <w:widowControl/>
        <w:spacing w:after="40"/>
        <w:jc w:val="both"/>
      </w:pPr>
      <w:r>
        <w:rPr>
          <w:rFonts w:ascii="Arial" w:hAnsi="Arial" w:cs="Arial" w:eastAsia="Arial"/>
          <w:b w:val="0"/>
          <w:i w:val="0"/>
          <w:sz w:val="18"/>
        </w:rPr>
        <w:t>Sızıntı denetimi: 108 belgelik ön çalışma kümesi ile 240 ve 120 belgelik kümeler kimlik düzeyinde ayrıktır; altın etiketleri, sezgisel kuralları yazan kişiden farklı bir üye ayrık sözlükle kurar (gerekçe 2.7'de).</w:t>
      </w:r>
    </w:p>
    <w:p>
      <w:pPr>
        <w:widowControl/>
        <w:spacing w:after="40"/>
        <w:jc w:val="both"/>
      </w:pPr>
      <w:r>
        <w:rPr>
          <w:rFonts w:ascii="Arial" w:hAnsi="Arial" w:cs="Arial" w:eastAsia="Arial"/>
          <w:b w:val="0"/>
          <w:i w:val="0"/>
          <w:sz w:val="18"/>
        </w:rPr>
        <w:t>Etiketleme protokolü: 300 iddia, ekip dışından üç bağımsız değerlendiriciye en az 60 belgeden seçilerek tam çapraz sunulur; haklarında veri toplanmaz. Altın ölçüt, yanlılıkları ölçülmüş model-hakem [14] değil uzman yargısıdır. Kodlama kılavuzu doğrulayıcının kural listesinden bağımsızdır: yalnız yönetmeliğe ve [7]'nin atfedilebilirlik tanımlarına çapalanır, doğrulayıcının eşiği ve kural adı kılavuza girmez; sözlük örtüşmesi İP1'de raporlanır. Her değerlendiricinin kamu yönetimi, hukuk veya belge yönetimi alanında asgari üç yıllık deneyimi yazılı taahhütle belgelenir (ücretli için yüklenici, gönüllü ikisi için danışman); taahhüt sözleşmede kalır, veri kümesine kişisel bilgi girmez.</w:t>
      </w:r>
    </w:p>
    <w:p>
      <w:pPr>
        <w:keepNext/>
        <w:widowControl/>
        <w:spacing w:before="140" w:after="40"/>
      </w:pPr>
      <w:r>
        <w:rPr>
          <w:rFonts w:ascii="Arial" w:hAnsi="Arial" w:cs="Arial" w:eastAsia="Arial"/>
          <w:b/>
          <w:i w:val="0"/>
          <w:color w:val="1F3864"/>
          <w:sz w:val="18"/>
        </w:rPr>
        <w:t>2.3 DEĞİŞKENLER</w:t>
      </w:r>
    </w:p>
    <w:p>
      <w:pPr>
        <w:widowControl/>
        <w:spacing w:after="40"/>
      </w:pPr>
      <w:r>
        <w:rPr>
          <w:rFonts w:ascii="Arial" w:hAnsi="Arial" w:cs="Arial" w:eastAsia="Arial"/>
          <w:b w:val="0"/>
          <w:i w:val="0"/>
          <w:sz w:val="18"/>
        </w:rPr>
        <w:t>Bağımsız (manipüle edilen):</w:t>
      </w:r>
    </w:p>
    <w:p>
      <w:pPr>
        <w:widowControl/>
        <w:spacing w:after="20"/>
        <w:ind w:left="360" w:hanging="360"/>
      </w:pPr>
      <w:r>
        <w:rPr>
          <w:rFonts w:ascii="Arial" w:hAnsi="Arial" w:cs="Arial" w:eastAsia="Arial"/>
          <w:b/>
          <w:i w:val="0"/>
          <w:sz w:val="18"/>
        </w:rPr>
        <w:t xml:space="preserve">(1) </w:t>
      </w:r>
      <w:r>
        <w:rPr>
          <w:rFonts w:ascii="Arial" w:hAnsi="Arial" w:cs="Arial" w:eastAsia="Arial"/>
          <w:b w:val="0"/>
          <w:i w:val="0"/>
          <w:sz w:val="18"/>
        </w:rPr>
        <w:t>Karar kaynağı mimarisi - 4 seviye, 2.1'deki (a), (b), (b2), (c) kolları; sınıflayıcı.</w:t>
      </w:r>
    </w:p>
    <w:p>
      <w:pPr>
        <w:widowControl/>
        <w:spacing w:after="20"/>
        <w:ind w:left="360" w:hanging="360"/>
        <w:jc w:val="both"/>
      </w:pPr>
      <w:r>
        <w:rPr>
          <w:rFonts w:ascii="Arial" w:hAnsi="Arial" w:cs="Arial" w:eastAsia="Arial"/>
          <w:b/>
          <w:i w:val="0"/>
          <w:sz w:val="18"/>
        </w:rPr>
        <w:t xml:space="preserve">(2) </w:t>
      </w:r>
      <w:r>
        <w:rPr>
          <w:rFonts w:ascii="Arial" w:hAnsi="Arial" w:cs="Arial" w:eastAsia="Arial"/>
          <w:b w:val="0"/>
          <w:i w:val="0"/>
          <w:sz w:val="18"/>
        </w:rPr>
        <w:t>Girdi bozulma düzeyi - 3 seviye, sıralı; en yüksek seviye İP1'de en az 50 görüntüde ölçülecek ortalama karakter hata oranına ve %95 aralığına çapalanır (0,1123 üç belgeden geldiği için kilitlenmemiştir).</w:t>
      </w:r>
    </w:p>
    <w:p>
      <w:pPr>
        <w:widowControl/>
        <w:spacing w:after="20"/>
        <w:ind w:left="360" w:hanging="360"/>
      </w:pPr>
      <w:r>
        <w:rPr>
          <w:rFonts w:ascii="Arial" w:hAnsi="Arial" w:cs="Arial" w:eastAsia="Arial"/>
          <w:b/>
          <w:i w:val="0"/>
          <w:sz w:val="18"/>
        </w:rPr>
        <w:t xml:space="preserve">(3) </w:t>
      </w:r>
      <w:r>
        <w:rPr>
          <w:rFonts w:ascii="Arial" w:hAnsi="Arial" w:cs="Arial" w:eastAsia="Arial"/>
          <w:b w:val="0"/>
          <w:i w:val="0"/>
          <w:sz w:val="18"/>
        </w:rPr>
        <w:t>Kaynak-dayanak doğrulama kapısı - açık/kapalı, ayrıca 9 noktalı sıkılık eşiği.</w:t>
      </w:r>
    </w:p>
    <w:p>
      <w:pPr>
        <w:widowControl/>
        <w:spacing w:after="20"/>
        <w:ind w:left="360" w:hanging="360"/>
      </w:pPr>
      <w:r>
        <w:rPr>
          <w:rFonts w:ascii="Arial" w:hAnsi="Arial" w:cs="Arial" w:eastAsia="Arial"/>
          <w:b/>
          <w:i w:val="0"/>
          <w:sz w:val="18"/>
        </w:rPr>
        <w:t xml:space="preserve">(4) </w:t>
      </w:r>
      <w:r>
        <w:rPr>
          <w:rFonts w:ascii="Arial" w:hAnsi="Arial" w:cs="Arial" w:eastAsia="Arial"/>
          <w:b w:val="0"/>
          <w:i w:val="0"/>
          <w:sz w:val="18"/>
        </w:rPr>
        <w:t>Müzakere yoğunluğu - tur sayısı 4 seviye (0-3), rol kümesi 4 seviye (tam kadro + üç rol-çıkarma).</w:t>
      </w:r>
    </w:p>
    <w:p>
      <w:pPr>
        <w:widowControl/>
        <w:spacing w:after="20"/>
        <w:ind w:left="360" w:hanging="360"/>
        <w:jc w:val="both"/>
      </w:pPr>
      <w:r>
        <w:rPr>
          <w:rFonts w:ascii="Arial" w:hAnsi="Arial" w:cs="Arial" w:eastAsia="Arial"/>
          <w:b/>
          <w:i w:val="0"/>
          <w:sz w:val="18"/>
        </w:rPr>
        <w:t xml:space="preserve">(5) </w:t>
      </w:r>
      <w:r>
        <w:rPr>
          <w:rFonts w:ascii="Arial" w:hAnsi="Arial" w:cs="Arial" w:eastAsia="Arial"/>
          <w:b w:val="0"/>
          <w:i w:val="0"/>
          <w:sz w:val="18"/>
        </w:rPr>
        <w:t>Model sağlayıcı - 3 seviye, blok değişkeni; biri 7-14 milyar parametre bandında yerel açık ağırlıklı modeldir; bu seviyede kısıtsız kolun geçersiz çıktı oranı %20'yi aşarsa seviye tasarımdan çıkarılır.</w:t>
      </w:r>
    </w:p>
    <w:p>
      <w:pPr>
        <w:widowControl/>
        <w:spacing w:after="40"/>
        <w:jc w:val="both"/>
      </w:pPr>
      <w:r>
        <w:rPr>
          <w:rFonts w:ascii="Arial" w:hAnsi="Arial" w:cs="Arial" w:eastAsia="Arial"/>
          <w:b w:val="0"/>
          <w:i w:val="0"/>
          <w:sz w:val="18"/>
        </w:rPr>
        <w:t>Bağımlı (ölçülen) - ön-kayıtta on değişken olarak kilitlenir: (1) tür sınıflandırma başarımı; (2) hedef birim ilk-sıra isabeti; (3) eksik zorunlu alan tespiti; (4) iddia düzeyi dayanaksızlık oranı; (5) yanlış-veto oranı; (6) doğrulayıcı-kör uzman uyumu; (7) gecikme (p50, p95); (8) belge başına maliyet; (9) geçersiz çıktı oranı; (10) müzakerede belge başına açık bulgu sayısı - süreç ölçüsüdür; açık bulgu, revizyon sonrası yeniden ölçümde direnen ya da yeni doğan bulgudur (2.4); H6'nın birincil sonuç ölçüsüdür. Tamamı otomatik defterlenir; (1)-(4) ve (10) birincil, (5)-(9) ikincildir.</w:t>
      </w:r>
    </w:p>
    <w:p>
      <w:pPr>
        <w:widowControl/>
        <w:spacing w:after="40"/>
        <w:jc w:val="both"/>
      </w:pPr>
      <w:r>
        <w:rPr>
          <w:rFonts w:ascii="Arial" w:hAnsi="Arial" w:cs="Arial" w:eastAsia="Arial"/>
          <w:b w:val="0"/>
          <w:i w:val="0"/>
          <w:sz w:val="18"/>
        </w:rPr>
        <w:t>Kontrol: Sabit tutulan istem ve şema değil, görev tanımı ile bilgi erişimidir; dört kol aynı yönerge, belge, erişim çıktısı, jeton bütçesi ve tohumla koşar, yalnız kısıt düzeyi değişir. İstemler ön-kayıt ekindedir; sözcük farkı %10'u aşmaz.</w:t>
      </w:r>
    </w:p>
    <w:p>
      <w:pPr>
        <w:widowControl/>
        <w:spacing w:after="40"/>
        <w:jc w:val="both"/>
      </w:pPr>
      <w:r>
        <w:rPr>
          <w:rFonts w:ascii="Arial" w:hAnsi="Arial" w:cs="Arial" w:eastAsia="Arial"/>
          <w:b w:val="0"/>
          <w:i w:val="0"/>
          <w:sz w:val="18"/>
        </w:rPr>
        <w:t>Geçersiz çıktı: Ayrıştırılamayan veya kapalı küme dışı çıktı birincil analizlerde yanlış kodlanır (niyet-tedavi ilkesi), oranı ikincildir. Model hatası ve zaman aşımı geçersiz sayılır; değerlendirici eksiği doldurulmadan eksik veri olarak raporlanır. H4 sistemin çıkardığı iddialara koşulludur: hiç çıkarılmamış dayanaksız iddia ölçüm alanının dışındadır ve bu, geçerlilik sınırı olarak beyan edilir.</w:t>
      </w:r>
    </w:p>
    <w:p>
      <w:pPr>
        <w:keepNext/>
        <w:widowControl/>
        <w:spacing w:before="140" w:after="40"/>
      </w:pPr>
      <w:r>
        <w:rPr>
          <w:rFonts w:ascii="Arial" w:hAnsi="Arial" w:cs="Arial" w:eastAsia="Arial"/>
          <w:b/>
          <w:i w:val="0"/>
          <w:color w:val="1F3864"/>
          <w:sz w:val="18"/>
        </w:rPr>
        <w:t>2.4 UYGULANACAK YÖNTEM VE TEKNİKLER</w:t>
      </w:r>
    </w:p>
    <w:p>
      <w:pPr>
        <w:widowControl/>
        <w:spacing w:after="40"/>
        <w:jc w:val="both"/>
      </w:pPr>
      <w:r>
        <w:rPr>
          <w:rFonts w:ascii="Arial" w:hAnsi="Arial" w:cs="Arial" w:eastAsia="Arial"/>
          <w:b w:val="0"/>
          <w:i w:val="0"/>
          <w:sz w:val="18"/>
        </w:rPr>
        <w:t>Çekirdek çok-ajanlı bir yürütme grafıdır; çok-ajanlı düzenleme olgusal doğruluğu artırır [15] ama orada ölçüm birimi nihai cevaptır. Asıl soru eleştirilerin revizyondan sonra kapanmasıdır: motor revize metni yeniden ölçer, bulguları kapanan / direnen / yeni doğan olarak defterler (D3). Her düğümün deterministik yedeği vardır. Türkçenin sondan eklemeli yapısı [3] ve alanın zorlukları [4] dile özgü kırılma noktalarını ayrı ölçütlere bağlar; alan-uyarlaması hukukta yoğunlaşmakta [5], idari yazışma kapsam dışı kalmaktadır.</w:t>
      </w:r>
    </w:p>
    <w:p>
      <w:pPr>
        <w:widowControl/>
        <w:spacing w:after="40"/>
        <w:jc w:val="both"/>
      </w:pPr>
      <w:r>
        <w:rPr>
          <w:rFonts w:ascii="Arial" w:hAnsi="Arial" w:cs="Arial" w:eastAsia="Arial"/>
          <w:b w:val="0"/>
          <w:i w:val="0"/>
          <w:sz w:val="18"/>
        </w:rPr>
        <w:t>Mevzuat erişimine geri getirmeli üretimin [11] düzeltmeli [13] ve uyarlanabilir [12] katmanları biner; dayanaklılık mimari bir kısıttır. Öz-doğrulama uydurmayı azaltır [8], geri getirme tek başına hukukta uydurmayı kaldırmaz [9][10]. Kamu yönetimi alanyazını insan gözetimini normatif savunmakta [16][17], gözetimin ön koşulu olan denetlenebilir çıktının geçerliliğini kör uzman ölçütüne karşı sınamamaktadır; D2 bu boşluğu hedefler.</w:t>
      </w:r>
    </w:p>
    <w:p>
      <w:pPr>
        <w:keepNext/>
        <w:widowControl/>
        <w:spacing w:before="140" w:after="40"/>
      </w:pPr>
      <w:r>
        <w:rPr>
          <w:rFonts w:ascii="Arial" w:hAnsi="Arial" w:cs="Arial" w:eastAsia="Arial"/>
          <w:b/>
          <w:i w:val="0"/>
          <w:color w:val="1F3864"/>
          <w:sz w:val="18"/>
        </w:rPr>
        <w:t>2.5 DEĞERLENDİRME ÖLÇÜTLERİ</w:t>
      </w:r>
    </w:p>
    <w:p>
      <w:pPr>
        <w:widowControl/>
        <w:spacing w:after="40"/>
        <w:jc w:val="both"/>
      </w:pPr>
      <w:r>
        <w:rPr>
          <w:rFonts w:ascii="Arial" w:hAnsi="Arial" w:cs="Arial" w:eastAsia="Arial"/>
          <w:b w:val="0"/>
          <w:i w:val="0"/>
          <w:sz w:val="18"/>
        </w:rPr>
        <w:t>Ölçüt eşlemesi: tür sınıflandırma - makro-F1; eksik alan - F_beta (beta = 2, ön-kayıtta gerekçelendirilir), kesinlik, geri çağırma; birim yönlendirme - ilk-sıra, ilk-üç, MRR; bozulma - Levenshtein CER ve WER; ayırt edicilik - ROC altındaki alan. Oranlar Wilson %95 aralığıyla verilir.</w:t>
      </w:r>
    </w:p>
    <w:p>
      <w:pPr>
        <w:widowControl/>
        <w:spacing w:after="40"/>
        <w:jc w:val="both"/>
      </w:pPr>
      <w:r>
        <w:rPr>
          <w:rFonts w:ascii="Arial" w:hAnsi="Arial" w:cs="Arial" w:eastAsia="Arial"/>
          <w:b w:val="0"/>
          <w:i w:val="0"/>
          <w:sz w:val="18"/>
        </w:rPr>
        <w:t>Değerlendirici uyumu: Cohen kappa yalnız ikili karşılaştırmada raporlanır, üç değerlendiricili ana çözümleme Krippendorff alfa iledir.</w:t>
      </w:r>
    </w:p>
    <w:p>
      <w:pPr>
        <w:widowControl/>
        <w:spacing w:after="40"/>
        <w:jc w:val="both"/>
      </w:pPr>
      <w:r>
        <w:rPr>
          <w:rFonts w:ascii="Arial" w:hAnsi="Arial" w:cs="Arial" w:eastAsia="Arial"/>
          <w:b w:val="0"/>
          <w:i w:val="0"/>
          <w:sz w:val="18"/>
        </w:rPr>
        <w:t>Zayıflatma tavanı: Krippendorff alfanın kümelenmiş önyükleme %95 alt sınırı 0,67'yi aşmazsa H4 "kararsız" ilan edilir ve ikincil çıkarımlar geri çekilir; birincil ölçüt, normalize uyum oranının %95 alt sınırının 0,75'i aşmasıdır. Aralıklar belge düzeyinde kümelenmiş önyüklemeyle (2.000 tekrar) hesaplanır, etkin örneklem DEFF = 1 + (m - 1) x ICC ile düzeltilir (ICC İP1'de kestirilecek; ICC = 0,20 ve m = 5 için DEFF = 1,8).</w:t>
      </w:r>
    </w:p>
    <w:p>
      <w:pPr>
        <w:keepNext/>
        <w:widowControl/>
        <w:spacing w:before="140" w:after="40"/>
      </w:pPr>
      <w:r>
        <w:rPr>
          <w:rFonts w:ascii="Arial" w:hAnsi="Arial" w:cs="Arial" w:eastAsia="Arial"/>
          <w:b/>
          <w:i w:val="0"/>
          <w:color w:val="1F3864"/>
          <w:sz w:val="18"/>
        </w:rPr>
        <w:t>2.6 İSTATİSTİKSEL ANALİZ</w:t>
      </w:r>
    </w:p>
    <w:p>
      <w:pPr>
        <w:keepNext/>
        <w:widowControl/>
        <w:spacing w:before="140" w:after="40"/>
      </w:pPr>
      <w:r>
        <w:rPr>
          <w:rFonts w:ascii="Arial" w:hAnsi="Arial" w:cs="Arial" w:eastAsia="Arial"/>
          <w:b/>
          <w:i w:val="0"/>
          <w:color w:val="1F3864"/>
          <w:sz w:val="18"/>
        </w:rPr>
        <w:t>BİRİNCİL ANALİZLER</w:t>
      </w:r>
    </w:p>
    <w:p>
      <w:pPr>
        <w:widowControl/>
        <w:spacing w:after="40"/>
      </w:pPr>
      <w:r>
        <w:rPr>
          <w:rFonts w:ascii="Arial" w:hAnsi="Arial" w:cs="Arial" w:eastAsia="Arial"/>
          <w:b w:val="0"/>
          <w:i w:val="0"/>
          <w:sz w:val="18"/>
        </w:rPr>
        <w:t>Her hipotez tek birincil test ve tek karar kuralıyla sınanır; tablo bu eşlemenin tamamıdır.</w:t>
      </w:r>
    </w:p>
    <w:p>
      <w:pPr>
        <w:keepNext/>
        <w:widowControl/>
        <w:spacing w:before="140" w:after="40"/>
      </w:pPr>
      <w:r>
        <w:rPr>
          <w:rFonts w:ascii="Arial" w:hAnsi="Arial" w:cs="Arial" w:eastAsia="Arial"/>
          <w:b/>
          <w:i w:val="0"/>
          <w:color w:val="1F3864"/>
          <w:sz w:val="18"/>
        </w:rPr>
        <w:t>HİPOTEZ-TEST EŞLEME TABLOSU</w:t>
      </w:r>
    </w:p>
    <w:tbl>
      <w:tblPr>
        <w:tblW w:type="auto" w:w="0"/>
        <w:jc w:val="left"/>
        <w:tblLayout w:type="fixed"/>
        <w:tblLook w:firstColumn="1" w:firstRow="1" w:lastColumn="0" w:lastRow="0" w:noHBand="0" w:noVBand="1" w:val="04A0"/>
      </w:tblPr>
      <w:tblGrid>
        <w:gridCol w:w="1512"/>
        <w:gridCol w:w="1512"/>
        <w:gridCol w:w="1512"/>
        <w:gridCol w:w="1512"/>
        <w:gridCol w:w="1512"/>
        <w:gridCol w:w="1512"/>
      </w:tblGrid>
      <w:tr>
        <w:trPr>
          <w:cantSplit/>
        </w:trPr>
        <w:tc>
          <w:tcPr>
            <w:tcW w:type="dxa" w:w="621"/>
            <w:tcBorders>
              <w:top w:val="single" w:sz="4" w:color="8EA9DB"/>
              <w:left w:val="single" w:sz="4" w:color="8EA9DB"/>
              <w:bottom w:val="single" w:sz="4" w:color="8EA9DB"/>
              <w:right w:val="single" w:sz="4" w:color="8EA9DB"/>
            </w:tcBorders>
            <w:tcMar>
              <w:top w:w="30" w:type="dxa"/>
              <w:bottom w:w="30" w:type="dxa"/>
              <w:start w:w="70" w:type="dxa"/>
              <w:end w:w="70" w:type="dxa"/>
            </w:tcMar>
            <w:shd w:val="clear" w:color="auto" w:fill="1F3864"/>
          </w:tcPr>
          <w:p>
            <w:pPr>
              <w:widowControl/>
              <w:spacing w:after="20" w:before="20"/>
            </w:pPr>
            <w:r>
              <w:rPr>
                <w:rFonts w:ascii="Arial" w:hAnsi="Arial" w:cs="Arial" w:eastAsia="Arial"/>
                <w:b/>
                <w:i w:val="0"/>
                <w:color w:val="FFFFFF"/>
                <w:sz w:val="18"/>
              </w:rPr>
              <w:t>Hipotez</w:t>
            </w:r>
          </w:p>
        </w:tc>
        <w:tc>
          <w:tcPr>
            <w:tcW w:type="dxa" w:w="621"/>
            <w:tcBorders>
              <w:top w:val="single" w:sz="4" w:color="8EA9DB"/>
              <w:left w:val="single" w:sz="4" w:color="8EA9DB"/>
              <w:bottom w:val="single" w:sz="4" w:color="8EA9DB"/>
              <w:right w:val="single" w:sz="4" w:color="8EA9DB"/>
            </w:tcBorders>
            <w:tcMar>
              <w:top w:w="30" w:type="dxa"/>
              <w:bottom w:w="30" w:type="dxa"/>
              <w:start w:w="70" w:type="dxa"/>
              <w:end w:w="70" w:type="dxa"/>
            </w:tcMar>
            <w:shd w:val="clear" w:color="auto" w:fill="1F3864"/>
          </w:tcPr>
          <w:p>
            <w:pPr>
              <w:widowControl/>
              <w:spacing w:after="20" w:before="20"/>
            </w:pPr>
            <w:r>
              <w:rPr>
                <w:rFonts w:ascii="Arial" w:hAnsi="Arial" w:cs="Arial" w:eastAsia="Arial"/>
                <w:b/>
                <w:i w:val="0"/>
                <w:color w:val="FFFFFF"/>
                <w:sz w:val="18"/>
              </w:rPr>
              <w:t>Deney</w:t>
            </w:r>
          </w:p>
        </w:tc>
        <w:tc>
          <w:tcPr>
            <w:tcW w:type="dxa" w:w="1648"/>
            <w:tcBorders>
              <w:top w:val="single" w:sz="4" w:color="8EA9DB"/>
              <w:left w:val="single" w:sz="4" w:color="8EA9DB"/>
              <w:bottom w:val="single" w:sz="4" w:color="8EA9DB"/>
              <w:right w:val="single" w:sz="4" w:color="8EA9DB"/>
            </w:tcBorders>
            <w:tcMar>
              <w:top w:w="30" w:type="dxa"/>
              <w:bottom w:w="30" w:type="dxa"/>
              <w:start w:w="70" w:type="dxa"/>
              <w:end w:w="70" w:type="dxa"/>
            </w:tcMar>
            <w:shd w:val="clear" w:color="auto" w:fill="1F3864"/>
          </w:tcPr>
          <w:p>
            <w:pPr>
              <w:widowControl/>
              <w:spacing w:after="20" w:before="20"/>
            </w:pPr>
            <w:r>
              <w:rPr>
                <w:rFonts w:ascii="Arial" w:hAnsi="Arial" w:cs="Arial" w:eastAsia="Arial"/>
                <w:b/>
                <w:i w:val="0"/>
                <w:color w:val="FFFFFF"/>
                <w:sz w:val="18"/>
              </w:rPr>
              <w:t>Bağımsız değişken (seviye)</w:t>
            </w:r>
          </w:p>
        </w:tc>
        <w:tc>
          <w:tcPr>
            <w:tcW w:type="dxa" w:w="1648"/>
            <w:tcBorders>
              <w:top w:val="single" w:sz="4" w:color="8EA9DB"/>
              <w:left w:val="single" w:sz="4" w:color="8EA9DB"/>
              <w:bottom w:val="single" w:sz="4" w:color="8EA9DB"/>
              <w:right w:val="single" w:sz="4" w:color="8EA9DB"/>
            </w:tcBorders>
            <w:tcMar>
              <w:top w:w="30" w:type="dxa"/>
              <w:bottom w:w="30" w:type="dxa"/>
              <w:start w:w="70" w:type="dxa"/>
              <w:end w:w="70" w:type="dxa"/>
            </w:tcMar>
            <w:shd w:val="clear" w:color="auto" w:fill="1F3864"/>
          </w:tcPr>
          <w:p>
            <w:pPr>
              <w:widowControl/>
              <w:spacing w:after="20" w:before="20"/>
            </w:pPr>
            <w:r>
              <w:rPr>
                <w:rFonts w:ascii="Arial" w:hAnsi="Arial" w:cs="Arial" w:eastAsia="Arial"/>
                <w:b/>
                <w:i w:val="0"/>
                <w:color w:val="FFFFFF"/>
                <w:sz w:val="18"/>
              </w:rPr>
              <w:t>Birincil bağımlı değişken</w:t>
            </w:r>
          </w:p>
        </w:tc>
        <w:tc>
          <w:tcPr>
            <w:tcW w:type="dxa" w:w="4140"/>
            <w:tcBorders>
              <w:top w:val="single" w:sz="4" w:color="8EA9DB"/>
              <w:left w:val="single" w:sz="4" w:color="8EA9DB"/>
              <w:bottom w:val="single" w:sz="4" w:color="8EA9DB"/>
              <w:right w:val="single" w:sz="4" w:color="8EA9DB"/>
            </w:tcBorders>
            <w:tcMar>
              <w:top w:w="30" w:type="dxa"/>
              <w:bottom w:w="30" w:type="dxa"/>
              <w:start w:w="70" w:type="dxa"/>
              <w:end w:w="70" w:type="dxa"/>
            </w:tcMar>
            <w:shd w:val="clear" w:color="auto" w:fill="1F3864"/>
          </w:tcPr>
          <w:p>
            <w:pPr>
              <w:widowControl/>
              <w:spacing w:after="20" w:before="20"/>
            </w:pPr>
            <w:r>
              <w:rPr>
                <w:rFonts w:ascii="Arial" w:hAnsi="Arial" w:cs="Arial" w:eastAsia="Arial"/>
                <w:b/>
                <w:i w:val="0"/>
                <w:color w:val="FFFFFF"/>
                <w:sz w:val="18"/>
              </w:rPr>
              <w:t>Test ve karar kuralı</w:t>
            </w:r>
          </w:p>
        </w:tc>
        <w:tc>
          <w:tcPr>
            <w:tcW w:type="dxa" w:w="621"/>
            <w:tcBorders>
              <w:top w:val="single" w:sz="4" w:color="8EA9DB"/>
              <w:left w:val="single" w:sz="4" w:color="8EA9DB"/>
              <w:bottom w:val="single" w:sz="4" w:color="8EA9DB"/>
              <w:right w:val="single" w:sz="4" w:color="8EA9DB"/>
            </w:tcBorders>
            <w:tcMar>
              <w:top w:w="30" w:type="dxa"/>
              <w:bottom w:w="30" w:type="dxa"/>
              <w:start w:w="70" w:type="dxa"/>
              <w:end w:w="70" w:type="dxa"/>
            </w:tcMar>
            <w:shd w:val="clear" w:color="auto" w:fill="1F3864"/>
          </w:tcPr>
          <w:p>
            <w:pPr>
              <w:widowControl/>
              <w:spacing w:after="20" w:before="20"/>
            </w:pPr>
            <w:r>
              <w:rPr>
                <w:rFonts w:ascii="Arial" w:hAnsi="Arial" w:cs="Arial" w:eastAsia="Arial"/>
                <w:b/>
                <w:i w:val="0"/>
                <w:color w:val="FFFFFF"/>
                <w:sz w:val="18"/>
              </w:rPr>
              <w:t>İP</w:t>
            </w:r>
          </w:p>
        </w:tc>
      </w:tr>
      <w:tr>
        <w:trPr>
          <w:cantSplit/>
        </w:trPr>
        <w:tc>
          <w:tcPr>
            <w:tcW w:type="dxa" w:w="621"/>
            <w:tcBorders>
              <w:top w:val="single" w:sz="4" w:color="8EA9DB"/>
              <w:left w:val="single" w:sz="4" w:color="8EA9DB"/>
              <w:bottom w:val="single" w:sz="4" w:color="8EA9DB"/>
              <w:right w:val="single" w:sz="4" w:color="8EA9DB"/>
            </w:tcBorders>
            <w:tcMar>
              <w:top w:w="30" w:type="dxa"/>
              <w:bottom w:w="30" w:type="dxa"/>
              <w:start w:w="70" w:type="dxa"/>
              <w:end w:w="70" w:type="dxa"/>
            </w:tcMar>
          </w:tcPr>
          <w:p>
            <w:pPr>
              <w:widowControl/>
              <w:spacing w:after="20" w:before="20"/>
            </w:pPr>
            <w:r>
              <w:rPr>
                <w:rFonts w:ascii="Arial" w:hAnsi="Arial" w:cs="Arial" w:eastAsia="Arial"/>
                <w:b/>
                <w:i w:val="0"/>
                <w:color w:val="1F3864"/>
                <w:sz w:val="18"/>
              </w:rPr>
              <w:t>H1</w:t>
            </w:r>
          </w:p>
        </w:tc>
        <w:tc>
          <w:tcPr>
            <w:tcW w:type="dxa" w:w="621"/>
            <w:tcBorders>
              <w:top w:val="single" w:sz="4" w:color="8EA9DB"/>
              <w:left w:val="single" w:sz="4" w:color="8EA9DB"/>
              <w:bottom w:val="single" w:sz="4" w:color="8EA9DB"/>
              <w:right w:val="single" w:sz="4" w:color="8EA9DB"/>
            </w:tcBorders>
            <w:tcMar>
              <w:top w:w="30" w:type="dxa"/>
              <w:bottom w:w="30" w:type="dxa"/>
              <w:start w:w="70" w:type="dxa"/>
              <w:end w:w="70" w:type="dxa"/>
            </w:tcMar>
          </w:tcPr>
          <w:p>
            <w:pPr>
              <w:widowControl/>
              <w:spacing w:after="20" w:before="20"/>
            </w:pPr>
            <w:r>
              <w:rPr>
                <w:rFonts w:ascii="Arial" w:hAnsi="Arial" w:cs="Arial" w:eastAsia="Arial"/>
                <w:b w:val="0"/>
                <w:i w:val="0"/>
                <w:color w:val="111111"/>
                <w:sz w:val="18"/>
              </w:rPr>
              <w:t>D1</w:t>
            </w:r>
          </w:p>
        </w:tc>
        <w:tc>
          <w:tcPr>
            <w:tcW w:type="dxa" w:w="1648"/>
            <w:tcBorders>
              <w:top w:val="single" w:sz="4" w:color="8EA9DB"/>
              <w:left w:val="single" w:sz="4" w:color="8EA9DB"/>
              <w:bottom w:val="single" w:sz="4" w:color="8EA9DB"/>
              <w:right w:val="single" w:sz="4" w:color="8EA9DB"/>
            </w:tcBorders>
            <w:tcMar>
              <w:top w:w="30" w:type="dxa"/>
              <w:bottom w:w="30" w:type="dxa"/>
              <w:start w:w="70" w:type="dxa"/>
              <w:end w:w="70" w:type="dxa"/>
            </w:tcMar>
          </w:tcPr>
          <w:p>
            <w:pPr>
              <w:widowControl/>
              <w:spacing w:after="20" w:before="20"/>
            </w:pPr>
            <w:r>
              <w:rPr>
                <w:rFonts w:ascii="Arial" w:hAnsi="Arial" w:cs="Arial" w:eastAsia="Arial"/>
                <w:b w:val="0"/>
                <w:i w:val="0"/>
                <w:color w:val="111111"/>
                <w:sz w:val="18"/>
              </w:rPr>
              <w:t>Mimari (4)</w:t>
            </w:r>
          </w:p>
        </w:tc>
        <w:tc>
          <w:tcPr>
            <w:tcW w:type="dxa" w:w="1648"/>
            <w:tcBorders>
              <w:top w:val="single" w:sz="4" w:color="8EA9DB"/>
              <w:left w:val="single" w:sz="4" w:color="8EA9DB"/>
              <w:bottom w:val="single" w:sz="4" w:color="8EA9DB"/>
              <w:right w:val="single" w:sz="4" w:color="8EA9DB"/>
            </w:tcBorders>
            <w:tcMar>
              <w:top w:w="30" w:type="dxa"/>
              <w:bottom w:w="30" w:type="dxa"/>
              <w:start w:w="70" w:type="dxa"/>
              <w:end w:w="70" w:type="dxa"/>
            </w:tcMar>
          </w:tcPr>
          <w:p>
            <w:pPr>
              <w:widowControl/>
              <w:spacing w:after="20" w:before="20"/>
            </w:pPr>
            <w:r>
              <w:rPr>
                <w:rFonts w:ascii="Arial" w:hAnsi="Arial" w:cs="Arial" w:eastAsia="Arial"/>
                <w:b w:val="0"/>
                <w:i w:val="0"/>
                <w:color w:val="111111"/>
                <w:sz w:val="18"/>
              </w:rPr>
              <w:t>Tür / birim / eksik alan</w:t>
            </w:r>
          </w:p>
        </w:tc>
        <w:tc>
          <w:tcPr>
            <w:tcW w:type="dxa" w:w="4140"/>
            <w:tcBorders>
              <w:top w:val="single" w:sz="4" w:color="8EA9DB"/>
              <w:left w:val="single" w:sz="4" w:color="8EA9DB"/>
              <w:bottom w:val="single" w:sz="4" w:color="8EA9DB"/>
              <w:right w:val="single" w:sz="4" w:color="8EA9DB"/>
            </w:tcBorders>
            <w:tcMar>
              <w:top w:w="30" w:type="dxa"/>
              <w:bottom w:w="30" w:type="dxa"/>
              <w:start w:w="70" w:type="dxa"/>
              <w:end w:w="70" w:type="dxa"/>
            </w:tcMar>
          </w:tcPr>
          <w:p>
            <w:pPr>
              <w:widowControl/>
              <w:spacing w:after="20" w:before="20"/>
            </w:pPr>
            <w:r>
              <w:rPr>
                <w:rFonts w:ascii="Arial" w:hAnsi="Arial" w:cs="Arial" w:eastAsia="Arial"/>
                <w:b w:val="0"/>
                <w:i w:val="0"/>
                <w:color w:val="111111"/>
                <w:sz w:val="18"/>
              </w:rPr>
              <w:t>Kesin McNemar; Holm, kapı 1</w:t>
            </w:r>
          </w:p>
        </w:tc>
        <w:tc>
          <w:tcPr>
            <w:tcW w:type="dxa" w:w="621"/>
            <w:tcBorders>
              <w:top w:val="single" w:sz="4" w:color="8EA9DB"/>
              <w:left w:val="single" w:sz="4" w:color="8EA9DB"/>
              <w:bottom w:val="single" w:sz="4" w:color="8EA9DB"/>
              <w:right w:val="single" w:sz="4" w:color="8EA9DB"/>
            </w:tcBorders>
            <w:tcMar>
              <w:top w:w="30" w:type="dxa"/>
              <w:bottom w:w="30" w:type="dxa"/>
              <w:start w:w="70" w:type="dxa"/>
              <w:end w:w="70" w:type="dxa"/>
            </w:tcMar>
          </w:tcPr>
          <w:p>
            <w:pPr>
              <w:widowControl/>
              <w:spacing w:after="20" w:before="20"/>
            </w:pPr>
            <w:r>
              <w:rPr>
                <w:rFonts w:ascii="Arial" w:hAnsi="Arial" w:cs="Arial" w:eastAsia="Arial"/>
                <w:b w:val="0"/>
                <w:i w:val="0"/>
                <w:color w:val="111111"/>
                <w:sz w:val="18"/>
              </w:rPr>
              <w:t>İP2</w:t>
            </w:r>
          </w:p>
        </w:tc>
      </w:tr>
      <w:tr>
        <w:trPr>
          <w:cantSplit/>
        </w:trPr>
        <w:tc>
          <w:tcPr>
            <w:tcW w:type="dxa" w:w="621"/>
            <w:tcBorders>
              <w:top w:val="single" w:sz="4" w:color="8EA9DB"/>
              <w:left w:val="single" w:sz="4" w:color="8EA9DB"/>
              <w:bottom w:val="single" w:sz="4" w:color="8EA9DB"/>
              <w:right w:val="single" w:sz="4" w:color="8EA9DB"/>
            </w:tcBorders>
            <w:tcMar>
              <w:top w:w="30" w:type="dxa"/>
              <w:bottom w:w="30" w:type="dxa"/>
              <w:start w:w="70" w:type="dxa"/>
              <w:end w:w="70" w:type="dxa"/>
            </w:tcMar>
            <w:shd w:val="clear" w:color="auto" w:fill="EEF2F8"/>
          </w:tcPr>
          <w:p>
            <w:pPr>
              <w:widowControl/>
              <w:spacing w:after="20" w:before="20"/>
            </w:pPr>
            <w:r>
              <w:rPr>
                <w:rFonts w:ascii="Arial" w:hAnsi="Arial" w:cs="Arial" w:eastAsia="Arial"/>
                <w:b/>
                <w:i w:val="0"/>
                <w:color w:val="1F3864"/>
                <w:sz w:val="18"/>
              </w:rPr>
              <w:t>H2</w:t>
            </w:r>
          </w:p>
        </w:tc>
        <w:tc>
          <w:tcPr>
            <w:tcW w:type="dxa" w:w="621"/>
            <w:tcBorders>
              <w:top w:val="single" w:sz="4" w:color="8EA9DB"/>
              <w:left w:val="single" w:sz="4" w:color="8EA9DB"/>
              <w:bottom w:val="single" w:sz="4" w:color="8EA9DB"/>
              <w:right w:val="single" w:sz="4" w:color="8EA9DB"/>
            </w:tcBorders>
            <w:tcMar>
              <w:top w:w="30" w:type="dxa"/>
              <w:bottom w:w="30" w:type="dxa"/>
              <w:start w:w="70" w:type="dxa"/>
              <w:end w:w="70" w:type="dxa"/>
            </w:tcMar>
            <w:shd w:val="clear" w:color="auto" w:fill="EEF2F8"/>
          </w:tcPr>
          <w:p>
            <w:pPr>
              <w:widowControl/>
              <w:spacing w:after="20" w:before="20"/>
            </w:pPr>
            <w:r>
              <w:rPr>
                <w:rFonts w:ascii="Arial" w:hAnsi="Arial" w:cs="Arial" w:eastAsia="Arial"/>
                <w:b w:val="0"/>
                <w:i w:val="0"/>
                <w:color w:val="111111"/>
                <w:sz w:val="18"/>
              </w:rPr>
              <w:t>D1</w:t>
            </w:r>
          </w:p>
        </w:tc>
        <w:tc>
          <w:tcPr>
            <w:tcW w:type="dxa" w:w="1648"/>
            <w:tcBorders>
              <w:top w:val="single" w:sz="4" w:color="8EA9DB"/>
              <w:left w:val="single" w:sz="4" w:color="8EA9DB"/>
              <w:bottom w:val="single" w:sz="4" w:color="8EA9DB"/>
              <w:right w:val="single" w:sz="4" w:color="8EA9DB"/>
            </w:tcBorders>
            <w:tcMar>
              <w:top w:w="30" w:type="dxa"/>
              <w:bottom w:w="30" w:type="dxa"/>
              <w:start w:w="70" w:type="dxa"/>
              <w:end w:w="70" w:type="dxa"/>
            </w:tcMar>
            <w:shd w:val="clear" w:color="auto" w:fill="EEF2F8"/>
          </w:tcPr>
          <w:p>
            <w:pPr>
              <w:widowControl/>
              <w:spacing w:after="20" w:before="20"/>
            </w:pPr>
            <w:r>
              <w:rPr>
                <w:rFonts w:ascii="Arial" w:hAnsi="Arial" w:cs="Arial" w:eastAsia="Arial"/>
                <w:b w:val="0"/>
                <w:i w:val="0"/>
                <w:color w:val="111111"/>
                <w:sz w:val="18"/>
              </w:rPr>
              <w:t>Mimari (4) x Bozulma (3)</w:t>
            </w:r>
          </w:p>
        </w:tc>
        <w:tc>
          <w:tcPr>
            <w:tcW w:type="dxa" w:w="1648"/>
            <w:tcBorders>
              <w:top w:val="single" w:sz="4" w:color="8EA9DB"/>
              <w:left w:val="single" w:sz="4" w:color="8EA9DB"/>
              <w:bottom w:val="single" w:sz="4" w:color="8EA9DB"/>
              <w:right w:val="single" w:sz="4" w:color="8EA9DB"/>
            </w:tcBorders>
            <w:tcMar>
              <w:top w:w="30" w:type="dxa"/>
              <w:bottom w:w="30" w:type="dxa"/>
              <w:start w:w="70" w:type="dxa"/>
              <w:end w:w="70" w:type="dxa"/>
            </w:tcMar>
            <w:shd w:val="clear" w:color="auto" w:fill="EEF2F8"/>
          </w:tcPr>
          <w:p>
            <w:pPr>
              <w:widowControl/>
              <w:spacing w:after="20" w:before="20"/>
            </w:pPr>
            <w:r>
              <w:rPr>
                <w:rFonts w:ascii="Arial" w:hAnsi="Arial" w:cs="Arial" w:eastAsia="Arial"/>
                <w:b w:val="0"/>
                <w:i w:val="0"/>
                <w:color w:val="111111"/>
                <w:sz w:val="18"/>
              </w:rPr>
              <w:t>Belge düzeyi doğru/yanlış</w:t>
            </w:r>
          </w:p>
        </w:tc>
        <w:tc>
          <w:tcPr>
            <w:tcW w:type="dxa" w:w="4140"/>
            <w:tcBorders>
              <w:top w:val="single" w:sz="4" w:color="8EA9DB"/>
              <w:left w:val="single" w:sz="4" w:color="8EA9DB"/>
              <w:bottom w:val="single" w:sz="4" w:color="8EA9DB"/>
              <w:right w:val="single" w:sz="4" w:color="8EA9DB"/>
            </w:tcBorders>
            <w:tcMar>
              <w:top w:w="30" w:type="dxa"/>
              <w:bottom w:w="30" w:type="dxa"/>
              <w:start w:w="70" w:type="dxa"/>
              <w:end w:w="70" w:type="dxa"/>
            </w:tcMar>
            <w:shd w:val="clear" w:color="auto" w:fill="EEF2F8"/>
          </w:tcPr>
          <w:p>
            <w:pPr>
              <w:widowControl/>
              <w:spacing w:after="20" w:before="20"/>
            </w:pPr>
            <w:r>
              <w:rPr>
                <w:rFonts w:ascii="Arial" w:hAnsi="Arial" w:cs="Arial" w:eastAsia="Arial"/>
                <w:b w:val="0"/>
                <w:i w:val="0"/>
                <w:color w:val="111111"/>
                <w:sz w:val="18"/>
              </w:rPr>
              <w:t>Etkileşim terimi (karma etkili lojistik); olabilirlik-oranı testi</w:t>
            </w:r>
          </w:p>
        </w:tc>
        <w:tc>
          <w:tcPr>
            <w:tcW w:type="dxa" w:w="621"/>
            <w:tcBorders>
              <w:top w:val="single" w:sz="4" w:color="8EA9DB"/>
              <w:left w:val="single" w:sz="4" w:color="8EA9DB"/>
              <w:bottom w:val="single" w:sz="4" w:color="8EA9DB"/>
              <w:right w:val="single" w:sz="4" w:color="8EA9DB"/>
            </w:tcBorders>
            <w:tcMar>
              <w:top w:w="30" w:type="dxa"/>
              <w:bottom w:w="30" w:type="dxa"/>
              <w:start w:w="70" w:type="dxa"/>
              <w:end w:w="70" w:type="dxa"/>
            </w:tcMar>
            <w:shd w:val="clear" w:color="auto" w:fill="EEF2F8"/>
          </w:tcPr>
          <w:p>
            <w:pPr>
              <w:widowControl/>
              <w:spacing w:after="20" w:before="20"/>
            </w:pPr>
            <w:r>
              <w:rPr>
                <w:rFonts w:ascii="Arial" w:hAnsi="Arial" w:cs="Arial" w:eastAsia="Arial"/>
                <w:b w:val="0"/>
                <w:i w:val="0"/>
                <w:color w:val="111111"/>
                <w:sz w:val="18"/>
              </w:rPr>
              <w:t>İP2</w:t>
            </w:r>
          </w:p>
        </w:tc>
      </w:tr>
      <w:tr>
        <w:trPr>
          <w:cantSplit/>
        </w:trPr>
        <w:tc>
          <w:tcPr>
            <w:tcW w:type="dxa" w:w="621"/>
            <w:tcBorders>
              <w:top w:val="single" w:sz="4" w:color="8EA9DB"/>
              <w:left w:val="single" w:sz="4" w:color="8EA9DB"/>
              <w:bottom w:val="single" w:sz="4" w:color="8EA9DB"/>
              <w:right w:val="single" w:sz="4" w:color="8EA9DB"/>
            </w:tcBorders>
            <w:tcMar>
              <w:top w:w="30" w:type="dxa"/>
              <w:bottom w:w="30" w:type="dxa"/>
              <w:start w:w="70" w:type="dxa"/>
              <w:end w:w="70" w:type="dxa"/>
            </w:tcMar>
          </w:tcPr>
          <w:p>
            <w:pPr>
              <w:widowControl/>
              <w:spacing w:after="20" w:before="20"/>
            </w:pPr>
            <w:r>
              <w:rPr>
                <w:rFonts w:ascii="Arial" w:hAnsi="Arial" w:cs="Arial" w:eastAsia="Arial"/>
                <w:b/>
                <w:i w:val="0"/>
                <w:color w:val="1F3864"/>
                <w:sz w:val="18"/>
              </w:rPr>
              <w:t>H3</w:t>
            </w:r>
          </w:p>
        </w:tc>
        <w:tc>
          <w:tcPr>
            <w:tcW w:type="dxa" w:w="621"/>
            <w:tcBorders>
              <w:top w:val="single" w:sz="4" w:color="8EA9DB"/>
              <w:left w:val="single" w:sz="4" w:color="8EA9DB"/>
              <w:bottom w:val="single" w:sz="4" w:color="8EA9DB"/>
              <w:right w:val="single" w:sz="4" w:color="8EA9DB"/>
            </w:tcBorders>
            <w:tcMar>
              <w:top w:w="30" w:type="dxa"/>
              <w:bottom w:w="30" w:type="dxa"/>
              <w:start w:w="70" w:type="dxa"/>
              <w:end w:w="70" w:type="dxa"/>
            </w:tcMar>
          </w:tcPr>
          <w:p>
            <w:pPr>
              <w:widowControl/>
              <w:spacing w:after="20" w:before="20"/>
            </w:pPr>
            <w:r>
              <w:rPr>
                <w:rFonts w:ascii="Arial" w:hAnsi="Arial" w:cs="Arial" w:eastAsia="Arial"/>
                <w:b w:val="0"/>
                <w:i w:val="0"/>
                <w:color w:val="111111"/>
                <w:sz w:val="18"/>
              </w:rPr>
              <w:t>D1</w:t>
            </w:r>
          </w:p>
        </w:tc>
        <w:tc>
          <w:tcPr>
            <w:tcW w:type="dxa" w:w="1648"/>
            <w:tcBorders>
              <w:top w:val="single" w:sz="4" w:color="8EA9DB"/>
              <w:left w:val="single" w:sz="4" w:color="8EA9DB"/>
              <w:bottom w:val="single" w:sz="4" w:color="8EA9DB"/>
              <w:right w:val="single" w:sz="4" w:color="8EA9DB"/>
            </w:tcBorders>
            <w:tcMar>
              <w:top w:w="30" w:type="dxa"/>
              <w:bottom w:w="30" w:type="dxa"/>
              <w:start w:w="70" w:type="dxa"/>
              <w:end w:w="70" w:type="dxa"/>
            </w:tcMar>
          </w:tcPr>
          <w:p>
            <w:pPr>
              <w:widowControl/>
              <w:spacing w:after="20" w:before="20"/>
            </w:pPr>
            <w:r>
              <w:rPr>
                <w:rFonts w:ascii="Arial" w:hAnsi="Arial" w:cs="Arial" w:eastAsia="Arial"/>
                <w:b w:val="0"/>
                <w:i w:val="0"/>
                <w:color w:val="111111"/>
                <w:sz w:val="18"/>
              </w:rPr>
              <w:t>Bozulma (3, sıralı)</w:t>
            </w:r>
          </w:p>
        </w:tc>
        <w:tc>
          <w:tcPr>
            <w:tcW w:type="dxa" w:w="1648"/>
            <w:tcBorders>
              <w:top w:val="single" w:sz="4" w:color="8EA9DB"/>
              <w:left w:val="single" w:sz="4" w:color="8EA9DB"/>
              <w:bottom w:val="single" w:sz="4" w:color="8EA9DB"/>
              <w:right w:val="single" w:sz="4" w:color="8EA9DB"/>
            </w:tcBorders>
            <w:tcMar>
              <w:top w:w="30" w:type="dxa"/>
              <w:bottom w:w="30" w:type="dxa"/>
              <w:start w:w="70" w:type="dxa"/>
              <w:end w:w="70" w:type="dxa"/>
            </w:tcMar>
          </w:tcPr>
          <w:p>
            <w:pPr>
              <w:widowControl/>
              <w:spacing w:after="20" w:before="20"/>
            </w:pPr>
            <w:r>
              <w:rPr>
                <w:rFonts w:ascii="Arial" w:hAnsi="Arial" w:cs="Arial" w:eastAsia="Arial"/>
                <w:b w:val="0"/>
                <w:i w:val="0"/>
                <w:color w:val="111111"/>
                <w:sz w:val="18"/>
              </w:rPr>
              <w:t>Belge düzeyi doğru/yanlış</w:t>
            </w:r>
          </w:p>
        </w:tc>
        <w:tc>
          <w:tcPr>
            <w:tcW w:type="dxa" w:w="4140"/>
            <w:tcBorders>
              <w:top w:val="single" w:sz="4" w:color="8EA9DB"/>
              <w:left w:val="single" w:sz="4" w:color="8EA9DB"/>
              <w:bottom w:val="single" w:sz="4" w:color="8EA9DB"/>
              <w:right w:val="single" w:sz="4" w:color="8EA9DB"/>
            </w:tcBorders>
            <w:tcMar>
              <w:top w:w="30" w:type="dxa"/>
              <w:bottom w:w="30" w:type="dxa"/>
              <w:start w:w="70" w:type="dxa"/>
              <w:end w:w="70" w:type="dxa"/>
            </w:tcMar>
          </w:tcPr>
          <w:p>
            <w:pPr>
              <w:widowControl/>
              <w:spacing w:after="20" w:before="20"/>
            </w:pPr>
            <w:r>
              <w:rPr>
                <w:rFonts w:ascii="Arial" w:hAnsi="Arial" w:cs="Arial" w:eastAsia="Arial"/>
                <w:b w:val="0"/>
                <w:i w:val="0"/>
                <w:color w:val="111111"/>
                <w:sz w:val="18"/>
              </w:rPr>
              <w:t>Eşleştirilmiş tasarımda Page eğilim testi</w:t>
            </w:r>
          </w:p>
        </w:tc>
        <w:tc>
          <w:tcPr>
            <w:tcW w:type="dxa" w:w="621"/>
            <w:tcBorders>
              <w:top w:val="single" w:sz="4" w:color="8EA9DB"/>
              <w:left w:val="single" w:sz="4" w:color="8EA9DB"/>
              <w:bottom w:val="single" w:sz="4" w:color="8EA9DB"/>
              <w:right w:val="single" w:sz="4" w:color="8EA9DB"/>
            </w:tcBorders>
            <w:tcMar>
              <w:top w:w="30" w:type="dxa"/>
              <w:bottom w:w="30" w:type="dxa"/>
              <w:start w:w="70" w:type="dxa"/>
              <w:end w:w="70" w:type="dxa"/>
            </w:tcMar>
          </w:tcPr>
          <w:p>
            <w:pPr>
              <w:widowControl/>
              <w:spacing w:after="20" w:before="20"/>
            </w:pPr>
            <w:r>
              <w:rPr>
                <w:rFonts w:ascii="Arial" w:hAnsi="Arial" w:cs="Arial" w:eastAsia="Arial"/>
                <w:b w:val="0"/>
                <w:i w:val="0"/>
                <w:color w:val="111111"/>
                <w:sz w:val="18"/>
              </w:rPr>
              <w:t>İP2</w:t>
            </w:r>
          </w:p>
        </w:tc>
      </w:tr>
      <w:tr>
        <w:trPr>
          <w:cantSplit/>
        </w:trPr>
        <w:tc>
          <w:tcPr>
            <w:tcW w:type="dxa" w:w="621"/>
            <w:tcBorders>
              <w:top w:val="single" w:sz="4" w:color="8EA9DB"/>
              <w:left w:val="single" w:sz="4" w:color="8EA9DB"/>
              <w:bottom w:val="single" w:sz="4" w:color="8EA9DB"/>
              <w:right w:val="single" w:sz="4" w:color="8EA9DB"/>
            </w:tcBorders>
            <w:tcMar>
              <w:top w:w="30" w:type="dxa"/>
              <w:bottom w:w="30" w:type="dxa"/>
              <w:start w:w="70" w:type="dxa"/>
              <w:end w:w="70" w:type="dxa"/>
            </w:tcMar>
            <w:shd w:val="clear" w:color="auto" w:fill="EEF2F8"/>
          </w:tcPr>
          <w:p>
            <w:pPr>
              <w:widowControl/>
              <w:spacing w:after="20" w:before="20"/>
            </w:pPr>
            <w:r>
              <w:rPr>
                <w:rFonts w:ascii="Arial" w:hAnsi="Arial" w:cs="Arial" w:eastAsia="Arial"/>
                <w:b/>
                <w:i w:val="0"/>
                <w:color w:val="1F3864"/>
                <w:sz w:val="18"/>
              </w:rPr>
              <w:t>H4</w:t>
            </w:r>
          </w:p>
        </w:tc>
        <w:tc>
          <w:tcPr>
            <w:tcW w:type="dxa" w:w="621"/>
            <w:tcBorders>
              <w:top w:val="single" w:sz="4" w:color="8EA9DB"/>
              <w:left w:val="single" w:sz="4" w:color="8EA9DB"/>
              <w:bottom w:val="single" w:sz="4" w:color="8EA9DB"/>
              <w:right w:val="single" w:sz="4" w:color="8EA9DB"/>
            </w:tcBorders>
            <w:tcMar>
              <w:top w:w="30" w:type="dxa"/>
              <w:bottom w:w="30" w:type="dxa"/>
              <w:start w:w="70" w:type="dxa"/>
              <w:end w:w="70" w:type="dxa"/>
            </w:tcMar>
            <w:shd w:val="clear" w:color="auto" w:fill="EEF2F8"/>
          </w:tcPr>
          <w:p>
            <w:pPr>
              <w:widowControl/>
              <w:spacing w:after="20" w:before="20"/>
            </w:pPr>
            <w:r>
              <w:rPr>
                <w:rFonts w:ascii="Arial" w:hAnsi="Arial" w:cs="Arial" w:eastAsia="Arial"/>
                <w:b w:val="0"/>
                <w:i w:val="0"/>
                <w:color w:val="111111"/>
                <w:sz w:val="18"/>
              </w:rPr>
              <w:t>D2</w:t>
            </w:r>
          </w:p>
        </w:tc>
        <w:tc>
          <w:tcPr>
            <w:tcW w:type="dxa" w:w="1648"/>
            <w:tcBorders>
              <w:top w:val="single" w:sz="4" w:color="8EA9DB"/>
              <w:left w:val="single" w:sz="4" w:color="8EA9DB"/>
              <w:bottom w:val="single" w:sz="4" w:color="8EA9DB"/>
              <w:right w:val="single" w:sz="4" w:color="8EA9DB"/>
            </w:tcBorders>
            <w:tcMar>
              <w:top w:w="30" w:type="dxa"/>
              <w:bottom w:w="30" w:type="dxa"/>
              <w:start w:w="70" w:type="dxa"/>
              <w:end w:w="70" w:type="dxa"/>
            </w:tcMar>
            <w:shd w:val="clear" w:color="auto" w:fill="EEF2F8"/>
          </w:tcPr>
          <w:p>
            <w:pPr>
              <w:widowControl/>
              <w:spacing w:after="20" w:before="20"/>
            </w:pPr>
            <w:r>
              <w:rPr>
                <w:rFonts w:ascii="Arial" w:hAnsi="Arial" w:cs="Arial" w:eastAsia="Arial"/>
                <w:b w:val="0"/>
                <w:i w:val="0"/>
                <w:color w:val="111111"/>
                <w:sz w:val="18"/>
              </w:rPr>
              <w:t>(ölçüm geçerliliği)</w:t>
            </w:r>
          </w:p>
        </w:tc>
        <w:tc>
          <w:tcPr>
            <w:tcW w:type="dxa" w:w="1648"/>
            <w:tcBorders>
              <w:top w:val="single" w:sz="4" w:color="8EA9DB"/>
              <w:left w:val="single" w:sz="4" w:color="8EA9DB"/>
              <w:bottom w:val="single" w:sz="4" w:color="8EA9DB"/>
              <w:right w:val="single" w:sz="4" w:color="8EA9DB"/>
            </w:tcBorders>
            <w:tcMar>
              <w:top w:w="30" w:type="dxa"/>
              <w:bottom w:w="30" w:type="dxa"/>
              <w:start w:w="70" w:type="dxa"/>
              <w:end w:w="70" w:type="dxa"/>
            </w:tcMar>
            <w:shd w:val="clear" w:color="auto" w:fill="EEF2F8"/>
          </w:tcPr>
          <w:p>
            <w:pPr>
              <w:widowControl/>
              <w:spacing w:after="20" w:before="20"/>
            </w:pPr>
            <w:r>
              <w:rPr>
                <w:rFonts w:ascii="Arial" w:hAnsi="Arial" w:cs="Arial" w:eastAsia="Arial"/>
                <w:b w:val="0"/>
                <w:i w:val="0"/>
                <w:color w:val="111111"/>
                <w:sz w:val="18"/>
              </w:rPr>
              <w:t>Otomatik-uzman uyumu</w:t>
            </w:r>
          </w:p>
        </w:tc>
        <w:tc>
          <w:tcPr>
            <w:tcW w:type="dxa" w:w="4140"/>
            <w:tcBorders>
              <w:top w:val="single" w:sz="4" w:color="8EA9DB"/>
              <w:left w:val="single" w:sz="4" w:color="8EA9DB"/>
              <w:bottom w:val="single" w:sz="4" w:color="8EA9DB"/>
              <w:right w:val="single" w:sz="4" w:color="8EA9DB"/>
            </w:tcBorders>
            <w:tcMar>
              <w:top w:w="30" w:type="dxa"/>
              <w:bottom w:w="30" w:type="dxa"/>
              <w:start w:w="70" w:type="dxa"/>
              <w:end w:w="70" w:type="dxa"/>
            </w:tcMar>
            <w:shd w:val="clear" w:color="auto" w:fill="EEF2F8"/>
          </w:tcPr>
          <w:p>
            <w:pPr>
              <w:widowControl/>
              <w:spacing w:after="20" w:before="20"/>
            </w:pPr>
            <w:r>
              <w:rPr>
                <w:rFonts w:ascii="Arial" w:hAnsi="Arial" w:cs="Arial" w:eastAsia="Arial"/>
                <w:b w:val="0"/>
                <w:i w:val="0"/>
                <w:color w:val="111111"/>
                <w:sz w:val="18"/>
              </w:rPr>
              <w:t>Kümelenmiş önyüklemeli normalize uyum oranı; %95 alt sınır &gt; 0,75 (Krippendorff alfa alt sınırı 0,67 zayıflatma tavanıdır)</w:t>
            </w:r>
          </w:p>
        </w:tc>
        <w:tc>
          <w:tcPr>
            <w:tcW w:type="dxa" w:w="621"/>
            <w:tcBorders>
              <w:top w:val="single" w:sz="4" w:color="8EA9DB"/>
              <w:left w:val="single" w:sz="4" w:color="8EA9DB"/>
              <w:bottom w:val="single" w:sz="4" w:color="8EA9DB"/>
              <w:right w:val="single" w:sz="4" w:color="8EA9DB"/>
            </w:tcBorders>
            <w:tcMar>
              <w:top w:w="30" w:type="dxa"/>
              <w:bottom w:w="30" w:type="dxa"/>
              <w:start w:w="70" w:type="dxa"/>
              <w:end w:w="70" w:type="dxa"/>
            </w:tcMar>
            <w:shd w:val="clear" w:color="auto" w:fill="EEF2F8"/>
          </w:tcPr>
          <w:p>
            <w:pPr>
              <w:widowControl/>
              <w:spacing w:after="20" w:before="20"/>
            </w:pPr>
            <w:r>
              <w:rPr>
                <w:rFonts w:ascii="Arial" w:hAnsi="Arial" w:cs="Arial" w:eastAsia="Arial"/>
                <w:b w:val="0"/>
                <w:i w:val="0"/>
                <w:color w:val="111111"/>
                <w:sz w:val="18"/>
              </w:rPr>
              <w:t>İP3</w:t>
            </w:r>
          </w:p>
        </w:tc>
      </w:tr>
      <w:tr>
        <w:trPr>
          <w:cantSplit/>
        </w:trPr>
        <w:tc>
          <w:tcPr>
            <w:tcW w:type="dxa" w:w="621"/>
            <w:tcBorders>
              <w:top w:val="single" w:sz="4" w:color="8EA9DB"/>
              <w:left w:val="single" w:sz="4" w:color="8EA9DB"/>
              <w:bottom w:val="single" w:sz="4" w:color="8EA9DB"/>
              <w:right w:val="single" w:sz="4" w:color="8EA9DB"/>
            </w:tcBorders>
            <w:tcMar>
              <w:top w:w="30" w:type="dxa"/>
              <w:bottom w:w="30" w:type="dxa"/>
              <w:start w:w="70" w:type="dxa"/>
              <w:end w:w="70" w:type="dxa"/>
            </w:tcMar>
          </w:tcPr>
          <w:p>
            <w:pPr>
              <w:widowControl/>
              <w:spacing w:after="20" w:before="20"/>
            </w:pPr>
            <w:r>
              <w:rPr>
                <w:rFonts w:ascii="Arial" w:hAnsi="Arial" w:cs="Arial" w:eastAsia="Arial"/>
                <w:b/>
                <w:i w:val="0"/>
                <w:color w:val="1F3864"/>
                <w:sz w:val="18"/>
              </w:rPr>
              <w:t>H5</w:t>
            </w:r>
          </w:p>
        </w:tc>
        <w:tc>
          <w:tcPr>
            <w:tcW w:type="dxa" w:w="621"/>
            <w:tcBorders>
              <w:top w:val="single" w:sz="4" w:color="8EA9DB"/>
              <w:left w:val="single" w:sz="4" w:color="8EA9DB"/>
              <w:bottom w:val="single" w:sz="4" w:color="8EA9DB"/>
              <w:right w:val="single" w:sz="4" w:color="8EA9DB"/>
            </w:tcBorders>
            <w:tcMar>
              <w:top w:w="30" w:type="dxa"/>
              <w:bottom w:w="30" w:type="dxa"/>
              <w:start w:w="70" w:type="dxa"/>
              <w:end w:w="70" w:type="dxa"/>
            </w:tcMar>
          </w:tcPr>
          <w:p>
            <w:pPr>
              <w:widowControl/>
              <w:spacing w:after="20" w:before="20"/>
            </w:pPr>
            <w:r>
              <w:rPr>
                <w:rFonts w:ascii="Arial" w:hAnsi="Arial" w:cs="Arial" w:eastAsia="Arial"/>
                <w:b w:val="0"/>
                <w:i w:val="0"/>
                <w:color w:val="111111"/>
                <w:sz w:val="18"/>
              </w:rPr>
              <w:t>D3</w:t>
            </w:r>
          </w:p>
        </w:tc>
        <w:tc>
          <w:tcPr>
            <w:tcW w:type="dxa" w:w="1648"/>
            <w:tcBorders>
              <w:top w:val="single" w:sz="4" w:color="8EA9DB"/>
              <w:left w:val="single" w:sz="4" w:color="8EA9DB"/>
              <w:bottom w:val="single" w:sz="4" w:color="8EA9DB"/>
              <w:right w:val="single" w:sz="4" w:color="8EA9DB"/>
            </w:tcBorders>
            <w:tcMar>
              <w:top w:w="30" w:type="dxa"/>
              <w:bottom w:w="30" w:type="dxa"/>
              <w:start w:w="70" w:type="dxa"/>
              <w:end w:w="70" w:type="dxa"/>
            </w:tcMar>
          </w:tcPr>
          <w:p>
            <w:pPr>
              <w:widowControl/>
              <w:spacing w:after="20" w:before="20"/>
            </w:pPr>
            <w:r>
              <w:rPr>
                <w:rFonts w:ascii="Arial" w:hAnsi="Arial" w:cs="Arial" w:eastAsia="Arial"/>
                <w:b w:val="0"/>
                <w:i w:val="0"/>
                <w:color w:val="111111"/>
                <w:sz w:val="18"/>
              </w:rPr>
              <w:t>Kapı (açık/kapalı; 9 eşik)</w:t>
            </w:r>
          </w:p>
        </w:tc>
        <w:tc>
          <w:tcPr>
            <w:tcW w:type="dxa" w:w="1648"/>
            <w:tcBorders>
              <w:top w:val="single" w:sz="4" w:color="8EA9DB"/>
              <w:left w:val="single" w:sz="4" w:color="8EA9DB"/>
              <w:bottom w:val="single" w:sz="4" w:color="8EA9DB"/>
              <w:right w:val="single" w:sz="4" w:color="8EA9DB"/>
            </w:tcBorders>
            <w:tcMar>
              <w:top w:w="30" w:type="dxa"/>
              <w:bottom w:w="30" w:type="dxa"/>
              <w:start w:w="70" w:type="dxa"/>
              <w:end w:w="70" w:type="dxa"/>
            </w:tcMar>
          </w:tcPr>
          <w:p>
            <w:pPr>
              <w:widowControl/>
              <w:spacing w:after="20" w:before="20"/>
            </w:pPr>
            <w:r>
              <w:rPr>
                <w:rFonts w:ascii="Arial" w:hAnsi="Arial" w:cs="Arial" w:eastAsia="Arial"/>
                <w:b w:val="0"/>
                <w:i w:val="0"/>
                <w:color w:val="111111"/>
                <w:sz w:val="18"/>
              </w:rPr>
              <w:t>Dayanaksızlık oranı; yanlış-veto</w:t>
            </w:r>
          </w:p>
        </w:tc>
        <w:tc>
          <w:tcPr>
            <w:tcW w:type="dxa" w:w="4140"/>
            <w:tcBorders>
              <w:top w:val="single" w:sz="4" w:color="8EA9DB"/>
              <w:left w:val="single" w:sz="4" w:color="8EA9DB"/>
              <w:bottom w:val="single" w:sz="4" w:color="8EA9DB"/>
              <w:right w:val="single" w:sz="4" w:color="8EA9DB"/>
            </w:tcBorders>
            <w:tcMar>
              <w:top w:w="30" w:type="dxa"/>
              <w:bottom w:w="30" w:type="dxa"/>
              <w:start w:w="70" w:type="dxa"/>
              <w:end w:w="70" w:type="dxa"/>
            </w:tcMar>
          </w:tcPr>
          <w:p>
            <w:pPr>
              <w:widowControl/>
              <w:spacing w:after="20" w:before="20"/>
            </w:pPr>
            <w:r>
              <w:rPr>
                <w:rFonts w:ascii="Arial" w:hAnsi="Arial" w:cs="Arial" w:eastAsia="Arial"/>
                <w:b w:val="0"/>
                <w:i w:val="0"/>
                <w:color w:val="111111"/>
                <w:sz w:val="18"/>
              </w:rPr>
              <w:t>Kesin McNemar; yanlış-vetoda tek yönlü aşmazlık (sınır 0,05)</w:t>
            </w:r>
          </w:p>
        </w:tc>
        <w:tc>
          <w:tcPr>
            <w:tcW w:type="dxa" w:w="621"/>
            <w:tcBorders>
              <w:top w:val="single" w:sz="4" w:color="8EA9DB"/>
              <w:left w:val="single" w:sz="4" w:color="8EA9DB"/>
              <w:bottom w:val="single" w:sz="4" w:color="8EA9DB"/>
              <w:right w:val="single" w:sz="4" w:color="8EA9DB"/>
            </w:tcBorders>
            <w:tcMar>
              <w:top w:w="30" w:type="dxa"/>
              <w:bottom w:w="30" w:type="dxa"/>
              <w:start w:w="70" w:type="dxa"/>
              <w:end w:w="70" w:type="dxa"/>
            </w:tcMar>
          </w:tcPr>
          <w:p>
            <w:pPr>
              <w:widowControl/>
              <w:spacing w:after="20" w:before="20"/>
            </w:pPr>
            <w:r>
              <w:rPr>
                <w:rFonts w:ascii="Arial" w:hAnsi="Arial" w:cs="Arial" w:eastAsia="Arial"/>
                <w:b w:val="0"/>
                <w:i w:val="0"/>
                <w:color w:val="111111"/>
                <w:sz w:val="18"/>
              </w:rPr>
              <w:t>İP4</w:t>
            </w:r>
          </w:p>
        </w:tc>
      </w:tr>
      <w:tr>
        <w:trPr>
          <w:cantSplit/>
        </w:trPr>
        <w:tc>
          <w:tcPr>
            <w:tcW w:type="dxa" w:w="621"/>
            <w:tcBorders>
              <w:top w:val="single" w:sz="4" w:color="8EA9DB"/>
              <w:left w:val="single" w:sz="4" w:color="8EA9DB"/>
              <w:bottom w:val="single" w:sz="4" w:color="8EA9DB"/>
              <w:right w:val="single" w:sz="4" w:color="8EA9DB"/>
            </w:tcBorders>
            <w:tcMar>
              <w:top w:w="30" w:type="dxa"/>
              <w:bottom w:w="30" w:type="dxa"/>
              <w:start w:w="70" w:type="dxa"/>
              <w:end w:w="70" w:type="dxa"/>
            </w:tcMar>
            <w:shd w:val="clear" w:color="auto" w:fill="EEF2F8"/>
          </w:tcPr>
          <w:p>
            <w:pPr>
              <w:widowControl/>
              <w:spacing w:after="20" w:before="20"/>
            </w:pPr>
            <w:r>
              <w:rPr>
                <w:rFonts w:ascii="Arial" w:hAnsi="Arial" w:cs="Arial" w:eastAsia="Arial"/>
                <w:b/>
                <w:i w:val="0"/>
                <w:color w:val="1F3864"/>
                <w:sz w:val="18"/>
              </w:rPr>
              <w:t>H6</w:t>
            </w:r>
          </w:p>
        </w:tc>
        <w:tc>
          <w:tcPr>
            <w:tcW w:type="dxa" w:w="621"/>
            <w:tcBorders>
              <w:top w:val="single" w:sz="4" w:color="8EA9DB"/>
              <w:left w:val="single" w:sz="4" w:color="8EA9DB"/>
              <w:bottom w:val="single" w:sz="4" w:color="8EA9DB"/>
              <w:right w:val="single" w:sz="4" w:color="8EA9DB"/>
            </w:tcBorders>
            <w:tcMar>
              <w:top w:w="30" w:type="dxa"/>
              <w:bottom w:w="30" w:type="dxa"/>
              <w:start w:w="70" w:type="dxa"/>
              <w:end w:w="70" w:type="dxa"/>
            </w:tcMar>
            <w:shd w:val="clear" w:color="auto" w:fill="EEF2F8"/>
          </w:tcPr>
          <w:p>
            <w:pPr>
              <w:widowControl/>
              <w:spacing w:after="20" w:before="20"/>
            </w:pPr>
            <w:r>
              <w:rPr>
                <w:rFonts w:ascii="Arial" w:hAnsi="Arial" w:cs="Arial" w:eastAsia="Arial"/>
                <w:b w:val="0"/>
                <w:i w:val="0"/>
                <w:color w:val="111111"/>
                <w:sz w:val="18"/>
              </w:rPr>
              <w:t>D3</w:t>
            </w:r>
          </w:p>
        </w:tc>
        <w:tc>
          <w:tcPr>
            <w:tcW w:type="dxa" w:w="1648"/>
            <w:tcBorders>
              <w:top w:val="single" w:sz="4" w:color="8EA9DB"/>
              <w:left w:val="single" w:sz="4" w:color="8EA9DB"/>
              <w:bottom w:val="single" w:sz="4" w:color="8EA9DB"/>
              <w:right w:val="single" w:sz="4" w:color="8EA9DB"/>
            </w:tcBorders>
            <w:tcMar>
              <w:top w:w="30" w:type="dxa"/>
              <w:bottom w:w="30" w:type="dxa"/>
              <w:start w:w="70" w:type="dxa"/>
              <w:end w:w="70" w:type="dxa"/>
            </w:tcMar>
            <w:shd w:val="clear" w:color="auto" w:fill="EEF2F8"/>
          </w:tcPr>
          <w:p>
            <w:pPr>
              <w:widowControl/>
              <w:spacing w:after="20" w:before="20"/>
            </w:pPr>
            <w:r>
              <w:rPr>
                <w:rFonts w:ascii="Arial" w:hAnsi="Arial" w:cs="Arial" w:eastAsia="Arial"/>
                <w:b w:val="0"/>
                <w:i w:val="0"/>
                <w:color w:val="111111"/>
                <w:sz w:val="18"/>
              </w:rPr>
              <w:t>Tur (4), rol kümesi (4)</w:t>
            </w:r>
          </w:p>
        </w:tc>
        <w:tc>
          <w:tcPr>
            <w:tcW w:type="dxa" w:w="1648"/>
            <w:tcBorders>
              <w:top w:val="single" w:sz="4" w:color="8EA9DB"/>
              <w:left w:val="single" w:sz="4" w:color="8EA9DB"/>
              <w:bottom w:val="single" w:sz="4" w:color="8EA9DB"/>
              <w:right w:val="single" w:sz="4" w:color="8EA9DB"/>
            </w:tcBorders>
            <w:tcMar>
              <w:top w:w="30" w:type="dxa"/>
              <w:bottom w:w="30" w:type="dxa"/>
              <w:start w:w="70" w:type="dxa"/>
              <w:end w:w="70" w:type="dxa"/>
            </w:tcMar>
            <w:shd w:val="clear" w:color="auto" w:fill="EEF2F8"/>
          </w:tcPr>
          <w:p>
            <w:pPr>
              <w:widowControl/>
              <w:spacing w:after="20" w:before="20"/>
            </w:pPr>
            <w:r>
              <w:rPr>
                <w:rFonts w:ascii="Arial" w:hAnsi="Arial" w:cs="Arial" w:eastAsia="Arial"/>
                <w:b w:val="0"/>
                <w:i w:val="0"/>
                <w:color w:val="111111"/>
                <w:sz w:val="18"/>
              </w:rPr>
              <w:t>Belge başına açık bulgu sayısı</w:t>
            </w:r>
          </w:p>
        </w:tc>
        <w:tc>
          <w:tcPr>
            <w:tcW w:type="dxa" w:w="4140"/>
            <w:tcBorders>
              <w:top w:val="single" w:sz="4" w:color="8EA9DB"/>
              <w:left w:val="single" w:sz="4" w:color="8EA9DB"/>
              <w:bottom w:val="single" w:sz="4" w:color="8EA9DB"/>
              <w:right w:val="single" w:sz="4" w:color="8EA9DB"/>
            </w:tcBorders>
            <w:tcMar>
              <w:top w:w="30" w:type="dxa"/>
              <w:bottom w:w="30" w:type="dxa"/>
              <w:start w:w="70" w:type="dxa"/>
              <w:end w:w="70" w:type="dxa"/>
            </w:tcMar>
            <w:shd w:val="clear" w:color="auto" w:fill="EEF2F8"/>
          </w:tcPr>
          <w:p>
            <w:pPr>
              <w:widowControl/>
              <w:spacing w:after="20" w:before="20"/>
            </w:pPr>
            <w:r>
              <w:rPr>
                <w:rFonts w:ascii="Arial" w:hAnsi="Arial" w:cs="Arial" w:eastAsia="Arial"/>
                <w:b w:val="0"/>
                <w:i w:val="0"/>
                <w:color w:val="111111"/>
                <w:sz w:val="18"/>
              </w:rPr>
              <w:t>Friedman; Holm düzeltmeli Wilcoxon</w:t>
            </w:r>
          </w:p>
        </w:tc>
        <w:tc>
          <w:tcPr>
            <w:tcW w:type="dxa" w:w="621"/>
            <w:tcBorders>
              <w:top w:val="single" w:sz="4" w:color="8EA9DB"/>
              <w:left w:val="single" w:sz="4" w:color="8EA9DB"/>
              <w:bottom w:val="single" w:sz="4" w:color="8EA9DB"/>
              <w:right w:val="single" w:sz="4" w:color="8EA9DB"/>
            </w:tcBorders>
            <w:tcMar>
              <w:top w:w="30" w:type="dxa"/>
              <w:bottom w:w="30" w:type="dxa"/>
              <w:start w:w="70" w:type="dxa"/>
              <w:end w:w="70" w:type="dxa"/>
            </w:tcMar>
            <w:shd w:val="clear" w:color="auto" w:fill="EEF2F8"/>
          </w:tcPr>
          <w:p>
            <w:pPr>
              <w:widowControl/>
              <w:spacing w:after="20" w:before="20"/>
            </w:pPr>
            <w:r>
              <w:rPr>
                <w:rFonts w:ascii="Arial" w:hAnsi="Arial" w:cs="Arial" w:eastAsia="Arial"/>
                <w:b w:val="0"/>
                <w:i w:val="0"/>
                <w:color w:val="111111"/>
                <w:sz w:val="18"/>
              </w:rPr>
              <w:t>İP4</w:t>
            </w:r>
          </w:p>
        </w:tc>
      </w:tr>
      <w:tr>
        <w:trPr>
          <w:cantSplit/>
        </w:trPr>
        <w:tc>
          <w:tcPr>
            <w:tcW w:type="dxa" w:w="621"/>
            <w:tcBorders>
              <w:top w:val="single" w:sz="4" w:color="8EA9DB"/>
              <w:left w:val="single" w:sz="4" w:color="8EA9DB"/>
              <w:bottom w:val="single" w:sz="4" w:color="8EA9DB"/>
              <w:right w:val="single" w:sz="4" w:color="8EA9DB"/>
            </w:tcBorders>
            <w:tcMar>
              <w:top w:w="30" w:type="dxa"/>
              <w:bottom w:w="30" w:type="dxa"/>
              <w:start w:w="70" w:type="dxa"/>
              <w:end w:w="70" w:type="dxa"/>
            </w:tcMar>
          </w:tcPr>
          <w:p>
            <w:pPr>
              <w:widowControl/>
              <w:spacing w:after="20" w:before="20"/>
            </w:pPr>
            <w:r>
              <w:rPr>
                <w:rFonts w:ascii="Arial" w:hAnsi="Arial" w:cs="Arial" w:eastAsia="Arial"/>
                <w:b/>
                <w:i w:val="0"/>
                <w:color w:val="1F3864"/>
                <w:sz w:val="18"/>
              </w:rPr>
              <w:t>H7</w:t>
            </w:r>
          </w:p>
        </w:tc>
        <w:tc>
          <w:tcPr>
            <w:tcW w:type="dxa" w:w="621"/>
            <w:tcBorders>
              <w:top w:val="single" w:sz="4" w:color="8EA9DB"/>
              <w:left w:val="single" w:sz="4" w:color="8EA9DB"/>
              <w:bottom w:val="single" w:sz="4" w:color="8EA9DB"/>
              <w:right w:val="single" w:sz="4" w:color="8EA9DB"/>
            </w:tcBorders>
            <w:tcMar>
              <w:top w:w="30" w:type="dxa"/>
              <w:bottom w:w="30" w:type="dxa"/>
              <w:start w:w="70" w:type="dxa"/>
              <w:end w:w="70" w:type="dxa"/>
            </w:tcMar>
          </w:tcPr>
          <w:p>
            <w:pPr>
              <w:widowControl/>
              <w:spacing w:after="20" w:before="20"/>
            </w:pPr>
            <w:r>
              <w:rPr>
                <w:rFonts w:ascii="Arial" w:hAnsi="Arial" w:cs="Arial" w:eastAsia="Arial"/>
                <w:b w:val="0"/>
                <w:i w:val="0"/>
                <w:color w:val="111111"/>
                <w:sz w:val="18"/>
              </w:rPr>
              <w:t>D1</w:t>
            </w:r>
          </w:p>
        </w:tc>
        <w:tc>
          <w:tcPr>
            <w:tcW w:type="dxa" w:w="1648"/>
            <w:tcBorders>
              <w:top w:val="single" w:sz="4" w:color="8EA9DB"/>
              <w:left w:val="single" w:sz="4" w:color="8EA9DB"/>
              <w:bottom w:val="single" w:sz="4" w:color="8EA9DB"/>
              <w:right w:val="single" w:sz="4" w:color="8EA9DB"/>
            </w:tcBorders>
            <w:tcMar>
              <w:top w:w="30" w:type="dxa"/>
              <w:bottom w:w="30" w:type="dxa"/>
              <w:start w:w="70" w:type="dxa"/>
              <w:end w:w="70" w:type="dxa"/>
            </w:tcMar>
          </w:tcPr>
          <w:p>
            <w:pPr>
              <w:widowControl/>
              <w:spacing w:after="20" w:before="20"/>
            </w:pPr>
            <w:r>
              <w:rPr>
                <w:rFonts w:ascii="Arial" w:hAnsi="Arial" w:cs="Arial" w:eastAsia="Arial"/>
                <w:b w:val="0"/>
                <w:i w:val="0"/>
                <w:color w:val="111111"/>
                <w:sz w:val="18"/>
              </w:rPr>
              <w:t>Mimari (4) x hedef küme içi/dışı</w:t>
            </w:r>
          </w:p>
        </w:tc>
        <w:tc>
          <w:tcPr>
            <w:tcW w:type="dxa" w:w="1648"/>
            <w:tcBorders>
              <w:top w:val="single" w:sz="4" w:color="8EA9DB"/>
              <w:left w:val="single" w:sz="4" w:color="8EA9DB"/>
              <w:bottom w:val="single" w:sz="4" w:color="8EA9DB"/>
              <w:right w:val="single" w:sz="4" w:color="8EA9DB"/>
            </w:tcBorders>
            <w:tcMar>
              <w:top w:w="30" w:type="dxa"/>
              <w:bottom w:w="30" w:type="dxa"/>
              <w:start w:w="70" w:type="dxa"/>
              <w:end w:w="70" w:type="dxa"/>
            </w:tcMar>
          </w:tcPr>
          <w:p>
            <w:pPr>
              <w:widowControl/>
              <w:spacing w:after="20" w:before="20"/>
            </w:pPr>
            <w:r>
              <w:rPr>
                <w:rFonts w:ascii="Arial" w:hAnsi="Arial" w:cs="Arial" w:eastAsia="Arial"/>
                <w:b w:val="0"/>
                <w:i w:val="0"/>
                <w:color w:val="111111"/>
                <w:sz w:val="18"/>
              </w:rPr>
              <w:t>Birim yönlendirme isabeti</w:t>
            </w:r>
          </w:p>
        </w:tc>
        <w:tc>
          <w:tcPr>
            <w:tcW w:type="dxa" w:w="4140"/>
            <w:tcBorders>
              <w:top w:val="single" w:sz="4" w:color="8EA9DB"/>
              <w:left w:val="single" w:sz="4" w:color="8EA9DB"/>
              <w:bottom w:val="single" w:sz="4" w:color="8EA9DB"/>
              <w:right w:val="single" w:sz="4" w:color="8EA9DB"/>
            </w:tcBorders>
            <w:tcMar>
              <w:top w:w="30" w:type="dxa"/>
              <w:bottom w:w="30" w:type="dxa"/>
              <w:start w:w="70" w:type="dxa"/>
              <w:end w:w="70" w:type="dxa"/>
            </w:tcMar>
          </w:tcPr>
          <w:p>
            <w:pPr>
              <w:widowControl/>
              <w:spacing w:after="20" w:before="20"/>
            </w:pPr>
            <w:r>
              <w:rPr>
                <w:rFonts w:ascii="Arial" w:hAnsi="Arial" w:cs="Arial" w:eastAsia="Arial"/>
                <w:b w:val="0"/>
                <w:i w:val="0"/>
                <w:color w:val="111111"/>
                <w:sz w:val="18"/>
              </w:rPr>
              <w:t>Alt grup etkileşimi (karma etkili lojistik)</w:t>
            </w:r>
          </w:p>
        </w:tc>
        <w:tc>
          <w:tcPr>
            <w:tcW w:type="dxa" w:w="621"/>
            <w:tcBorders>
              <w:top w:val="single" w:sz="4" w:color="8EA9DB"/>
              <w:left w:val="single" w:sz="4" w:color="8EA9DB"/>
              <w:bottom w:val="single" w:sz="4" w:color="8EA9DB"/>
              <w:right w:val="single" w:sz="4" w:color="8EA9DB"/>
            </w:tcBorders>
            <w:tcMar>
              <w:top w:w="30" w:type="dxa"/>
              <w:bottom w:w="30" w:type="dxa"/>
              <w:start w:w="70" w:type="dxa"/>
              <w:end w:w="70" w:type="dxa"/>
            </w:tcMar>
          </w:tcPr>
          <w:p>
            <w:pPr>
              <w:widowControl/>
              <w:spacing w:after="20" w:before="20"/>
            </w:pPr>
            <w:r>
              <w:rPr>
                <w:rFonts w:ascii="Arial" w:hAnsi="Arial" w:cs="Arial" w:eastAsia="Arial"/>
                <w:b w:val="0"/>
                <w:i w:val="0"/>
                <w:color w:val="111111"/>
                <w:sz w:val="18"/>
              </w:rPr>
              <w:t>İP2</w:t>
            </w:r>
          </w:p>
        </w:tc>
      </w:tr>
      <w:tr>
        <w:trPr>
          <w:cantSplit/>
        </w:trPr>
        <w:tc>
          <w:tcPr>
            <w:tcW w:type="dxa" w:w="621"/>
            <w:tcBorders>
              <w:top w:val="single" w:sz="4" w:color="8EA9DB"/>
              <w:left w:val="single" w:sz="4" w:color="8EA9DB"/>
              <w:bottom w:val="single" w:sz="4" w:color="8EA9DB"/>
              <w:right w:val="single" w:sz="4" w:color="8EA9DB"/>
            </w:tcBorders>
            <w:tcMar>
              <w:top w:w="30" w:type="dxa"/>
              <w:bottom w:w="30" w:type="dxa"/>
              <w:start w:w="70" w:type="dxa"/>
              <w:end w:w="70" w:type="dxa"/>
            </w:tcMar>
            <w:shd w:val="clear" w:color="auto" w:fill="EEF2F8"/>
          </w:tcPr>
          <w:p>
            <w:pPr>
              <w:widowControl/>
              <w:spacing w:after="20" w:before="20"/>
            </w:pPr>
            <w:r>
              <w:rPr>
                <w:rFonts w:ascii="Arial" w:hAnsi="Arial" w:cs="Arial" w:eastAsia="Arial"/>
                <w:b/>
                <w:i w:val="0"/>
                <w:color w:val="1F3864"/>
                <w:sz w:val="18"/>
              </w:rPr>
              <w:t>H8</w:t>
            </w:r>
          </w:p>
        </w:tc>
        <w:tc>
          <w:tcPr>
            <w:tcW w:type="dxa" w:w="621"/>
            <w:tcBorders>
              <w:top w:val="single" w:sz="4" w:color="8EA9DB"/>
              <w:left w:val="single" w:sz="4" w:color="8EA9DB"/>
              <w:bottom w:val="single" w:sz="4" w:color="8EA9DB"/>
              <w:right w:val="single" w:sz="4" w:color="8EA9DB"/>
            </w:tcBorders>
            <w:tcMar>
              <w:top w:w="30" w:type="dxa"/>
              <w:bottom w:w="30" w:type="dxa"/>
              <w:start w:w="70" w:type="dxa"/>
              <w:end w:w="70" w:type="dxa"/>
            </w:tcMar>
            <w:shd w:val="clear" w:color="auto" w:fill="EEF2F8"/>
          </w:tcPr>
          <w:p>
            <w:pPr>
              <w:widowControl/>
              <w:spacing w:after="20" w:before="20"/>
            </w:pPr>
            <w:r>
              <w:rPr>
                <w:rFonts w:ascii="Arial" w:hAnsi="Arial" w:cs="Arial" w:eastAsia="Arial"/>
                <w:b w:val="0"/>
                <w:i w:val="0"/>
                <w:color w:val="111111"/>
                <w:sz w:val="18"/>
              </w:rPr>
              <w:t>D1/D3</w:t>
            </w:r>
          </w:p>
        </w:tc>
        <w:tc>
          <w:tcPr>
            <w:tcW w:type="dxa" w:w="1648"/>
            <w:tcBorders>
              <w:top w:val="single" w:sz="4" w:color="8EA9DB"/>
              <w:left w:val="single" w:sz="4" w:color="8EA9DB"/>
              <w:bottom w:val="single" w:sz="4" w:color="8EA9DB"/>
              <w:right w:val="single" w:sz="4" w:color="8EA9DB"/>
            </w:tcBorders>
            <w:tcMar>
              <w:top w:w="30" w:type="dxa"/>
              <w:bottom w:w="30" w:type="dxa"/>
              <w:start w:w="70" w:type="dxa"/>
              <w:end w:w="70" w:type="dxa"/>
            </w:tcMar>
            <w:shd w:val="clear" w:color="auto" w:fill="EEF2F8"/>
          </w:tcPr>
          <w:p>
            <w:pPr>
              <w:widowControl/>
              <w:spacing w:after="20" w:before="20"/>
            </w:pPr>
            <w:r>
              <w:rPr>
                <w:rFonts w:ascii="Arial" w:hAnsi="Arial" w:cs="Arial" w:eastAsia="Arial"/>
                <w:b w:val="0"/>
                <w:i w:val="0"/>
                <w:color w:val="111111"/>
                <w:sz w:val="18"/>
              </w:rPr>
              <w:t>Mimari (4)</w:t>
            </w:r>
          </w:p>
        </w:tc>
        <w:tc>
          <w:tcPr>
            <w:tcW w:type="dxa" w:w="1648"/>
            <w:tcBorders>
              <w:top w:val="single" w:sz="4" w:color="8EA9DB"/>
              <w:left w:val="single" w:sz="4" w:color="8EA9DB"/>
              <w:bottom w:val="single" w:sz="4" w:color="8EA9DB"/>
              <w:right w:val="single" w:sz="4" w:color="8EA9DB"/>
            </w:tcBorders>
            <w:tcMar>
              <w:top w:w="30" w:type="dxa"/>
              <w:bottom w:w="30" w:type="dxa"/>
              <w:start w:w="70" w:type="dxa"/>
              <w:end w:w="70" w:type="dxa"/>
            </w:tcMar>
            <w:shd w:val="clear" w:color="auto" w:fill="EEF2F8"/>
          </w:tcPr>
          <w:p>
            <w:pPr>
              <w:widowControl/>
              <w:spacing w:after="20" w:before="20"/>
            </w:pPr>
            <w:r>
              <w:rPr>
                <w:rFonts w:ascii="Arial" w:hAnsi="Arial" w:cs="Arial" w:eastAsia="Arial"/>
                <w:b w:val="0"/>
                <w:i w:val="0"/>
                <w:color w:val="111111"/>
                <w:sz w:val="18"/>
              </w:rPr>
              <w:t>Belge başına gecikme</w:t>
            </w:r>
          </w:p>
        </w:tc>
        <w:tc>
          <w:tcPr>
            <w:tcW w:type="dxa" w:w="4140"/>
            <w:tcBorders>
              <w:top w:val="single" w:sz="4" w:color="8EA9DB"/>
              <w:left w:val="single" w:sz="4" w:color="8EA9DB"/>
              <w:bottom w:val="single" w:sz="4" w:color="8EA9DB"/>
              <w:right w:val="single" w:sz="4" w:color="8EA9DB"/>
            </w:tcBorders>
            <w:tcMar>
              <w:top w:w="30" w:type="dxa"/>
              <w:bottom w:w="30" w:type="dxa"/>
              <w:start w:w="70" w:type="dxa"/>
              <w:end w:w="70" w:type="dxa"/>
            </w:tcMar>
            <w:shd w:val="clear" w:color="auto" w:fill="EEF2F8"/>
          </w:tcPr>
          <w:p>
            <w:pPr>
              <w:widowControl/>
              <w:spacing w:after="20" w:before="20"/>
            </w:pPr>
            <w:r>
              <w:rPr>
                <w:rFonts w:ascii="Arial" w:hAnsi="Arial" w:cs="Arial" w:eastAsia="Arial"/>
                <w:b w:val="0"/>
                <w:i w:val="0"/>
                <w:color w:val="111111"/>
                <w:sz w:val="18"/>
              </w:rPr>
              <w:t>TOST (delta = %20); maliyet betimleyici</w:t>
            </w:r>
          </w:p>
        </w:tc>
        <w:tc>
          <w:tcPr>
            <w:tcW w:type="dxa" w:w="621"/>
            <w:tcBorders>
              <w:top w:val="single" w:sz="4" w:color="8EA9DB"/>
              <w:left w:val="single" w:sz="4" w:color="8EA9DB"/>
              <w:bottom w:val="single" w:sz="4" w:color="8EA9DB"/>
              <w:right w:val="single" w:sz="4" w:color="8EA9DB"/>
            </w:tcBorders>
            <w:tcMar>
              <w:top w:w="30" w:type="dxa"/>
              <w:bottom w:w="30" w:type="dxa"/>
              <w:start w:w="70" w:type="dxa"/>
              <w:end w:w="70" w:type="dxa"/>
            </w:tcMar>
            <w:shd w:val="clear" w:color="auto" w:fill="EEF2F8"/>
          </w:tcPr>
          <w:p>
            <w:pPr>
              <w:widowControl/>
              <w:spacing w:after="20" w:before="20"/>
            </w:pPr>
            <w:r>
              <w:rPr>
                <w:rFonts w:ascii="Arial" w:hAnsi="Arial" w:cs="Arial" w:eastAsia="Arial"/>
                <w:b w:val="0"/>
                <w:i w:val="0"/>
                <w:color w:val="111111"/>
                <w:sz w:val="18"/>
              </w:rPr>
              <w:t>İP4</w:t>
            </w:r>
          </w:p>
        </w:tc>
      </w:tr>
    </w:tbl>
    <w:p>
      <w:pPr>
        <w:keepNext/>
        <w:widowControl/>
        <w:spacing w:after="100"/>
      </w:pPr>
      <w:r>
        <w:rPr>
          <w:rFonts w:ascii="Arial" w:hAnsi="Arial" w:cs="Arial" w:eastAsia="Arial"/>
          <w:b w:val="0"/>
          <w:i w:val="0"/>
          <w:sz w:val="10"/>
        </w:rPr>
      </w:r>
    </w:p>
    <w:p>
      <w:pPr>
        <w:widowControl/>
        <w:spacing w:after="40"/>
        <w:jc w:val="both"/>
      </w:pPr>
      <w:r>
        <w:rPr>
          <w:rFonts w:ascii="Arial" w:hAnsi="Arial" w:cs="Arial" w:eastAsia="Arial"/>
          <w:b w:val="0"/>
          <w:i w:val="0"/>
          <w:sz w:val="18"/>
        </w:rPr>
        <w:t>H8 eşdeğerlik kurar: H0, gecikme farkının log ölçekte ±%20 sınırının dışında olmasıdır; kurulamazsa fark eşleştirilmiş Wilcoxon ile betimlenir ve H1-H2 kazancının bedeli sayılır. "Fark bulunamaması" kanıt değildir. H5'in yanlış-veto bileşeni tek yönlü aşmazlık sınamasıdır (sınır 0,05); %20, p95 bütçesinde kullanıcıca fark edilir eşiktir.</w:t>
      </w:r>
    </w:p>
    <w:p>
      <w:pPr>
        <w:widowControl/>
        <w:spacing w:after="40"/>
        <w:jc w:val="both"/>
      </w:pPr>
      <w:r>
        <w:rPr>
          <w:rFonts w:ascii="Arial" w:hAnsi="Arial" w:cs="Arial" w:eastAsia="Arial"/>
          <w:b w:val="0"/>
          <w:i w:val="0"/>
          <w:sz w:val="18"/>
        </w:rPr>
        <w:t>Onaylayıcı test ailesi ve hiyerarşik kapı: Aile ön-kayıtta kilitlenir, listede olmayan her test keşifseldir. Aile on bir testtir ve iki bağımsız kola ayrılır. Mekanizma kolu (alfa = 0,04) dört seri kapıdır: Kapı 1 = H1 (üç bağımlı değişkende birincil kontrast, 3 test); Kapı 2 = H3, H7 (2 test); Kapı 3 = H5 (2 test); Kapı 4 = H6, H8, H2 (3 test). Ölçüm geçerliliği kolu (alfa = 0,01) tek testtir: H4. Ayrım mantıksaldır: ölçütün geçerliliği mimarinin üstünlüğünden önce gelen bir ön koşuldur, dolayısıyla onun ardına dizilemez; ayrılma H4'ün her koşulda sınanmasını da güvence altına alır. Kapılar seridir: bir kapı ancak önceki kapının tüm birincil testleri karar kuralını karşılarsa açılır; açılmayan kapının testleri "sınanmadı" raporlanır, hata bütçesi harcamaz. Holm her kapıda o kapının test sayısına göre uygulanır; ailesel hata iki kolun toplamında 0,04 + 0,01 = 0,05'te tutulur; en katı basamak üç testli Kapı 1 ve Kapı 4'tedir (alfa = 0,0133). Kapı sırası veri görülmeden, kilit öncesinde ve yalnız simülasyona bakılarak belirlenmiştir: kapının işlevi zinciri durdurmaktır, durdurma ise ancak reddedilmeme yorumlanabildiğinde anlamlıdır; H2'nin reddedilmemesi sonuçsuz ilan edildiği için H2 bekçi olamaz, son kapıdadır ve hiçbir testi engellemez. Kapı 4 açılmasa bile H2'nin etkileşim kestirimi, %95 aralığı ve 0,19 eşiğine göre yorumu ikincil analizlerde düzeltmesiz raporlanır.</w:t>
      </w:r>
    </w:p>
    <w:p>
      <w:pPr>
        <w:widowControl/>
        <w:spacing w:after="40"/>
        <w:jc w:val="both"/>
      </w:pPr>
      <w:r>
        <w:rPr>
          <w:rFonts w:ascii="Arial" w:hAnsi="Arial" w:cs="Arial" w:eastAsia="Arial"/>
          <w:b w:val="0"/>
          <w:i w:val="0"/>
          <w:sz w:val="18"/>
        </w:rPr>
        <w:t>Güç analizi (simülasyonla ölçülmüştür): Değerler taahhüt değil, başvuru öncesi koşulmuş Monte Carlo simülasyonunun (sabit tohum, 1.200-2.000 tekrar; belge düzeyi rastgele kesişim, standart sapma 0,8 lojit) çıktısıdır; betik ön-kayıt ekindedir. H1 (eşleştirilmiş ikili sonuç; p01 = 0,15; p10 = 0,05; eşleşmiş odds oranı 3,0): Kapı 1'in üç testi için alfa = 0,0133'te n = 240'ta güç 0,833; saptanabilir en küçük fark 0,10. H3 (monoton ana etki): seviye başına 0,10 düşüşte güç 0,99, 0,15 düşüşte 1,00. H4 (yaklaşık güç vekili olarak kappa; H0: kappa &lt;= 0,60'a karşı 0,80, taban yaygınlık 0,25): DEFF = 1,80 ile etkin örneklem 167, kendi kolunda alfa = 0,01'de güç 0,987; birincil karar kuralı normalize uyum oranının alt sınırıdır. H6 (dört eşleşmiş tur, Friedman): güç 1,00. H7 (küme dışı alt grup etkileşimi, Kapı 2'nin Holm düzeyinde): 48 belgelik alt kümede güç 0,779, %30'luk alt kümede 0,881; alfa bölüştürmesinin bedeli budur ve sınır ön-kayıtta ilan edilir. H5 (yanlış-veto aşmazlığı, sınır 0,05): taban oran 0,03-0,10 süpürüldüğünde gereken n 100-240, ana kümeden gelen 240 iddiada güç 0,812-0,994. H8 (TOST, log ölçekte ±%20): eşleşmiş log farkın standart sapması 0,15-0,45 süpürüldüğünde gereken n 20-60; n = 240'ta ve Kapı 4'ün en katı basamağında güç 1,00.</w:t>
      </w:r>
    </w:p>
    <w:p>
      <w:pPr>
        <w:widowControl/>
        <w:spacing w:after="40"/>
        <w:jc w:val="both"/>
      </w:pPr>
      <w:r>
        <w:rPr>
          <w:rFonts w:ascii="Arial" w:hAnsi="Arial" w:cs="Arial" w:eastAsia="Arial"/>
          <w:b w:val="0"/>
          <w:i w:val="0"/>
          <w:sz w:val="18"/>
        </w:rPr>
        <w:t>H2'nin gücü sınırlıdır ve bu sınır açıkça ilan edilir: Simülasyon, n = 240'ta 0,10'luk etkileşim için gücün yalnız 0,314 olduğunu, 0,80 güce n'in yaklaşık 860 olması gerektiğini göstermiştir; bu örneklem on iki ayda ve mevcut bütçeyle ulaşılamaz. Dolayısıyla H2 için saptanabilir en küçük etkileşim ön-kayıtta 0,19 olasılık puanı, karşılığı 2,27 etkileşim odds oranı olarak ilan edilir: gözlenen etkileşim bunun altındaysa çalışma "anlamlı fark yoktur" demez, bulguyu güç sınırlı ve sonuçsuz olarak, etki büyüklüğü ve %95 aralığıyla raporlar.</w:t>
      </w:r>
    </w:p>
    <w:p>
      <w:pPr>
        <w:widowControl/>
        <w:spacing w:after="40"/>
        <w:jc w:val="both"/>
      </w:pPr>
      <w:r>
        <w:rPr>
          <w:rFonts w:ascii="Arial" w:hAnsi="Arial" w:cs="Arial" w:eastAsia="Arial"/>
          <w:b w:val="0"/>
          <w:i w:val="0"/>
          <w:sz w:val="18"/>
        </w:rPr>
        <w:t>H2'nin örneklemi n = 240'ta sabittir ve koşullu genişletme öngörülmez: veriye ya da ara ölçüme bakılarak desen değiştirilmez. Güç sınırı, ön-kayıtta ilan edilen saptanabilir en küçük etkileşimle yönetilir ve bulgu her hâlükârda bu sınırla birlikte raporlanır.</w:t>
      </w:r>
    </w:p>
    <w:p>
      <w:pPr>
        <w:widowControl/>
        <w:spacing w:after="40"/>
        <w:jc w:val="both"/>
      </w:pPr>
      <w:r>
        <w:rPr>
          <w:rFonts w:ascii="Arial" w:hAnsi="Arial" w:cs="Arial" w:eastAsia="Arial"/>
          <w:b w:val="0"/>
          <w:i w:val="0"/>
          <w:sz w:val="18"/>
        </w:rPr>
        <w:t>H1 baştan sona üstünlük hipotezidir ve çerçevesi hiçbir koşulda değiştirilmez; Kapı 1'in anlamı ile güç hesabı da böylece sabit kalır. Kısıtın kazancının eşdeğerlik bandına daralıp daralmadığı, H1'in sonucundan bağımsız biçimde ikincil ve keşifsel bir eşdeğerlik analiziyle (delta = 0,10) raporlanır.</w:t>
      </w:r>
    </w:p>
    <w:p>
      <w:pPr>
        <w:keepNext/>
        <w:widowControl/>
        <w:spacing w:before="140" w:after="40"/>
      </w:pPr>
      <w:r>
        <w:rPr>
          <w:rFonts w:ascii="Arial" w:hAnsi="Arial" w:cs="Arial" w:eastAsia="Arial"/>
          <w:b/>
          <w:i w:val="0"/>
          <w:color w:val="1F3864"/>
          <w:sz w:val="18"/>
        </w:rPr>
        <w:t>DUYARLILIK VE İKİNCİL ANALİZLER</w:t>
      </w:r>
    </w:p>
    <w:p>
      <w:pPr>
        <w:widowControl/>
        <w:spacing w:after="40"/>
        <w:jc w:val="both"/>
      </w:pPr>
      <w:r>
        <w:rPr>
          <w:rFonts w:ascii="Arial" w:hAnsi="Arial" w:cs="Arial" w:eastAsia="Arial"/>
          <w:b w:val="0"/>
          <w:i w:val="0"/>
          <w:sz w:val="18"/>
        </w:rPr>
        <w:t>Aşağıdakilerin hiçbiri onaylayıcı ailenin üyesi değildir; tamamı düzeltmesiz, etki büyüklüğü ve aralığıyla raporlanır. H2'nin etkileşim kestirimi GEE ile yinelenir, aralıkları profil-olabilirlikle karşılaştırılır; H3'te sıralı eğilim terimi; H5'te eşleştirilmiş DeLong; H6'da ikilileştirilmiş bulgu göstergesinde Cochran Q, sayımda karma Poisson; H4'te kappa yaygınlık paradoksuna karşı Gwet AC1; bileşik ölçülerde 2.000 yeniden örneklemeli BCa aralığı kullanılır. Dokuz noktalı eşik süpürmesi, rol-çıkarma kontrastları, alt gruplar ve sağlayıcı bloğu kontrolü de buradadır: 80 belgelik alt kümede sağlayıcı x mimari etkileşiminin gücü aynı simülasyonla 0,80'in altında kestirildiğinden bu, bloklama varsayımını sınayan keşifsel bir kontroldür.</w:t>
      </w:r>
    </w:p>
    <w:p>
      <w:pPr>
        <w:keepNext/>
        <w:widowControl/>
        <w:spacing w:before="140" w:after="40"/>
      </w:pPr>
      <w:r>
        <w:rPr>
          <w:rFonts w:ascii="Arial" w:hAnsi="Arial" w:cs="Arial" w:eastAsia="Arial"/>
          <w:b/>
          <w:i w:val="0"/>
          <w:color w:val="1F3864"/>
          <w:sz w:val="18"/>
        </w:rPr>
        <w:t>2.7 ÖN ÇALIŞMA VE FİZİBİLİTE BULGULARI</w:t>
      </w:r>
    </w:p>
    <w:p>
      <w:pPr>
        <w:widowControl/>
        <w:spacing w:after="40"/>
        <w:jc w:val="both"/>
      </w:pPr>
      <w:r>
        <w:rPr>
          <w:rFonts w:ascii="Arial" w:hAnsi="Arial" w:cs="Arial" w:eastAsia="Arial"/>
          <w:b w:val="0"/>
          <w:i w:val="0"/>
          <w:sz w:val="18"/>
        </w:rPr>
        <w:t>Ön çalışma, ekip üyelerinin ders ve kulüp kapsamında kamu desteği almadan geliştirdiği prototiptir. Aynı 108 belgede yalnız yönlendirme düğümünün karar kaynağı değiştiğinde hedef birim ilk-sıra isabeti deterministik/kısıtlı kolda 0,907, kısıtsız kolda 0,537-0,593 ölçülmüştür. Bu değerler iki yüzü aşkın sürüm önce, hizmet dışı bir modelle üretildiği için bayattır; başarım iddiası değildir, İP1'de yeniden ölçülecektir.</w:t>
      </w:r>
    </w:p>
    <w:p>
      <w:pPr>
        <w:widowControl/>
        <w:spacing w:after="40"/>
        <w:jc w:val="both"/>
      </w:pPr>
      <w:r>
        <w:rPr>
          <w:rFonts w:ascii="Arial" w:hAnsi="Arial" w:cs="Arial" w:eastAsia="Arial"/>
          <w:b w:val="0"/>
          <w:i w:val="0"/>
          <w:sz w:val="18"/>
        </w:rPr>
        <w:t>Öz-denetim kaydı: deterministik yedeğin kuralları bir genelleme kümesine uyarlandığından o kümede yapay yüksek başarım üretmiş, küme taban sayılamaz ilan edilmiştir (sızıntı denetiminin gerekçesi). Bozma işlecinin çapası yalnız 3 belgede ölçülmüş, ortalama CER 0,1123 bulunmuştur; İP1'de en az 50 görüntüde yeniden ölçülecektir. Güven bandı kalibrasyonunda üç bandın isabeti 204 belgede, taban 0,598 ölçülmüştür.</w:t>
      </w:r>
    </w:p>
    <w:p>
      <w:pPr>
        <w:widowControl/>
        <w:spacing w:after="40"/>
        <w:jc w:val="both"/>
      </w:pPr>
      <w:r>
        <w:rPr>
          <w:rFonts w:ascii="Arial" w:hAnsi="Arial" w:cs="Arial" w:eastAsia="Arial"/>
          <w:b w:val="0"/>
          <w:i w:val="0"/>
          <w:sz w:val="18"/>
        </w:rPr>
        <w:t>Güncel kod tabanında koşulan tek ölçüm: model çağrısı içermeyen deterministik erişim yolu yeniden koşulmuş, madde bazında parçalanmış mevzuat korpusunda altın belge kümesinde (n = 16) olasılıksal seyrek erişim Recall@1 = 0,750 [Wilson %95 güven aralığı 0,505-0,898], Recall@3 = 0,938 [0,717-0,989] ve karşılıklı sıra ortalaması 0,812 vermiştir. Örneklem küçük olduğundan aralıklar geniştir, İP1'de altın küme büyütülerek daraltılacaktır.</w:t>
      </w:r>
    </w:p>
    <w:p>
      <w:pPr>
        <w:widowControl/>
        <w:spacing w:after="40"/>
        <w:jc w:val="both"/>
      </w:pPr>
      <w:r>
        <w:rPr>
          <w:rFonts w:ascii="Arial" w:hAnsi="Arial" w:cs="Arial" w:eastAsia="Arial"/>
          <w:b w:val="0"/>
          <w:i w:val="0"/>
          <w:sz w:val="18"/>
        </w:rPr>
        <w:t>Ölçülmemiş kalemler beyan edilir: p95 gecikme, belge başına maliyet (tahmindir), özet ve üslup hakem değerlendirmesi, müzakerenin yakınsaması, defterlenmemiş düğümler. Üçü (gecikme, maliyet, yakınsama) D1-D3'ün bağımlı değişkenlerine dönüştürülmüş, kalan ikisi kapsam dışı bırakılmıştır.</w:t>
      </w:r>
    </w:p>
    <w:p>
      <w:pPr>
        <w:keepNext/>
        <w:widowControl/>
        <w:spacing w:before="140" w:after="40"/>
      </w:pPr>
      <w:r>
        <w:rPr>
          <w:rFonts w:ascii="Arial" w:hAnsi="Arial" w:cs="Arial" w:eastAsia="Arial"/>
          <w:b/>
          <w:i w:val="0"/>
          <w:color w:val="1F3864"/>
          <w:sz w:val="18"/>
        </w:rPr>
        <w:t>2.7.1 MEVCUT OLAN İLE ÜRETİLECEK OLANIN AYRIMI</w:t>
      </w:r>
    </w:p>
    <w:p>
      <w:pPr>
        <w:widowControl/>
        <w:spacing w:after="40"/>
        <w:jc w:val="both"/>
      </w:pPr>
      <w:r>
        <w:rPr>
          <w:rFonts w:ascii="Arial" w:hAnsi="Arial" w:cs="Arial" w:eastAsia="Arial"/>
          <w:b w:val="0"/>
          <w:i w:val="0"/>
          <w:sz w:val="18"/>
        </w:rPr>
        <w:t>Ön çalışma ürün değil, ölçüm aracıdır: kurulu bir graf ve ön-kayıtsız, körlemesiz, tek koşullu bir betikle 108 belgede alınmış, sızıntı denetimsiz tek değişkenli bir gözlem. Üretilecek olan altıdır: dört kolun eşitlenmesi; mimari x bozulma etkileşimi (bozulma hiç manipüle edilmemiştir); kör uzman ölçütüne karşı geçerlilik; eşik süpürmesi, aşmazlık ve eşdeğerlik sınamaları; yakınsamanın ölçümü; ön-kayıt, körleme, replikasyon ve ekip dışı koşum.</w:t>
      </w:r>
    </w:p>
    <w:p>
      <w:pPr>
        <w:keepNext/>
        <w:widowControl/>
        <w:spacing w:before="140" w:after="40"/>
      </w:pPr>
      <w:r>
        <w:rPr>
          <w:rFonts w:ascii="Arial" w:hAnsi="Arial" w:cs="Arial" w:eastAsia="Arial"/>
          <w:b/>
          <w:i w:val="0"/>
          <w:color w:val="1F3864"/>
          <w:sz w:val="18"/>
        </w:rPr>
        <w:t>2.8 YÖNTEM - ÇALIŞMA TAKVİMİ İLİŞKİSİ VE ETİK</w:t>
      </w:r>
    </w:p>
    <w:p>
      <w:pPr>
        <w:widowControl/>
        <w:spacing w:after="40"/>
        <w:jc w:val="both"/>
      </w:pPr>
      <w:r>
        <w:rPr>
          <w:rFonts w:ascii="Arial" w:hAnsi="Arial" w:cs="Arial" w:eastAsia="Arial"/>
          <w:b w:val="0"/>
          <w:i w:val="0"/>
          <w:sz w:val="18"/>
        </w:rPr>
        <w:t>Hipotez-iş paketi eşlemesi 2.6 tablosunun İP sütunundadır: H2 verisi İP2'de üretilir, onaylayıcı istatistiksel kararı Kapı 4 açıldığında verilir; kapı sırası iş paketi sorumluluğunu değiştirmez. İP1 (1-3. ay) ön-kayıt kilidi, güç simülasyonu, katmanlı küme, bağımsız altın etiketler, sızıntı denetimi ve bozma kalibrasyonunu; İP5 (10-12. ay) replikasyon, dış geçerlilik ve bağımsız koşumu kapsar.</w:t>
      </w:r>
    </w:p>
    <w:p>
      <w:pPr>
        <w:widowControl/>
        <w:spacing w:after="40"/>
        <w:jc w:val="both"/>
      </w:pPr>
      <w:r>
        <w:rPr>
          <w:rFonts w:ascii="Arial" w:hAnsi="Arial" w:cs="Arial" w:eastAsia="Arial"/>
          <w:b w:val="0"/>
          <w:i w:val="0"/>
          <w:sz w:val="18"/>
        </w:rPr>
        <w:t>Etik: (1) D1 ve D3 kapsamındaki makine deneyleri insan katılımcı içermez; ölçüm birimi belge ve metindeki iddiadır. D2'de değerlendiricilerden uzman yargısı alınır ve bu aşamanın etik statüsüne yetkili etik kurul karar verir; ayrıntı 5. bölümdedir. (2) Veri katmanları ile sentetik/kamuya açık ayrımı 2.2'de tanımlıdır; hiçbir belge katmanında kişisel veri işlenmez ve değerlendiricilere ilişkin kişisel veri araştırma veri kümelerine girmez. (3) Kurul kararı alınmadan hiçbir değerlendirme verisi toplanmaz; resmî görüş İP1'in ilk ayında istenir ve kör değerlendirme, karar dosyaya girmeden başlamaz (5. bölüm).</w:t>
      </w:r>
    </w:p>
    <w:p w14:paraId="1F50FA0B" w14:textId="77777777" w:rsidR="006F7368" w:rsidRDefault="006F7368">
      <w:pPr>
        <w:keepNext/>
        <w:widowControl/>
        <w:sectPr w:rsidR="006F7368">
          <w:headerReference w:type="default" r:id="rId9"/>
          <w:footerReference w:type="default" r:id="rId10"/>
          <w:pgSz w:w="11906" w:h="16838"/>
          <w:pgMar w:top="1418" w:right="1418" w:bottom="1418" w:left="1418" w:header="709" w:footer="709" w:gutter="0"/>
          <w:cols w:space="708"/>
          <w:formProt w:val="0"/>
          <w:docGrid w:linePitch="360" w:charSpace="24576"/>
        </w:sectPr>
      </w:pPr>
    </w:p>
    <w:p w14:paraId="0095384A" w14:textId="77777777" w:rsidR="006F7368" w:rsidRDefault="002E7A1C" w:rsidP="00190A53">
      <w:pPr>
        <w:pStyle w:val="WW-NormalWeb1"/>
        <w:keepNext/>
        <w:widowControl/>
        <w:numPr>
          <w:ilvl w:val="0"/>
          <w:numId w:val="2"/>
        </w:numPr>
        <w:spacing w:before="220" w:after="80"/>
        <w:ind w:left="142" w:hanging="218"/>
        <w:jc w:val="both"/>
        <w:rPr>
          <w:rFonts w:ascii="Arial" w:hAnsi="Arial" w:cs="Arial"/>
          <w:b/>
          <w:bCs/>
          <w:sz w:val="18"/>
          <w:szCs w:val="18"/>
        </w:rPr>
        <w:pBdr>
          <w:bottom w:val="single" w:sz="8" w:space="3" w:color="1F3864"/>
        </w:pBdr>
      </w:pPr>
      <w:r>
        <w:rPr>
          <w:rFonts w:ascii="Arial" w:hAnsi="Arial" w:cs="Arial" w:eastAsia="Arial"/>
          <w:b/>
          <w:bCs/>
          <w:i w:val="0"/>
          <w:color w:val="1F3864"/>
          <w:sz w:val="22"/>
          <w:szCs w:val="18"/>
        </w:rPr>
        <w:lastRenderedPageBreak/>
        <w:t xml:space="preserve"> PROJE YÖNETİMİ </w:t>
      </w:r>
    </w:p>
    <w:p>
      <w:pPr>
        <w:widowControl/>
        <w:spacing w:after="40"/>
        <w:jc w:val="both"/>
      </w:pPr>
      <w:r>
        <w:rPr>
          <w:rFonts w:ascii="Arial" w:hAnsi="Arial" w:cs="Arial" w:eastAsia="Arial"/>
          <w:b w:val="0"/>
          <w:i w:val="0"/>
          <w:sz w:val="18"/>
        </w:rPr>
        <w:t>Kapsam katmanları: Öncelik sırası önceden ilan edilmiştir. Çekirdek katman vazgeçilmezdir ve hiçbir koşulda küçültülmez; kapsamı 2.1'de tanımlıdır. Tamamlayıcı katman D3'ü (kapı süpürmesi ve müzakere ablasyonu) ile dış geçerlilik sınamasını kapsar; kaynak sıkışırsa kapsamı daraltılır ve ilgili hipotezler keşifsel etiketlenir. Opsiyonel katman yayın ve yaygınlaştırma çıktılarıdır; bunlar projenin başarı şartı değildir. Projenin başarısı çekirdek katmana bağlıdır.</w:t>
      </w:r>
    </w:p>
    <w:p>
      <w:pPr>
        <w:widowControl/>
        <w:spacing w:after="40"/>
        <w:jc w:val="both"/>
      </w:pPr>
      <w:r>
        <w:rPr>
          <w:rFonts w:ascii="Arial" w:hAnsi="Arial" w:cs="Arial" w:eastAsia="Arial"/>
          <w:b w:val="0"/>
          <w:i w:val="0"/>
          <w:sz w:val="18"/>
        </w:rPr>
        <w:t>İş gücü planı: üç öğrencinin haftada ortalama on dört saatlik katkısı on iki ayda 12,6 adam-ay eder; takvimdeki katkı yüzdeleri bu kapasitenin iş paketlerine dağılımıdır (İP1 2,1 · İP2 3,2 · İP3 2,9 · İP4 2,6 · İP5 1,8 adam-ay; toplam 12,6). Hacmin büyük bölümü öğrenci emeği değildir: 6.800 koşum gözetimsiz makine zamanıdır (200-500 saat), kör değerlendirme ile bağımsız koşum hizmet alımıyla dışarıdan sağlanır. Öğrenci emeği tasarım, etiketleme, çözümleme ve yazımda yoğunlaşır. Gerçekleşen efor kapasiteyi aşarsa 2.1'deki azaltma sırası kapsama uygulanır; takvim de bunun için İP3-İP4 arasında iki aylık örtüşme payı bırakır.</w:t>
      </w:r>
    </w:p>
    <w:p>
      <w:pPr>
        <w:widowControl/>
        <w:spacing w:after="40"/>
        <w:jc w:val="both"/>
      </w:pPr>
      <w:r>
        <w:rPr>
          <w:rFonts w:ascii="Arial" w:hAnsi="Arial" w:cs="Arial" w:eastAsia="Arial"/>
          <w:b w:val="0"/>
          <w:i w:val="0"/>
          <w:sz w:val="18"/>
        </w:rPr>
        <w:t>Yürütme sabit bir izleme yordamına bağlıdır. Ekip haftada bir toplanır; o haftanın koşum, etiketleme ve analiz çıktıları ilgili iş paketinin başarı ölçütleriyle karşılaştırılır, gecikme sinyali takvim üzerinde işaretlenir. Danışmanla iki haftada bir denetim toplantısı yapılır; ön-kayıt metni, istatistiksel model seçimleri ve kodlama kılavuzu bu toplantılarda onaylanır.</w:t>
      </w:r>
    </w:p>
    <w:p>
      <w:pPr>
        <w:widowControl/>
        <w:spacing w:after="40"/>
        <w:jc w:val="both"/>
      </w:pPr>
      <w:r>
        <w:rPr>
          <w:rFonts w:ascii="Arial" w:hAnsi="Arial" w:cs="Arial" w:eastAsia="Arial"/>
          <w:b w:val="0"/>
          <w:i w:val="0"/>
          <w:sz w:val="18"/>
        </w:rPr>
        <w:t>Her iş paketinde bir birincil ve bir ikincil sorumlu tanımlıdır; ikincil sorumlu artefaktlara ve koşum betiklerine ilk aydan itibaren erişir, böylece hiçbir paket tek kişiye bağlı kalmaz. Belge kümesi, istem şablonları, koşum çıktıları ve analiz betikleri sürüm damgalı tek bir depoda tutulur; her koşum model sürümü, kod sürümü, tarih ve tohum bilgisiyle kaydedilir. Ön-kayıttan her sapma gerekçesi ve tarihiyle bir değişiklik günlüğüne yazılır ve yayında bu günlükle birlikte sunulur.</w:t>
      </w:r>
    </w:p>
    <w:p>
      <w:pPr>
        <w:widowControl/>
        <w:spacing w:after="40"/>
        <w:jc w:val="both"/>
      </w:pPr>
      <w:r>
        <w:rPr>
          <w:rFonts w:ascii="Arial" w:hAnsi="Arial" w:cs="Arial" w:eastAsia="Arial"/>
          <w:b w:val="0"/>
          <w:i w:val="0"/>
          <w:sz w:val="18"/>
        </w:rPr>
        <w:t>Ekip dışı hizmetler parti teslimine bağlanır: kör değerlendirme 100'erlik üç partide alınır ve her parti tesliminde uyum katsayısı ayrı hesaplanarak ilerleme ölçülür; yeniden üretim paketinin bağımsız koşumu İP5 içinde tek partide teslim alınır. Böylece bir gecikme tüm iş paketini değil yalnız ilgili partiyi etkiler.</w:t>
      </w:r>
    </w:p>
    <w:p w14:paraId="779D1C83" w14:textId="77777777" w:rsidR="006F7368" w:rsidRDefault="006F7368">
      <w:pPr>
        <w:pStyle w:val="WW-NormalWeb1"/>
        <w:widowControl/>
        <w:tabs>
          <w:tab w:val="left" w:pos="280"/>
          <w:tab w:val="left" w:pos="426"/>
        </w:tabs>
        <w:spacing w:before="0" w:after="0"/>
        <w:ind w:left="284"/>
        <w:jc w:val="both"/>
        <w:rPr>
          <w:rFonts w:ascii="Arial" w:hAnsi="Arial" w:cs="Arial"/>
          <w:b/>
          <w:bCs/>
          <w:sz w:val="18"/>
          <w:szCs w:val="18"/>
        </w:rPr>
      </w:pPr>
    </w:p>
    <w:p w14:paraId="615BBF2E" w14:textId="301776F5" w:rsidR="006F7368" w:rsidRDefault="00725BCE">
      <w:pPr>
        <w:pStyle w:val="WW-NormalWeb1"/>
        <w:keepNext/>
        <w:widowControl/>
        <w:numPr>
          <w:ilvl w:val="1"/>
          <w:numId w:val="4"/>
        </w:numPr>
        <w:spacing w:before="160" w:after="60"/>
        <w:jc w:val="both"/>
        <w:rPr>
          <w:rFonts w:ascii="Arial" w:hAnsi="Arial" w:cs="Arial"/>
          <w:b/>
          <w:bCs/>
          <w:sz w:val="18"/>
          <w:szCs w:val="18"/>
        </w:rPr>
      </w:pPr>
      <w:r>
        <w:rPr>
          <w:rFonts w:ascii="Arial" w:hAnsi="Arial" w:cs="Arial" w:eastAsia="Arial"/>
          <w:b/>
          <w:bCs/>
          <w:i w:val="0"/>
          <w:color w:val="1F3864"/>
          <w:sz w:val="19"/>
          <w:szCs w:val="18"/>
        </w:rPr>
        <w:t>Çalışma Takvimi</w:t>
      </w:r>
    </w:p>
    <w:p w14:paraId="17C23B2E" w14:textId="77777777" w:rsidR="006F7368" w:rsidRDefault="006F7368">
      <w:pPr>
        <w:pStyle w:val="WW-NormalWeb1"/>
        <w:keepNext/>
        <w:widowControl/>
        <w:spacing w:before="0" w:after="0"/>
        <w:ind w:left="360"/>
        <w:jc w:val="both"/>
        <w:rPr>
          <w:rFonts w:ascii="Arial" w:hAnsi="Arial" w:cs="Arial"/>
          <w:b/>
          <w:bCs/>
          <w:sz w:val="18"/>
          <w:szCs w:val="18"/>
        </w:rPr>
      </w:pPr>
    </w:p>
    <w:p w14:paraId="225830B4" w14:textId="77777777" w:rsidR="006F7368" w:rsidRDefault="006F7368" w:rsidP="00190A53">
      <w:pPr>
        <w:pStyle w:val="WW-NormalWeb1"/>
        <w:keepNext/>
        <w:widowControl/>
        <w:spacing w:before="0" w:after="0"/>
        <w:ind w:left="426"/>
        <w:jc w:val="both"/>
        <w:rPr>
          <w:rFonts w:ascii="Arial" w:hAnsi="Arial" w:cs="Arial"/>
          <w:sz w:val="18"/>
          <w:szCs w:val="18"/>
        </w:rPr>
      </w:pPr>
    </w:p>
    <w:p w14:paraId="4031B249" w14:textId="5E21D584" w:rsidR="006F7368" w:rsidRDefault="00725BCE">
      <w:pPr>
        <w:pStyle w:val="WW-NormalWeb1"/>
        <w:keepNext/>
        <w:widowControl/>
        <w:spacing w:before="160" w:after="60"/>
        <w:jc w:val="center"/>
        <w:rPr>
          <w:rFonts w:ascii="Arial" w:hAnsi="Arial" w:cs="Arial"/>
          <w:sz w:val="16"/>
          <w:szCs w:val="16"/>
        </w:rPr>
      </w:pPr>
      <w:r>
        <w:rPr>
          <w:rFonts w:ascii="Arial" w:hAnsi="Arial" w:cs="Arial" w:eastAsia="Arial"/>
          <w:b/>
          <w:bCs/>
          <w:i w:val="0"/>
          <w:color w:val="1F3864"/>
          <w:sz w:val="19"/>
          <w:szCs w:val="18"/>
        </w:rPr>
        <w:t xml:space="preserve">ÇALIŞMA TAKVİMİ </w:t>
      </w:r>
      <w:r w:rsidR="002E7A1C">
        <w:rPr>
          <w:rFonts w:ascii="Arial" w:hAnsi="Arial" w:cs="Arial" w:eastAsia="Arial"/>
          <w:b/>
          <w:bCs/>
          <w:i w:val="0"/>
          <w:color w:val="1F3864"/>
          <w:sz w:val="19"/>
          <w:szCs w:val="18"/>
        </w:rPr>
        <w:t>(*)</w:t>
      </w:r>
    </w:p>
    <w:p w14:paraId="4D91679F" w14:textId="77777777" w:rsidR="006F7368" w:rsidRDefault="002E7A1C">
      <w:pPr>
        <w:pStyle w:val="WW-NormalWeb1"/>
        <w:keepNext/>
        <w:widowControl/>
        <w:spacing w:before="0" w:after="0"/>
        <w:rPr>
          <w:rFonts w:ascii="Arial" w:hAnsi="Arial" w:cs="Arial"/>
          <w:sz w:val="16"/>
          <w:szCs w:val="16"/>
        </w:rPr>
      </w:pPr>
      <w:r>
        <w:rPr>
          <w:rFonts w:ascii="Arial" w:hAnsi="Arial"/>
          <w:bCs/>
          <w:sz w:val="16"/>
          <w:szCs w:val="18"/>
        </w:rPr>
        <w:t xml:space="preserve">  </w:t>
      </w:r>
      <w:r>
        <w:rPr>
          <w:rFonts w:ascii="Arial" w:hAnsi="Arial" w:cs="Arial"/>
          <w:sz w:val="16"/>
          <w:szCs w:val="16"/>
        </w:rPr>
        <w:t xml:space="preserve">      </w:t>
      </w:r>
    </w:p>
    <w:tbl>
      <w:tblPr>
        <w:tblW w:w="4728" w:type="pct"/>
        <w:tblInd w:w="496" w:type="dxa"/>
        <w:tblCellMar>
          <w:left w:w="70" w:type="dxa"/>
          <w:right w:w="70" w:type="dxa"/>
        </w:tblCellMar>
        <w:tblLook w:val="04A0" w:firstRow="1" w:lastRow="0" w:firstColumn="1" w:lastColumn="0" w:noHBand="0" w:noVBand="1"/>
      </w:tblPr>
      <w:tblGrid>
        <w:gridCol w:w="1920"/>
        <w:gridCol w:w="1878"/>
        <w:gridCol w:w="2340"/>
        <w:gridCol w:w="2429"/>
      </w:tblGrid>
      <w:tr w:rsidR="000D0AB4" w14:paraId="5C084324" w14:textId="77777777" w:rsidTr="00190A53">
        <w:trPr>
          <w:trHeight w:val="658"/>
          <w:tblHeader w:val="true"/>
        </w:trPr>
        <w:tc>
          <w:tcPr>
            <w:tcW w:w="1920" w:type="dxa"/>
            <w:tcBorders>
              <w:top w:val="single" w:sz="4" w:space="0" w:color="000000"/>
              <w:left w:val="single" w:sz="4" w:space="0" w:color="000000"/>
              <w:bottom w:val="single" w:sz="4" w:space="0" w:color="000000"/>
              <w:right w:val="single" w:sz="4" w:space="0" w:color="000000"/>
            </w:tcBorders>
            <w:shd w:val="clear" w:color="auto" w:fill="D9D9D9"/>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shd w:val="clear" w:color="auto" w:fill="1F3864"/>
          </w:tcPr>
          <w:p w14:paraId="5E411514" w14:textId="77777777" w:rsidR="000D0AB4" w:rsidRDefault="000D0AB4" w:rsidP="000D0AB4">
            <w:pPr>
              <w:widowControl/>
              <w:spacing w:before="280" w:after="119"/>
              <w:contextualSpacing/>
              <w:jc w:val="center"/>
              <w:rPr>
                <w:rFonts w:ascii="Arial" w:hAnsi="Arial" w:cs="Arial"/>
                <w:b/>
                <w:bCs/>
                <w:sz w:val="18"/>
                <w:szCs w:val="18"/>
              </w:rPr>
            </w:pPr>
            <w:r>
              <w:rPr>
                <w:rFonts w:ascii="Arial" w:hAnsi="Arial" w:cs="Arial" w:eastAsia="Arial"/>
                <w:b/>
                <w:bCs/>
                <w:i w:val="0"/>
                <w:color w:val="FFFFFF"/>
                <w:sz w:val="18"/>
                <w:szCs w:val="18"/>
              </w:rPr>
              <w:t>Tarih Aralığı</w:t>
            </w:r>
          </w:p>
          <w:p w14:paraId="01D283B3" w14:textId="5A766FD1" w:rsidR="000D0AB4" w:rsidRDefault="000D0AB4" w:rsidP="000D0AB4">
            <w:pPr>
              <w:widowControl/>
              <w:spacing w:before="280" w:after="119"/>
              <w:contextualSpacing/>
              <w:jc w:val="center"/>
              <w:rPr>
                <w:rFonts w:ascii="Arial" w:hAnsi="Arial" w:cs="Arial"/>
                <w:b/>
                <w:bCs/>
                <w:sz w:val="18"/>
                <w:szCs w:val="18"/>
              </w:rPr>
            </w:pPr>
          </w:p>
        </w:tc>
        <w:tc>
          <w:tcPr>
            <w:tcW w:w="1878" w:type="dxa"/>
            <w:tcBorders>
              <w:top w:val="single" w:sz="4" w:space="0" w:color="000000"/>
              <w:left w:val="single" w:sz="4" w:space="0" w:color="000000"/>
              <w:bottom w:val="single" w:sz="4" w:space="0" w:color="000000"/>
              <w:right w:val="single" w:sz="4" w:space="0" w:color="000000"/>
            </w:tcBorders>
            <w:shd w:val="clear" w:color="auto" w:fill="D9D9D9"/>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shd w:val="clear" w:color="auto" w:fill="1F3864"/>
          </w:tcPr>
          <w:p w14:paraId="04131EEE" w14:textId="0CAC8476" w:rsidR="000D0AB4" w:rsidRDefault="000D0AB4" w:rsidP="000D0AB4">
            <w:pPr>
              <w:widowControl/>
              <w:spacing w:before="280" w:after="119"/>
              <w:contextualSpacing/>
              <w:jc w:val="center"/>
              <w:rPr>
                <w:rFonts w:ascii="Arial" w:hAnsi="Arial" w:cs="Arial"/>
                <w:b/>
                <w:bCs/>
                <w:sz w:val="18"/>
                <w:szCs w:val="18"/>
              </w:rPr>
            </w:pPr>
            <w:r>
              <w:rPr>
                <w:rFonts w:ascii="Arial" w:hAnsi="Arial" w:cs="Arial" w:eastAsia="Arial"/>
                <w:b/>
                <w:bCs/>
                <w:i w:val="0"/>
                <w:color w:val="FFFFFF"/>
                <w:sz w:val="18"/>
                <w:szCs w:val="18"/>
              </w:rPr>
              <w:t>Faaliyetler</w:t>
            </w:r>
            <w:r w:rsidR="00C05F64">
              <w:rPr>
                <w:rFonts w:ascii="Arial" w:hAnsi="Arial" w:cs="Arial" w:eastAsia="Arial"/>
                <w:b/>
                <w:bCs/>
                <w:i w:val="0"/>
                <w:color w:val="FFFFFF"/>
                <w:sz w:val="18"/>
                <w:szCs w:val="18"/>
              </w:rPr>
              <w:t>**</w:t>
            </w:r>
          </w:p>
        </w:tc>
        <w:tc>
          <w:tcPr>
            <w:tcW w:w="2340" w:type="dxa"/>
            <w:tcBorders>
              <w:top w:val="single" w:sz="4" w:space="0" w:color="000000"/>
              <w:left w:val="single" w:sz="4" w:space="0" w:color="000000"/>
              <w:bottom w:val="single" w:sz="4" w:space="0" w:color="000000"/>
              <w:right w:val="single" w:sz="4" w:space="0" w:color="000000"/>
            </w:tcBorders>
            <w:shd w:val="clear" w:color="auto" w:fill="D9D9D9"/>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shd w:val="clear" w:color="auto" w:fill="1F3864"/>
          </w:tcPr>
          <w:p w14:paraId="5D17E713" w14:textId="7EC8A4D6" w:rsidR="000D0AB4" w:rsidRDefault="000D0AB4">
            <w:pPr>
              <w:widowControl/>
              <w:spacing w:before="280" w:after="119"/>
              <w:contextualSpacing/>
              <w:jc w:val="center"/>
              <w:rPr>
                <w:rFonts w:ascii="Arial" w:hAnsi="Arial" w:cs="Arial"/>
                <w:b/>
                <w:bCs/>
                <w:sz w:val="18"/>
                <w:szCs w:val="18"/>
              </w:rPr>
            </w:pPr>
            <w:r>
              <w:rPr>
                <w:rFonts w:ascii="Arial" w:hAnsi="Arial" w:cs="Arial" w:eastAsia="Arial"/>
                <w:b/>
                <w:bCs/>
                <w:i w:val="0"/>
                <w:color w:val="FFFFFF"/>
                <w:sz w:val="18"/>
                <w:szCs w:val="18"/>
              </w:rPr>
              <w:t>Kim(ler) Tarafından Gerçekleştirileceği</w:t>
            </w:r>
            <w:r w:rsidDel="000D0AB4">
              <w:rPr>
                <w:rFonts w:ascii="Arial" w:hAnsi="Arial" w:cs="Arial" w:eastAsia="Arial"/>
                <w:b/>
                <w:bCs/>
                <w:i w:val="0"/>
                <w:color w:val="FFFFFF"/>
                <w:sz w:val="17"/>
                <w:szCs w:val="18"/>
              </w:rPr>
              <w:t xml:space="preserve"> </w:t>
            </w:r>
          </w:p>
        </w:tc>
        <w:tc>
          <w:tcPr>
            <w:tcW w:w="2429" w:type="dxa"/>
            <w:tcBorders>
              <w:top w:val="single" w:sz="4" w:space="0" w:color="000000"/>
              <w:left w:val="single" w:sz="4" w:space="0" w:color="000000"/>
              <w:bottom w:val="single" w:sz="4" w:space="0" w:color="000000"/>
              <w:right w:val="single" w:sz="4" w:space="0" w:color="000000"/>
            </w:tcBorders>
            <w:shd w:val="clear" w:color="auto" w:fill="D9D9D9"/>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shd w:val="clear" w:color="auto" w:fill="1F3864"/>
          </w:tcPr>
          <w:p w14:paraId="7908A754" w14:textId="726898C1" w:rsidR="000D0AB4" w:rsidRDefault="000D0AB4" w:rsidP="000E39BE">
            <w:pPr>
              <w:widowControl/>
              <w:spacing w:before="280" w:after="119"/>
              <w:contextualSpacing/>
              <w:jc w:val="center"/>
              <w:rPr>
                <w:rFonts w:ascii="Arial" w:hAnsi="Arial" w:cs="Arial"/>
                <w:b/>
                <w:bCs/>
                <w:sz w:val="18"/>
                <w:szCs w:val="18"/>
              </w:rPr>
            </w:pPr>
            <w:r>
              <w:rPr>
                <w:rFonts w:ascii="Arial" w:hAnsi="Arial" w:cs="Arial" w:eastAsia="Arial"/>
                <w:b/>
                <w:bCs/>
                <w:i w:val="0"/>
                <w:color w:val="FFFFFF"/>
                <w:sz w:val="18"/>
                <w:szCs w:val="18"/>
              </w:rPr>
              <w:t xml:space="preserve">Başarı Ölçütü ve </w:t>
            </w:r>
            <w:bookmarkStart w:id="1" w:name="_Hlk516083478"/>
            <w:r>
              <w:rPr>
                <w:rFonts w:ascii="Arial" w:hAnsi="Arial" w:cs="Arial" w:eastAsia="Arial"/>
                <w:b/>
                <w:bCs/>
                <w:i w:val="0"/>
                <w:color w:val="FFFFFF"/>
                <w:sz w:val="18"/>
                <w:szCs w:val="18"/>
              </w:rPr>
              <w:t xml:space="preserve">Araştırmanın Başarısına Katkısı*** </w:t>
            </w:r>
            <w:bookmarkEnd w:id="1"/>
          </w:p>
        </w:tc>
      </w:tr>
      <w:tr w:rsidR="000D0AB4" w14:paraId="712CA0B1" w14:textId="77777777" w:rsidTr="00190A53">
        <w:trPr>
          <w:trHeight w:val="439"/>
        </w:trPr>
        <w:tc>
          <w:tcPr>
            <w:tcW w:w="1920"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tcPr>
          <w:p>
            <w:pPr>
              <w:widowControl/>
              <w:spacing w:after="40" w:before="0"/>
            </w:pPr>
            <w:r>
              <w:rPr>
                <w:rFonts w:ascii="Arial" w:hAnsi="Arial" w:cs="Arial" w:eastAsia="Arial"/>
                <w:b w:val="0"/>
                <w:i w:val="0"/>
                <w:sz w:val="18"/>
              </w:rPr>
              <w:t>1-3. ay</w:t>
            </w:r>
          </w:p>
        </w:tc>
        <w:tc>
          <w:tcPr>
            <w:tcW w:w="1878"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tcPr>
          <w:p>
            <w:pPr>
              <w:widowControl/>
              <w:spacing w:after="40" w:before="0"/>
            </w:pPr>
            <w:r>
              <w:rPr>
                <w:rFonts w:ascii="Arial" w:hAnsi="Arial" w:cs="Arial" w:eastAsia="Arial"/>
                <w:b/>
                <w:i w:val="0"/>
                <w:sz w:val="18"/>
              </w:rPr>
              <w:t>İP1 — Deneysel çerçeve, ön-kayıt kilidi ve katmanlı ölçüm kümesinin hazırlanması</w:t>
            </w:r>
          </w:p>
          <w:p>
            <w:pPr>
              <w:widowControl/>
              <w:spacing w:after="40" w:before="0"/>
            </w:pPr>
            <w:r>
              <w:rPr>
                <w:rFonts w:ascii="Arial" w:hAnsi="Arial" w:cs="Arial" w:eastAsia="Arial"/>
                <w:b w:val="0"/>
                <w:i w:val="0"/>
                <w:sz w:val="18"/>
              </w:rPr>
              <w:t>Dış geçerlilik kümesinin kurulabilirliği kanıtlanır: 12 kurum türünden 10 belgelik ön tarama yapılır; erişilebilir ve kişisel veri içermeyen belge oranı %50'nin altında kalırsa küme 40 belgeye indirilir ve karar ön-kayıtta ilan edilir. Ön-kayıt kilidi: hipotezler, on bir testlik onaylayıcı aile, dört kapılı mekanizma hiyerarşisi ile ayrı ölçüm geçerliliği kolu, dışlama ölçütleri ve analiz planı veri toplanmadan önce yazılır; başvuru öncesinde koşulan Monte Carlo güç simülasyonu, kilitten önce güncel taban ölçümlerle yeniden koşulur. Yetkili etik kuruldan ilk ay içinde resmî görüş istenmesi; karar İP3 başına kadar gelmezse İP4'ün model koşumları öne alınır ve kör değerlendirme kurul kararından sonra başlar, takvim kayması iki ayı aşmaz; kurulun kararına göre onay ya da muafiyet belgesinin dosyaya eklenmesi. 19 elemanlı tür kümesi x üç zorluk çaprazında 240 ana ve 120 replikasyon belgesinin sabit tohumla üretimi ve etiketlenmesi; 108 belgelik ön çalışma kümesine karşı sızıntı denetimi ve sözlük örtüşmesinin ölçümü. En az 50 taranmış belgede karakter hata oranı ölçümü, bozma işlecinin bu orana çapalanması. Bayat taban metriklerin güncel sürümle yeniden koşumu; koşum, H1'in çerçeve kuralına girdi olduğundan kilitten önce biter.</w:t>
            </w:r>
          </w:p>
        </w:tc>
        <w:tc>
          <w:tcPr>
            <w:tcW w:w="2340"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tcPr>
          <w:p>
            <w:pPr>
              <w:widowControl/>
              <w:spacing w:after="40" w:before="0"/>
            </w:pPr>
            <w:r>
              <w:rPr>
                <w:rFonts w:ascii="Arial" w:hAnsi="Arial" w:cs="Arial" w:eastAsia="Arial"/>
                <w:b w:val="0"/>
                <w:i w:val="0"/>
                <w:sz w:val="18"/>
              </w:rPr>
              <w:t>Proje yürütücüsü öğrenci (ön-kayıt, güç simülasyonu, taban yeniden koşumu); Araştırmacı öğrenci 1 (bozma kalibrasyonu; altın etiketin ikinci bağımsız kaynağı, üreteci ve sözlüğü görmez); Araştırmacı öğrenci 2 (belge üreteci ve üretim, birinci kaynak); danışman (ön-kayıt onayı, etik kurul başvurusu, uyuşmazlık hakemliği)</w:t>
            </w:r>
          </w:p>
        </w:tc>
        <w:tc>
          <w:tcPr>
            <w:tcW w:w="2429"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tcPr>
          <w:p>
            <w:pPr>
              <w:widowControl/>
              <w:spacing w:after="40" w:before="0"/>
            </w:pPr>
            <w:r>
              <w:rPr>
                <w:rFonts w:ascii="Arial" w:hAnsi="Arial" w:cs="Arial" w:eastAsia="Arial"/>
                <w:b w:val="0"/>
                <w:i w:val="0"/>
                <w:sz w:val="18"/>
              </w:rPr>
              <w:t>1. ay sonu: üreteç ve etiket uzayı kilitli, 120 belge üretilmiş ve birinci kaynakta etiketlenmiş; etik kurula resmî görüş başvurusu yapılmış ve kayıt numarası alınmış. 2. ay sonu: ön-kayıt değiştirilemez zaman damgasıyla kilitli, gücü 0,80'in altında kalan hücreler ve H2 için saptanabilir en küçük etkileşim ilan edilmiş; 240 belgelik ana küme iki bağımsız kaynakta en az 0,90 uyumla etiketlenmiş ve sızıntı denetiminden geçmiş. 3. ay sonu: replikasyon kümesi mühürlenip ayrılmış; karakter hata oranı sapması üç seviyede 0,01'i geçmiyor; sözlük örtüşme oranı raporlanmış; on bağımlı değişkenin tamamı için sürüm damgalı taban artefaktı mevcut. Kısıtsız kolun yerel seviyedeki geçersiz çıktı oranı %20'yi aşarsa seviye tasarımdan çıkarılır.</w:t>
            </w:r>
          </w:p>
          <w:p>
            <w:pPr>
              <w:widowControl/>
              <w:spacing w:after="40" w:before="0"/>
            </w:pPr>
            <w:r>
              <w:rPr>
                <w:rFonts w:ascii="Arial" w:hAnsi="Arial" w:cs="Arial" w:eastAsia="Arial"/>
                <w:b w:val="0"/>
                <w:i w:val="0"/>
                <w:sz w:val="18"/>
              </w:rPr>
              <w:t>Katkı: %17</w:t>
            </w:r>
          </w:p>
        </w:tc>
      </w:tr>
      <w:tr w:rsidR="000D0AB4" w14:paraId="06CE70FC" w14:textId="77777777" w:rsidTr="00190A53">
        <w:trPr>
          <w:trHeight w:val="435"/>
        </w:trPr>
        <w:tc>
          <w:tcPr>
            <w:tcW w:w="1920"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shd w:val="clear" w:color="auto" w:fill="EEF2F8"/>
          </w:tcPr>
          <w:p>
            <w:pPr>
              <w:widowControl/>
              <w:spacing w:after="40" w:before="0"/>
            </w:pPr>
            <w:r>
              <w:rPr>
                <w:rFonts w:ascii="Arial" w:hAnsi="Arial" w:cs="Arial" w:eastAsia="Arial"/>
                <w:b w:val="0"/>
                <w:i w:val="0"/>
                <w:sz w:val="18"/>
              </w:rPr>
              <w:t>3-5. ay</w:t>
            </w:r>
          </w:p>
        </w:tc>
        <w:tc>
          <w:tcPr>
            <w:tcW w:w="1878"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shd w:val="clear" w:color="auto" w:fill="EEF2F8"/>
          </w:tcPr>
          <w:p>
            <w:pPr>
              <w:widowControl/>
              <w:spacing w:after="40" w:before="0"/>
            </w:pPr>
            <w:r>
              <w:rPr>
                <w:rFonts w:ascii="Arial" w:hAnsi="Arial" w:cs="Arial" w:eastAsia="Arial"/>
                <w:b/>
                <w:i w:val="0"/>
                <w:sz w:val="18"/>
              </w:rPr>
              <w:t>İP2 — Mimari x girdi bozulması faktöriyel deneyi ve hata yayılımı analizi</w:t>
            </w:r>
          </w:p>
          <w:p>
            <w:pPr>
              <w:widowControl/>
              <w:spacing w:after="40" w:before="0"/>
            </w:pPr>
            <w:r>
              <w:rPr>
                <w:rFonts w:ascii="Arial" w:hAnsi="Arial" w:cs="Arial" w:eastAsia="Arial"/>
                <w:b w:val="0"/>
                <w:i w:val="0"/>
                <w:sz w:val="18"/>
              </w:rPr>
              <w:t>Paketin ilk haftasında 20 belgelik maliyet pilotuyla belge başına maliyet tavanının ve (b2) taban kolunun kabul testinin koşulması: geri getirme ile öz-eleştiri tetiklenme oranları ilan edilen alt sınırla karşılaştırılır, altında kalan koşum b2 sayılmaz ve yeniden koşulur. Dört mimari kolun üç bozulma düzeyiyle çaprazlanması; 240 belgenin on iki koşulda sabit tohum, yönerge ve jeton bütçesiyle koşumu (2.880 gözlem). Sağlayıcı bloğunun 80 belgelik alt kümede iki ek sağlayıcıda tekrarı (1.440 ek gözlem). H1, H2, H3 ve H7'un ön-kayıtlı testlerle koşulması; niyet-tedavi çözümlemesinin yanı sıra geçerli çıktı alt kümesinde keşifsel tekrarın raporlanması; kırılma eşiğinin profil-olabilirlikle kestirilmesi.</w:t>
            </w:r>
          </w:p>
        </w:tc>
        <w:tc>
          <w:tcPr>
            <w:tcW w:w="2340"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shd w:val="clear" w:color="auto" w:fill="EEF2F8"/>
          </w:tcPr>
          <w:p>
            <w:pPr>
              <w:widowControl/>
              <w:spacing w:after="40" w:before="0"/>
            </w:pPr>
            <w:r>
              <w:rPr>
                <w:rFonts w:ascii="Arial" w:hAnsi="Arial" w:cs="Arial" w:eastAsia="Arial"/>
                <w:b w:val="0"/>
                <w:i w:val="0"/>
                <w:sz w:val="18"/>
              </w:rPr>
              <w:t>Proje yürütücüsü öğrenci (deneyin yürütülmesi, analiz); Araştırmacı öğrenci 1 (maliyet pilotu, koşum orkestrasyonu, blok koşumları); Araştırmacı öğrenci 2 (artefakt damgalama, bütünlük denetimi); danışman (model denetimi)</w:t>
            </w:r>
          </w:p>
        </w:tc>
        <w:tc>
          <w:tcPr>
            <w:tcW w:w="2429"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shd w:val="clear" w:color="auto" w:fill="EEF2F8"/>
          </w:tcPr>
          <w:p>
            <w:pPr>
              <w:widowControl/>
              <w:spacing w:after="40" w:before="0"/>
            </w:pPr>
            <w:r>
              <w:rPr>
                <w:rFonts w:ascii="Arial" w:hAnsi="Arial" w:cs="Arial" w:eastAsia="Arial"/>
                <w:b w:val="0"/>
                <w:i w:val="0"/>
                <w:sz w:val="18"/>
              </w:rPr>
              <w:t>Koşum artefaktlarının en az %98'i eksiksiz, sürüm damgalı ve yeniden üretilebilir. H1, H2, H3 ve H7 için etki büyüklüğü ve %95 aralık raporlanmış; H1'in üç bağımlı değişkeninde aralık genişliği 0,15'ten dar, en az ikisinde güç 0,80 üzeri. Ön-kayıt planına uyum %100. Maliyet tavanı pilotla ölçülmüş; (b2) kabul testi geçilmiş ve oranları raporlanmış.</w:t>
            </w:r>
          </w:p>
          <w:p>
            <w:pPr>
              <w:widowControl/>
              <w:spacing w:after="40" w:before="0"/>
            </w:pPr>
            <w:r>
              <w:rPr>
                <w:rFonts w:ascii="Arial" w:hAnsi="Arial" w:cs="Arial" w:eastAsia="Arial"/>
                <w:b w:val="0"/>
                <w:i w:val="0"/>
                <w:sz w:val="18"/>
              </w:rPr>
              <w:t>Katkı: %25</w:t>
            </w:r>
          </w:p>
        </w:tc>
      </w:tr>
      <w:tr w:rsidR="000D0AB4" w14:paraId="7F55FA8A" w14:textId="77777777" w:rsidTr="00190A53">
        <w:trPr>
          <w:trHeight w:val="441"/>
        </w:trPr>
        <w:tc>
          <w:tcPr>
            <w:tcW w:w="1920"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tcPr>
          <w:p>
            <w:pPr>
              <w:widowControl/>
              <w:spacing w:after="40" w:before="0"/>
            </w:pPr>
            <w:r>
              <w:rPr>
                <w:rFonts w:ascii="Arial" w:hAnsi="Arial" w:cs="Arial" w:eastAsia="Arial"/>
                <w:b w:val="0"/>
                <w:i w:val="0"/>
                <w:sz w:val="18"/>
              </w:rPr>
              <w:t>4-7. ay</w:t>
            </w:r>
          </w:p>
        </w:tc>
        <w:tc>
          <w:tcPr>
            <w:tcW w:w="1878"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tcPr>
          <w:p>
            <w:pPr>
              <w:widowControl/>
              <w:spacing w:after="40" w:before="0"/>
            </w:pPr>
            <w:r>
              <w:rPr>
                <w:rFonts w:ascii="Arial" w:hAnsi="Arial" w:cs="Arial" w:eastAsia="Arial"/>
                <w:b/>
                <w:i w:val="0"/>
                <w:sz w:val="18"/>
              </w:rPr>
              <w:t>İP3 — Dayanak doğrulayıcısının ölçüm geçerliliği ve kör uzman uyumu</w:t>
            </w:r>
          </w:p>
          <w:p>
            <w:pPr>
              <w:widowControl/>
              <w:spacing w:after="40" w:before="0"/>
            </w:pPr>
            <w:r>
              <w:rPr>
                <w:rFonts w:ascii="Arial" w:hAnsi="Arial" w:cs="Arial" w:eastAsia="Arial"/>
                <w:b w:val="0"/>
                <w:i w:val="0"/>
                <w:sz w:val="18"/>
              </w:rPr>
              <w:t>İddia düzeyinde çapa çıkarımı; ana kümeden en az 50 belgeden 240 iddia ve dış geçerlilik kümesindeki 60 belgeden 60 iddia olmak üzere, belge başına en fazla 6 iddia sabit tohumlu rastgele örneklemeyle seçilerek 300 iddialık kör değerlendirme kümesinin kurulması; seçim betiği ön-kayıt ekindedir. Sistemin hiç iddia çıkarmadığı belgeler ayrı sayılır ve kapsam sınırı olarak raporlanır. Kodlama kılavuzunun yazılması ve tek seferlik kalibrasyon turu. Üç bağımsız değerlendiricinin — biri hizmet alımıyla ücretlendirilir, ikisi gönüllü akademik katkı verir — sistemin kararını ve iddianın geldiği kolu görmeden yargı vermesi; işin 100'erlik üç partide teslim alınması. Krippendorff alfa, Cohen kappa ve Gwet AC1'in kümelenmiş önyüklemeyle hesabı; H4'ün sınanması; beş iddia sınıfı için duyarlılık-özgüllüğün betimleyici raporlanması. En az 12 kurum türünden, kamuya açık ve kişisel veri içermeyen kaynaklardan 60 belgelik dış geçerlilik kümesinin derlenmesi ve iki bağımsız kaynakla etiketlenmesi.</w:t>
            </w:r>
          </w:p>
        </w:tc>
        <w:tc>
          <w:tcPr>
            <w:tcW w:w="2340"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tcPr>
          <w:p>
            <w:pPr>
              <w:widowControl/>
              <w:spacing w:after="40" w:before="0"/>
            </w:pPr>
            <w:r>
              <w:rPr>
                <w:rFonts w:ascii="Arial" w:hAnsi="Arial" w:cs="Arial" w:eastAsia="Arial"/>
                <w:b w:val="0"/>
                <w:i w:val="0"/>
                <w:sz w:val="18"/>
              </w:rPr>
              <w:t>Araştırmacı öğrenci 2 (kılavuz, kör değerlendirme koordinasyonu, dış geçerlilik kümesi); Proje yürütücüsü öğrenci (çapa çıkarımı, uyum analizi); Araştırmacı öğrenci 1 (kör atama, veri işleme); danışman (kılavuz hakemliği, gönüllü değerlendiricilerin niteliğinin teyidi, uyuşmazlık turu)</w:t>
            </w:r>
          </w:p>
        </w:tc>
        <w:tc>
          <w:tcPr>
            <w:tcW w:w="2429"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tcPr>
          <w:p>
            <w:pPr>
              <w:widowControl/>
              <w:spacing w:after="40" w:before="0"/>
            </w:pPr>
            <w:r>
              <w:rPr>
                <w:rFonts w:ascii="Arial" w:hAnsi="Arial" w:cs="Arial" w:eastAsia="Arial"/>
                <w:b w:val="0"/>
                <w:i w:val="0"/>
                <w:sz w:val="18"/>
              </w:rPr>
              <w:t>300 iddianın tamamı üç değerlendiricice tam çapraz desende yargılanmış. Krippendorff alfanın kümelenmiş önyükleme %95 alt sınırı en az 0,67, nokta tahmini en az 0,80. Normalize uyum oranının %95 alt sınırının 0,75'i aşıp aşmadığı ilan edilmiş; altında kalınırsa geçerlilik sınırı bulgu olarak yayımlanmış. Dış geçerlilik kümesi derlenmiş, iki kaynakta etiketlenmiş, uyum katsayısı ayrıca raporlanmış.</w:t>
            </w:r>
          </w:p>
          <w:p>
            <w:pPr>
              <w:widowControl/>
              <w:spacing w:after="40" w:before="0"/>
            </w:pPr>
            <w:r>
              <w:rPr>
                <w:rFonts w:ascii="Arial" w:hAnsi="Arial" w:cs="Arial" w:eastAsia="Arial"/>
                <w:b w:val="0"/>
                <w:i w:val="0"/>
                <w:sz w:val="18"/>
              </w:rPr>
              <w:t>Katkı: %23</w:t>
            </w:r>
          </w:p>
        </w:tc>
      </w:tr>
      <w:tr w:rsidR="000D0AB4" w14:paraId="501C55BB" w14:textId="77777777" w:rsidTr="00190A53">
        <w:trPr>
          <w:trHeight w:val="425"/>
        </w:trPr>
        <w:tc>
          <w:tcPr>
            <w:tcW w:w="1920"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shd w:val="clear" w:color="auto" w:fill="EEF2F8"/>
          </w:tcPr>
          <w:p>
            <w:pPr>
              <w:widowControl/>
              <w:spacing w:after="40" w:before="0"/>
            </w:pPr>
            <w:r>
              <w:rPr>
                <w:rFonts w:ascii="Arial" w:hAnsi="Arial" w:cs="Arial" w:eastAsia="Arial"/>
                <w:b w:val="0"/>
                <w:i w:val="0"/>
                <w:sz w:val="18"/>
              </w:rPr>
              <w:t>6-9. ay</w:t>
            </w:r>
          </w:p>
        </w:tc>
        <w:tc>
          <w:tcPr>
            <w:tcW w:w="1878"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shd w:val="clear" w:color="auto" w:fill="EEF2F8"/>
          </w:tcPr>
          <w:p>
            <w:pPr>
              <w:widowControl/>
              <w:spacing w:after="40" w:before="0"/>
            </w:pPr>
            <w:r>
              <w:rPr>
                <w:rFonts w:ascii="Arial" w:hAnsi="Arial" w:cs="Arial" w:eastAsia="Arial"/>
                <w:b/>
                <w:i w:val="0"/>
                <w:sz w:val="18"/>
              </w:rPr>
              <w:t>İP4 — Kapı ödünleşim eğrisi, müzakerenin yakınsaması ve mimarinin bedeli</w:t>
            </w:r>
          </w:p>
          <w:p>
            <w:pPr>
              <w:widowControl/>
              <w:spacing w:after="40" w:before="0"/>
            </w:pPr>
            <w:r>
              <w:rPr>
                <w:rFonts w:ascii="Arial" w:hAnsi="Arial" w:cs="Arial" w:eastAsia="Arial"/>
                <w:b w:val="0"/>
                <w:i w:val="0"/>
                <w:sz w:val="18"/>
              </w:rPr>
              <w:t>6. ve 7. ayda yalnız koşum yapılır; altın kümeye karşı puanlama, İP3'ün teslimini izleyen 8. ayda başlar. Kapı eşiğinin dokuz noktada süpürülmesi; dayanaksızlık ve yanlış-veto oranlarının kör uzman altın kümesine karşı ölçümü. ROC alanı, eşleştirilmiş DeLong karşılaştırması, çalışma noktasının seçimi ve yanlış-veto için tek yönlü aşmazlık sınaması (H5). Müzakerenin 0, 1, 2 ve 3 tur ile üç rol-çıkarma koşulunda koşumu; revize metnin yeniden ölçülmesi, bulguların kapanan, direnen ve yeni doğan olarak defterlenmesi; H6 ve doygunluk turu. Gecikme ile maliyetin harcama defterinden okunması (H8).</w:t>
            </w:r>
          </w:p>
        </w:tc>
        <w:tc>
          <w:tcPr>
            <w:tcW w:w="2340"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shd w:val="clear" w:color="auto" w:fill="EEF2F8"/>
          </w:tcPr>
          <w:p>
            <w:pPr>
              <w:widowControl/>
              <w:spacing w:after="40" w:before="0"/>
            </w:pPr>
            <w:r>
              <w:rPr>
                <w:rFonts w:ascii="Arial" w:hAnsi="Arial" w:cs="Arial" w:eastAsia="Arial"/>
                <w:b w:val="0"/>
                <w:i w:val="0"/>
                <w:sz w:val="18"/>
              </w:rPr>
              <w:t>Proje yürütücüsü öğrenci (eşik süpürmesi, ödünleşim eğrisi); Araştırmacı öğrenci 2 (tur ve rol ablasyonu, bulgu defteri); Araştırmacı öğrenci 1 (gecikme ve maliyet telemetrisi); danışman (çalışma noktası denetimi)</w:t>
            </w:r>
          </w:p>
        </w:tc>
        <w:tc>
          <w:tcPr>
            <w:tcW w:w="2429"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shd w:val="clear" w:color="auto" w:fill="EEF2F8"/>
          </w:tcPr>
          <w:p>
            <w:pPr>
              <w:widowControl/>
              <w:spacing w:after="40" w:before="0"/>
            </w:pPr>
            <w:r>
              <w:rPr>
                <w:rFonts w:ascii="Arial" w:hAnsi="Arial" w:cs="Arial" w:eastAsia="Arial"/>
                <w:b w:val="0"/>
                <w:i w:val="0"/>
                <w:sz w:val="18"/>
              </w:rPr>
              <w:t>Dokuz eşik noktası için ödünleşim eğrisi ve ROC alanı %95 aralıkla üretilmiş. Seçilen çalışma noktasında yanlış-veto %95 üst sınırı 0,05 veya altında; aşmazlık kararı açık yazılmış. Doygunluk turu kestirilmiş; dört tur ve üç rol-çıkarma koşulu için kapanan, direnen ve yeni doğan bulgu sayıları ayrı verilmiş. Belge başına ek gecikme (saniye) ve ek maliyet (TL) sayısal; H8 kararı eşdeğerlik sınırıyla yazılmış.</w:t>
            </w:r>
          </w:p>
          <w:p>
            <w:pPr>
              <w:widowControl/>
              <w:spacing w:after="40" w:before="0"/>
            </w:pPr>
            <w:r>
              <w:rPr>
                <w:rFonts w:ascii="Arial" w:hAnsi="Arial" w:cs="Arial" w:eastAsia="Arial"/>
                <w:b w:val="0"/>
                <w:i w:val="0"/>
                <w:sz w:val="18"/>
              </w:rPr>
              <w:t>Katkı: %21</w:t>
            </w:r>
          </w:p>
        </w:tc>
      </w:tr>
      <w:tr w:rsidR="000D0AB4" w14:paraId="2E5C5ED5" w14:textId="77777777" w:rsidTr="00190A53">
        <w:trPr>
          <w:trHeight w:val="431"/>
        </w:trPr>
        <w:tc>
          <w:tcPr>
            <w:tcW w:w="1920"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tcPr>
          <w:p>
            <w:pPr>
              <w:widowControl/>
              <w:spacing w:after="40" w:before="0"/>
            </w:pPr>
            <w:r>
              <w:rPr>
                <w:rFonts w:ascii="Arial" w:hAnsi="Arial" w:cs="Arial" w:eastAsia="Arial"/>
                <w:b w:val="0"/>
                <w:i w:val="0"/>
                <w:sz w:val="18"/>
              </w:rPr>
              <w:t>10-12. ay</w:t>
            </w:r>
          </w:p>
        </w:tc>
        <w:tc>
          <w:tcPr>
            <w:tcW w:w="1878"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tcPr>
          <w:p>
            <w:pPr>
              <w:widowControl/>
              <w:spacing w:after="40" w:before="0"/>
            </w:pPr>
            <w:r>
              <w:rPr>
                <w:rFonts w:ascii="Arial" w:hAnsi="Arial" w:cs="Arial" w:eastAsia="Arial"/>
                <w:b/>
                <w:i w:val="0"/>
                <w:sz w:val="18"/>
              </w:rPr>
              <w:t>İP5 — Bütünleşik model, replikasyon, dış geçerlilik ve bağımsız koşum</w:t>
            </w:r>
          </w:p>
          <w:p>
            <w:pPr>
              <w:widowControl/>
              <w:spacing w:after="40" w:before="0"/>
            </w:pPr>
            <w:r>
              <w:rPr>
                <w:rFonts w:ascii="Arial" w:hAnsi="Arial" w:cs="Arial" w:eastAsia="Arial"/>
                <w:b w:val="0"/>
                <w:i w:val="0"/>
                <w:sz w:val="18"/>
              </w:rPr>
              <w:t>Üç deneyin bağımlı değişkenlerinin tek karma etkili modelde birleştirilmesi; kısıt katkılarının %95 aralıkla tablolanması. Birincil hipotezlerin, ana kümede hiç kullanılmamış 120 belgelik replikasyon kümesinde yeniden sınanması. İP3'te derlenen 60 belgelik dış geçerlilik kümesinde H1 ve H5'in sınanması, temsil farkının nicel raporlanması. Ölçüm betiklerinin deterministik kipte tek komutla koşan bir pakete dönüştürülüp ekip dışından bir kişiye koşturulması; küme, betikler ve ön-kaydın açık lisansla yayımlanması.</w:t>
            </w:r>
          </w:p>
        </w:tc>
        <w:tc>
          <w:tcPr>
            <w:tcW w:w="2340"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tcPr>
          <w:p>
            <w:pPr>
              <w:widowControl/>
              <w:spacing w:after="40" w:before="0"/>
            </w:pPr>
            <w:r>
              <w:rPr>
                <w:rFonts w:ascii="Arial" w:hAnsi="Arial" w:cs="Arial" w:eastAsia="Arial"/>
                <w:b w:val="0"/>
                <w:i w:val="0"/>
                <w:sz w:val="18"/>
              </w:rPr>
              <w:t>Proje yürütücüsü öğrenci (bütünleşik karma model); Araştırmacı öğrenci 1 (yeniden üretim paketi, bağımsız koşum); Araştırmacı öğrenci 2 (dış geçerlilik sınaması, açık arşiv yüklemesi); danışman (model denetimi)</w:t>
            </w:r>
          </w:p>
        </w:tc>
        <w:tc>
          <w:tcPr>
            <w:tcW w:w="2429"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tcPr>
          <w:p>
            <w:pPr>
              <w:widowControl/>
              <w:spacing w:after="40" w:before="0"/>
            </w:pPr>
            <w:r>
              <w:rPr>
                <w:rFonts w:ascii="Arial" w:hAnsi="Arial" w:cs="Arial" w:eastAsia="Arial"/>
                <w:b w:val="0"/>
                <w:i w:val="0"/>
                <w:sz w:val="18"/>
              </w:rPr>
              <w:t>Birincil hipotezlerin en az %80'i replikasyon kümesinde aynı yönde; yön uyuşmazlıkları gizlenmeden raporlanmış. Bağımsız koşumda deterministik metrikler %1 veya daha küçük sapmayla yeniden üretilmiş. Dış geçerlilikte en az beş dağılım ölçüsünde fark sayısal; gözlenen etki saptanabilir en küçük farkın altındaysa genelleme daraltılmış. Her mimari kısıtın katkısı %95 aralıkla tabloda toplanmış.</w:t>
            </w:r>
          </w:p>
          <w:p>
            <w:pPr>
              <w:widowControl/>
              <w:spacing w:after="40" w:before="0"/>
            </w:pPr>
            <w:r>
              <w:rPr>
                <w:rFonts w:ascii="Arial" w:hAnsi="Arial" w:cs="Arial" w:eastAsia="Arial"/>
                <w:b w:val="0"/>
                <w:i w:val="0"/>
                <w:sz w:val="18"/>
              </w:rPr>
              <w:t>Katkı: %14</w:t>
            </w:r>
          </w:p>
        </w:tc>
      </w:tr>
    </w:tbl>
    <w:p w14:paraId="3EE05ADB" w14:textId="77777777" w:rsidR="000E39BE" w:rsidRDefault="000E39BE" w:rsidP="000E39BE">
      <w:pPr>
        <w:pStyle w:val="WW-NormalWeb1"/>
        <w:keepNext/>
        <w:widowControl/>
        <w:spacing w:before="0" w:after="0"/>
        <w:ind w:left="567"/>
        <w:rPr>
          <w:rFonts w:ascii="Arial" w:hAnsi="Arial"/>
          <w:bCs/>
          <w:sz w:val="16"/>
          <w:szCs w:val="18"/>
        </w:rPr>
      </w:pPr>
    </w:p>
    <w:p w14:paraId="61782E55" w14:textId="77777777" w:rsidR="001B2CDB" w:rsidRDefault="001B2CDB" w:rsidP="000D0AB4">
      <w:pPr>
        <w:pStyle w:val="WW-NormalWeb1"/>
        <w:keepNext/>
        <w:widowControl/>
        <w:spacing w:before="0" w:after="0"/>
        <w:ind w:left="567"/>
        <w:rPr>
          <w:rFonts w:ascii="Arial" w:hAnsi="Arial"/>
          <w:bCs/>
          <w:sz w:val="16"/>
          <w:szCs w:val="18"/>
        </w:rPr>
      </w:pPr>
    </w:p>
    <w:p w14:paraId="5A965F4D" w14:textId="77777777" w:rsidR="000D0AB4" w:rsidRDefault="000D0AB4" w:rsidP="000D0AB4">
      <w:pPr>
        <w:pStyle w:val="WW-NormalWeb1"/>
        <w:keepNext/>
        <w:widowControl/>
        <w:spacing w:before="0" w:after="0"/>
        <w:ind w:left="567"/>
        <w:rPr>
          <w:rFonts w:ascii="Arial" w:hAnsi="Arial" w:cs="Arial"/>
          <w:sz w:val="18"/>
          <w:szCs w:val="18"/>
        </w:rPr>
      </w:pPr>
    </w:p>
    <w:p w14:paraId="55D2E071" w14:textId="77777777" w:rsidR="006F7368" w:rsidRDefault="002E7A1C" w:rsidP="000D0AB4">
      <w:pPr>
        <w:keepNext/>
        <w:widowControl/>
        <w:numPr>
          <w:ilvl w:val="1"/>
          <w:numId w:val="4"/>
        </w:numPr>
        <w:spacing w:line="480" w:lineRule="auto" w:before="160" w:after="60"/>
        <w:ind w:left="284" w:firstLine="142"/>
        <w:jc w:val="both"/>
        <w:rPr>
          <w:rFonts w:ascii="Arial" w:hAnsi="Arial" w:cs="Arial"/>
          <w:sz w:val="18"/>
          <w:szCs w:val="18"/>
        </w:rPr>
      </w:pPr>
      <w:r>
        <w:rPr>
          <w:rFonts w:ascii="Arial" w:hAnsi="Arial" w:cs="Arial" w:eastAsia="Arial"/>
          <w:b/>
          <w:bCs/>
          <w:i w:val="0"/>
          <w:color w:val="1F3864"/>
          <w:sz w:val="19"/>
          <w:szCs w:val="18"/>
        </w:rPr>
        <w:t>Risk Yönetimi</w:t>
      </w:r>
    </w:p>
    <w:p w14:paraId="14A22D7C" w14:textId="77777777" w:rsidR="006F7368" w:rsidRDefault="006F7368">
      <w:pPr>
        <w:pStyle w:val="WW-NormalWeb1"/>
        <w:keepNext/>
        <w:widowControl/>
        <w:spacing w:before="0" w:after="0"/>
        <w:jc w:val="both"/>
        <w:rPr>
          <w:rFonts w:ascii="Arial" w:hAnsi="Arial" w:cs="Arial"/>
          <w:color w:val="FF0000"/>
          <w:sz w:val="18"/>
          <w:szCs w:val="18"/>
        </w:rPr>
      </w:pPr>
    </w:p>
    <w:p w14:paraId="2CB79C6E" w14:textId="77777777" w:rsidR="006F7368" w:rsidRDefault="002E7A1C">
      <w:pPr>
        <w:keepNext/>
        <w:widowControl/>
        <w:spacing w:before="160" w:after="60"/>
        <w:ind w:left="792"/>
        <w:rPr>
          <w:rFonts w:ascii="Arial" w:hAnsi="Arial" w:cs="Arial"/>
          <w:b/>
          <w:bCs/>
          <w:sz w:val="18"/>
          <w:szCs w:val="18"/>
        </w:rPr>
      </w:pPr>
      <w:r>
        <w:rPr>
          <w:rFonts w:ascii="Arial" w:hAnsi="Arial" w:cs="Arial" w:eastAsia="Arial"/>
          <w:b/>
          <w:bCs/>
          <w:i w:val="0"/>
          <w:color w:val="1F3864"/>
          <w:sz w:val="19"/>
          <w:szCs w:val="18"/>
        </w:rPr>
        <w:t xml:space="preserve">                                                       RİSK YÖNETİMİ TABLOSU*</w:t>
      </w:r>
    </w:p>
    <w:tbl>
      <w:tblPr>
        <w:tblW w:w="4546" w:type="pct"/>
        <w:jc w:val="center"/>
        <w:tblCellMar>
          <w:left w:w="70" w:type="dxa"/>
          <w:right w:w="70" w:type="dxa"/>
        </w:tblCellMar>
        <w:tblLook w:val="04A0" w:firstRow="1" w:lastRow="0" w:firstColumn="1" w:lastColumn="0" w:noHBand="0" w:noVBand="1"/>
      </w:tblPr>
      <w:tblGrid>
        <w:gridCol w:w="3902"/>
        <w:gridCol w:w="4335"/>
      </w:tblGrid>
      <w:tr w:rsidR="000D0AB4" w14:paraId="3520C56E" w14:textId="77777777" w:rsidTr="00190A53">
        <w:trPr>
          <w:trHeight w:val="495"/>
          <w:jc w:val="center"/>
        </w:trPr>
        <w:tc>
          <w:tcPr>
            <w:tcW w:w="3902" w:type="dxa"/>
            <w:tcBorders>
              <w:top w:val="single" w:sz="4" w:space="0" w:color="000000"/>
              <w:left w:val="single" w:sz="4" w:space="0" w:color="000000"/>
              <w:bottom w:val="single" w:sz="4" w:space="0" w:color="000000"/>
              <w:right w:val="single" w:sz="4" w:space="0" w:color="000000"/>
            </w:tcBorders>
            <w:shd w:val="clear" w:color="auto" w:fill="D9D9D9"/>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shd w:val="clear" w:color="auto" w:fill="1F3864"/>
          </w:tcPr>
          <w:p w14:paraId="1AF8EC26" w14:textId="77777777" w:rsidR="000D0AB4" w:rsidRDefault="000D0AB4">
            <w:pPr>
              <w:widowControl/>
              <w:jc w:val="center"/>
              <w:rPr>
                <w:rFonts w:ascii="Arial" w:hAnsi="Arial" w:cs="Arial"/>
                <w:b/>
                <w:bCs/>
                <w:sz w:val="18"/>
                <w:szCs w:val="18"/>
              </w:rPr>
            </w:pPr>
            <w:r>
              <w:rPr>
                <w:rFonts w:ascii="Arial" w:hAnsi="Arial" w:cs="Arial" w:eastAsia="Arial"/>
                <w:b/>
                <w:bCs/>
                <w:i w:val="0"/>
                <w:color w:val="FFFFFF"/>
                <w:sz w:val="18"/>
                <w:szCs w:val="18"/>
              </w:rPr>
              <w:t>En Önemli Riskler</w:t>
            </w:r>
          </w:p>
        </w:tc>
        <w:tc>
          <w:tcPr>
            <w:tcW w:w="4335" w:type="dxa"/>
            <w:tcBorders>
              <w:top w:val="single" w:sz="4" w:space="0" w:color="000000"/>
              <w:left w:val="single" w:sz="4" w:space="0" w:color="000000"/>
              <w:bottom w:val="single" w:sz="4" w:space="0" w:color="000000"/>
              <w:right w:val="single" w:sz="4" w:space="0" w:color="000000"/>
            </w:tcBorders>
            <w:shd w:val="clear" w:color="auto" w:fill="D9D9D9"/>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shd w:val="clear" w:color="auto" w:fill="1F3864"/>
          </w:tcPr>
          <w:p w14:paraId="5A882C85" w14:textId="22367616" w:rsidR="000D0AB4" w:rsidRDefault="000D0AB4">
            <w:pPr>
              <w:widowControl/>
              <w:jc w:val="center"/>
              <w:rPr>
                <w:rFonts w:ascii="Arial" w:hAnsi="Arial" w:cs="Arial"/>
                <w:b/>
                <w:bCs/>
                <w:sz w:val="18"/>
                <w:szCs w:val="18"/>
              </w:rPr>
            </w:pPr>
            <w:r>
              <w:rPr>
                <w:rFonts w:ascii="Arial" w:hAnsi="Arial" w:cs="Arial" w:eastAsia="Arial"/>
                <w:b/>
                <w:bCs/>
                <w:i w:val="0"/>
                <w:color w:val="FFFFFF"/>
                <w:sz w:val="18"/>
                <w:szCs w:val="18"/>
              </w:rPr>
              <w:t>Alınacak Tedbirler (B Planı)</w:t>
            </w:r>
          </w:p>
        </w:tc>
      </w:tr>
      <w:tr w:rsidR="000D0AB4" w14:paraId="3E19A3D4"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shd w:val="clear" w:color="auto" w:fill="auto"/>
            <w:tcBorders>
              <w:top w:val="single" w:sz="4" w:color="8EA9DB"/>
              <w:left w:val="single" w:sz="4" w:color="8EA9DB"/>
              <w:bottom w:val="single" w:sz="4" w:color="8EA9DB"/>
              <w:right w:val="single" w:sz="4" w:color="8EA9DB"/>
            </w:tcBorders>
            <w:tcMar>
              <w:top w:w="22" w:type="dxa"/>
              <w:bottom w:w="22" w:type="dxa"/>
              <w:start w:w="80" w:type="dxa"/>
              <w:end w:w="80" w:type="dxa"/>
            </w:tcMar>
          </w:tcPr>
          <w:p>
            <w:pPr>
              <w:widowControl/>
              <w:spacing w:after="40" w:before="0"/>
            </w:pPr>
            <w:r>
              <w:rPr>
                <w:rFonts w:ascii="Arial" w:hAnsi="Arial" w:cs="Arial" w:eastAsia="Arial"/>
                <w:b w:val="0"/>
                <w:i w:val="0"/>
                <w:sz w:val="18"/>
              </w:rPr>
              <w:t>[İP2] Bulut dil modeli servisinin sürüm/ad değiştirmesi veya erişimin kesilmesi.</w:t>
            </w:r>
          </w:p>
        </w:tc>
        <w:tc>
          <w:tcPr>
            <w:tcW w:w="4335"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tcPr>
          <w:p>
            <w:pPr>
              <w:widowControl/>
              <w:spacing w:after="40" w:before="0"/>
              <w:jc w:val="both"/>
            </w:pPr>
            <w:r>
              <w:rPr>
                <w:rFonts w:ascii="Arial" w:hAnsi="Arial" w:cs="Arial" w:eastAsia="Arial"/>
                <w:b w:val="0"/>
                <w:i w:val="0"/>
                <w:sz w:val="18"/>
              </w:rPr>
              <w:t>Sağlayıcı, ilgi konusu etki değil blok değişkenidir; birincil koşullar iki bağımsız bulut servisinde ve bir yerel açık ağırlıklı modelde tekrarlanır. Bir servis erişilemezse hipotezler değil yalnız bir blok seviyesi düşer.</w:t>
            </w:r>
          </w:p>
        </w:tc>
      </w:tr>
      <w:tr w:rsidR="000D0AB4" w14:paraId="708F72DA"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shd w:val="clear" w:color="auto" w:fill="auto"/>
            <w:tcBorders>
              <w:top w:val="single" w:sz="4" w:color="8EA9DB"/>
              <w:left w:val="single" w:sz="4" w:color="8EA9DB"/>
              <w:bottom w:val="single" w:sz="4" w:color="8EA9DB"/>
              <w:right w:val="single" w:sz="4" w:color="8EA9DB"/>
            </w:tcBorders>
            <w:tcMar>
              <w:top w:w="22" w:type="dxa"/>
              <w:bottom w:w="22" w:type="dxa"/>
              <w:start w:w="80" w:type="dxa"/>
              <w:end w:w="80" w:type="dxa"/>
            </w:tcMar>
            <w:shd w:val="clear" w:color="auto" w:fill="EEF2F8"/>
          </w:tcPr>
          <w:p>
            <w:pPr>
              <w:widowControl/>
              <w:spacing w:after="40" w:before="0"/>
            </w:pPr>
            <w:r>
              <w:rPr>
                <w:rFonts w:ascii="Arial" w:hAnsi="Arial" w:cs="Arial" w:eastAsia="Arial"/>
                <w:b w:val="0"/>
                <w:i w:val="0"/>
                <w:sz w:val="18"/>
              </w:rPr>
              <w:t>[İP2 ve İP4] Ücretli servisin maliyet pilotunda ölçülenden pahalı çıkması ve bütçe tavanının aşılması.</w:t>
            </w:r>
          </w:p>
        </w:tc>
        <w:tc>
          <w:tcPr>
            <w:tcW w:w="4335"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shd w:val="clear" w:color="auto" w:fill="EEF2F8"/>
          </w:tcPr>
          <w:p>
            <w:pPr>
              <w:widowControl/>
              <w:spacing w:after="40" w:before="0"/>
              <w:jc w:val="both"/>
            </w:pPr>
            <w:r>
              <w:rPr>
                <w:rFonts w:ascii="Arial" w:hAnsi="Arial" w:cs="Arial" w:eastAsia="Arial"/>
                <w:b w:val="0"/>
                <w:i w:val="0"/>
                <w:sz w:val="18"/>
              </w:rPr>
              <w:t>Ana hipotezler ücretli servise bağımlı değildir; dört koldan biri ve hibrit kolun omurgası deterministiktir. Harcama, rezervasyonlu yalnız-ekleme defteriyle ve İP2 başındaki 20 belgelik pilotta ölçülen belge başına üst sınırla sınırlanır. Tavana yaklaşıldığında sağlayıcı bloğu üç seviyeden iki seviyeye iner, tekrar koşumlar yerel modele kayar; hangi blok seviyesinin düşeceği ön-kayıtta sabittir, birincil kontrastlar korunur.</w:t>
            </w:r>
          </w:p>
        </w:tc>
      </w:tr>
      <w:tr w:rsidR="000D0AB4" w14:paraId="708F72DA"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shd w:val="clear" w:color="auto" w:fill="auto"/>
            <w:tcBorders>
              <w:top w:val="single" w:sz="4" w:color="8EA9DB"/>
              <w:left w:val="single" w:sz="4" w:color="8EA9DB"/>
              <w:bottom w:val="single" w:sz="4" w:color="8EA9DB"/>
              <w:right w:val="single" w:sz="4" w:color="8EA9DB"/>
            </w:tcBorders>
            <w:tcMar>
              <w:top w:w="22" w:type="dxa"/>
              <w:bottom w:w="22" w:type="dxa"/>
              <w:start w:w="80" w:type="dxa"/>
              <w:end w:w="80" w:type="dxa"/>
            </w:tcMar>
          </w:tcPr>
          <w:p>
            <w:pPr>
              <w:widowControl/>
              <w:spacing w:after="40" w:before="0"/>
              <w:jc w:val="both"/>
            </w:pPr>
            <w:r>
              <w:rPr>
                <w:rFonts w:ascii="Arial" w:hAnsi="Arial" w:cs="Arial" w:eastAsia="Arial"/>
                <w:b w:val="0"/>
                <w:i w:val="0"/>
                <w:sz w:val="18"/>
              </w:rPr>
              <w:t>[İP3] Değerlendiriciler arası uyumun hedefin altında kalması (Krippendorff alfanın kümelenmiş önyükleme %95 alt sınırının 0,67'yi aşmaması).</w:t>
            </w:r>
          </w:p>
        </w:tc>
        <w:tc>
          <w:tcPr>
            <w:tcW w:w="4335"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tcPr>
          <w:p>
            <w:pPr>
              <w:widowControl/>
              <w:spacing w:after="40" w:before="0"/>
              <w:jc w:val="both"/>
            </w:pPr>
            <w:r>
              <w:rPr>
                <w:rFonts w:ascii="Arial" w:hAnsi="Arial" w:cs="Arial" w:eastAsia="Arial"/>
                <w:b w:val="0"/>
                <w:i w:val="0"/>
                <w:sz w:val="18"/>
              </w:rPr>
              <w:t>Düşük uyum gizlenmez, bulgunun kendisi olur. Tek seferlik kalibrasyon turuyla kodlama kılavuzu revize edilir; revizyon öncesi ve sonrası uyum ayrı yayımlanır. Düşük uyumlu iddia sınıfları geçerlilik sınırı olarak raporlanır ve H4 'kararsız' ilan edilir. İP4'ün koşumları H4'ün sonucundan bağımsız yürür; ancak H4 kararsız ilan edilirse H5 onaylayıcı değil keşifsel raporlanır.</w:t>
            </w:r>
          </w:p>
        </w:tc>
      </w:tr>
      <w:tr w:rsidR="000D0AB4" w14:paraId="708F72DA"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shd w:val="clear" w:color="auto" w:fill="auto"/>
            <w:tcBorders>
              <w:top w:val="single" w:sz="4" w:color="8EA9DB"/>
              <w:left w:val="single" w:sz="4" w:color="8EA9DB"/>
              <w:bottom w:val="single" w:sz="4" w:color="8EA9DB"/>
              <w:right w:val="single" w:sz="4" w:color="8EA9DB"/>
            </w:tcBorders>
            <w:tcMar>
              <w:top w:w="22" w:type="dxa"/>
              <w:bottom w:w="22" w:type="dxa"/>
              <w:start w:w="80" w:type="dxa"/>
              <w:end w:w="80" w:type="dxa"/>
            </w:tcMar>
            <w:shd w:val="clear" w:color="auto" w:fill="EEF2F8"/>
          </w:tcPr>
          <w:p>
            <w:pPr>
              <w:widowControl/>
              <w:spacing w:after="40" w:before="0"/>
            </w:pPr>
            <w:r>
              <w:rPr>
                <w:rFonts w:ascii="Arial" w:hAnsi="Arial" w:cs="Arial" w:eastAsia="Arial"/>
                <w:b w:val="0"/>
                <w:i w:val="0"/>
                <w:sz w:val="18"/>
              </w:rPr>
              <w:t>[İP3] Kör değerlendirme hizmetinin geç tedarik edilmesi veya üç değerlendiriciden birinin işi tamamlayamaması.</w:t>
            </w:r>
          </w:p>
        </w:tc>
        <w:tc>
          <w:tcPr>
            <w:tcW w:w="4335"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shd w:val="clear" w:color="auto" w:fill="EEF2F8"/>
          </w:tcPr>
          <w:p>
            <w:pPr>
              <w:widowControl/>
              <w:spacing w:after="40" w:before="0"/>
              <w:jc w:val="both"/>
            </w:pPr>
            <w:r>
              <w:rPr>
                <w:rFonts w:ascii="Arial" w:hAnsi="Arial" w:cs="Arial" w:eastAsia="Arial"/>
                <w:b w:val="0"/>
                <w:i w:val="0"/>
                <w:sz w:val="18"/>
              </w:rPr>
              <w:t>Ücretli değerlendirme iddia başına birim bedelle satın alınır; 300 iddialık küme 100'erlik üç partide teslim edilir, böylece gecikme son partiyi etkiler. Bir değerlendirici düşerse önce kodlama kılavuzuyla eğitilen bir yedek aranır ve devir noktası uyum hesabında ayrı raporlanır; yedek bulunamazsa bütçe gerekçesindeki iki değerlendiricili desen devreye girer. Ölçüt ve hipotez listesi değişmez; İP3'ün 4-7. ay penceresi İP4 ile iki aylık örtüşme payı bırakır.</w:t>
            </w:r>
          </w:p>
        </w:tc>
      </w:tr>
      <w:tr w:rsidR="000D0AB4" w14:paraId="708F72DA"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shd w:val="clear" w:color="auto" w:fill="auto"/>
            <w:tcBorders>
              <w:top w:val="single" w:sz="4" w:color="8EA9DB"/>
              <w:left w:val="single" w:sz="4" w:color="8EA9DB"/>
              <w:bottom w:val="single" w:sz="4" w:color="8EA9DB"/>
              <w:right w:val="single" w:sz="4" w:color="8EA9DB"/>
            </w:tcBorders>
            <w:tcMar>
              <w:top w:w="22" w:type="dxa"/>
              <w:bottom w:w="22" w:type="dxa"/>
              <w:start w:w="80" w:type="dxa"/>
              <w:end w:w="80" w:type="dxa"/>
            </w:tcMar>
          </w:tcPr>
          <w:p>
            <w:pPr>
              <w:widowControl/>
              <w:spacing w:after="40" w:before="0"/>
            </w:pPr>
            <w:r>
              <w:rPr>
                <w:rFonts w:ascii="Arial" w:hAnsi="Arial" w:cs="Arial" w:eastAsia="Arial"/>
                <w:b w:val="0"/>
                <w:i w:val="0"/>
                <w:sz w:val="18"/>
              </w:rPr>
              <w:t>[İP1-İP5] Ekip üyelerinden birinin ayrılması veya uzun süreli devre dışı kalması.</w:t>
            </w:r>
          </w:p>
        </w:tc>
        <w:tc>
          <w:tcPr>
            <w:tcW w:w="4335"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tcPr>
          <w:p>
            <w:pPr>
              <w:widowControl/>
              <w:spacing w:after="40" w:before="0"/>
              <w:jc w:val="both"/>
            </w:pPr>
            <w:r>
              <w:rPr>
                <w:rFonts w:ascii="Arial" w:hAnsi="Arial" w:cs="Arial" w:eastAsia="Arial"/>
                <w:b w:val="0"/>
                <w:i w:val="0"/>
                <w:sz w:val="18"/>
              </w:rPr>
              <w:t>Her İP'de birincil ve ikincil sorumlu tanımlıdır; ikincil sorumlu artefaktlara ve koşum betiklerine ilk aydan itibaren erişir. Altın etiketin ikinci bağımsız kaynağı, körlük şartı nedeniyle ekip içinden ikame edilemez; bu rol için danışmanın bölümünden, üreteci ve sözlüğü görmemiş bir yedek kişi ilk ayda belirlenir. Analiz betikleri sürüm damgalı ve tek komutla koşar biçimde tutulur.</w:t>
            </w:r>
          </w:p>
        </w:tc>
      </w:tr>
      <w:tr w:rsidR="000D0AB4" w14:paraId="708F72DA"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shd w:val="clear" w:color="auto" w:fill="auto"/>
            <w:tcBorders>
              <w:top w:val="single" w:sz="4" w:color="8EA9DB"/>
              <w:left w:val="single" w:sz="4" w:color="8EA9DB"/>
              <w:bottom w:val="single" w:sz="4" w:color="8EA9DB"/>
              <w:right w:val="single" w:sz="4" w:color="8EA9DB"/>
            </w:tcBorders>
            <w:tcMar>
              <w:top w:w="22" w:type="dxa"/>
              <w:bottom w:w="22" w:type="dxa"/>
              <w:start w:w="80" w:type="dxa"/>
              <w:end w:w="80" w:type="dxa"/>
            </w:tcMar>
            <w:shd w:val="clear" w:color="auto" w:fill="EEF2F8"/>
          </w:tcPr>
          <w:p>
            <w:pPr>
              <w:widowControl/>
              <w:spacing w:after="40" w:before="0"/>
            </w:pPr>
            <w:r>
              <w:rPr>
                <w:rFonts w:ascii="Arial" w:hAnsi="Arial" w:cs="Arial" w:eastAsia="Arial"/>
                <w:b w:val="0"/>
                <w:i w:val="0"/>
                <w:sz w:val="18"/>
              </w:rPr>
              <w:t>[İP5] Sentetik değerlendirme kümesinin gerçek evrak dağılımını temsil etmemesi.</w:t>
            </w:r>
          </w:p>
        </w:tc>
        <w:tc>
          <w:tcPr>
            <w:tcW w:w="4335"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shd w:val="clear" w:color="auto" w:fill="EEF2F8"/>
          </w:tcPr>
          <w:p>
            <w:pPr>
              <w:widowControl/>
              <w:spacing w:after="40" w:before="0"/>
              <w:jc w:val="both"/>
            </w:pPr>
            <w:r>
              <w:rPr>
                <w:rFonts w:ascii="Arial" w:hAnsi="Arial" w:cs="Arial" w:eastAsia="Arial"/>
                <w:b w:val="0"/>
                <w:i w:val="0"/>
                <w:sz w:val="18"/>
              </w:rPr>
              <w:t>Kişisel veri içermeyen, kamuya açık kaynaklardan türetilen 60 belgelik ikinci alt küme ilan edilmiş tarama protokolüyle İP3'te oluşturulur; iki ön-kayıtlı hipotez orada onaylayıcı olarak sınanır ve temsil farkı nicel raporlanır.</w:t>
            </w:r>
          </w:p>
        </w:tc>
      </w:tr>
      <w:tr w:rsidR="000D0AB4" w14:paraId="708F72DA"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shd w:val="clear" w:color="auto" w:fill="auto"/>
            <w:tcBorders>
              <w:top w:val="single" w:sz="4" w:color="8EA9DB"/>
              <w:left w:val="single" w:sz="4" w:color="8EA9DB"/>
              <w:bottom w:val="single" w:sz="4" w:color="8EA9DB"/>
              <w:right w:val="single" w:sz="4" w:color="8EA9DB"/>
            </w:tcBorders>
            <w:tcMar>
              <w:top w:w="22" w:type="dxa"/>
              <w:bottom w:w="22" w:type="dxa"/>
              <w:start w:w="80" w:type="dxa"/>
              <w:end w:w="80" w:type="dxa"/>
            </w:tcMar>
          </w:tcPr>
          <w:p>
            <w:pPr>
              <w:widowControl/>
              <w:spacing w:after="40" w:before="0"/>
            </w:pPr>
            <w:r>
              <w:rPr>
                <w:rFonts w:ascii="Arial" w:hAnsi="Arial" w:cs="Arial" w:eastAsia="Arial"/>
                <w:b w:val="0"/>
                <w:i w:val="0"/>
                <w:sz w:val="18"/>
              </w:rPr>
              <w:t>[İP1] Ön çalışma başarım sayılarının bayat olması ve bunların güncel başarım sanılması.</w:t>
            </w:r>
          </w:p>
        </w:tc>
        <w:tc>
          <w:tcPr>
            <w:tcW w:w="4335"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tcPr>
          <w:p>
            <w:pPr>
              <w:widowControl/>
              <w:spacing w:after="40" w:before="0"/>
              <w:jc w:val="both"/>
            </w:pPr>
            <w:r>
              <w:rPr>
                <w:rFonts w:ascii="Arial" w:hAnsi="Arial" w:cs="Arial" w:eastAsia="Arial"/>
                <w:b w:val="0"/>
                <w:i w:val="0"/>
                <w:sz w:val="18"/>
              </w:rPr>
              <w:t>Hiçbir ön çalışma sayısı 'güncel başarım' sayılmaz; tümü ölçüm tarihi ve sürüm mesafesiyle fizibilite göstergesi sayılır. İP1 çıktılarından biri, taban metriklerin güncel sürümle yeniden koşulmasıdır; taban artefaktı olmayan hiçbir sayı başarım olarak alıntılanmaz.</w:t>
            </w:r>
          </w:p>
        </w:tc>
      </w:tr>
      <w:tr w:rsidR="000D0AB4" w14:paraId="708F72DA"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shd w:val="clear" w:color="auto" w:fill="auto"/>
            <w:tcBorders>
              <w:top w:val="single" w:sz="4" w:color="8EA9DB"/>
              <w:left w:val="single" w:sz="4" w:color="8EA9DB"/>
              <w:bottom w:val="single" w:sz="4" w:color="8EA9DB"/>
              <w:right w:val="single" w:sz="4" w:color="8EA9DB"/>
            </w:tcBorders>
            <w:tcMar>
              <w:top w:w="22" w:type="dxa"/>
              <w:bottom w:w="22" w:type="dxa"/>
              <w:start w:w="80" w:type="dxa"/>
              <w:end w:w="80" w:type="dxa"/>
            </w:tcMar>
            <w:shd w:val="clear" w:color="auto" w:fill="EEF2F8"/>
          </w:tcPr>
          <w:p>
            <w:pPr>
              <w:widowControl/>
              <w:spacing w:after="40" w:before="0"/>
              <w:jc w:val="both"/>
            </w:pPr>
            <w:r>
              <w:rPr>
                <w:rFonts w:ascii="Arial" w:hAnsi="Arial" w:cs="Arial" w:eastAsia="Arial"/>
                <w:b w:val="0"/>
                <w:i w:val="0"/>
                <w:sz w:val="18"/>
              </w:rPr>
              <w:t>[İP1 ve İP3] Veri sızıntısı veya dairesellik: altın etiketleri üreten betiğin, değerlendirilen sistemle aynı sezgisel kuralları paylaşması.</w:t>
            </w:r>
          </w:p>
        </w:tc>
        <w:tc>
          <w:tcPr>
            <w:tcW w:w="4335"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shd w:val="clear" w:color="auto" w:fill="EEF2F8"/>
          </w:tcPr>
          <w:p>
            <w:pPr>
              <w:widowControl/>
              <w:spacing w:after="40" w:before="0"/>
              <w:jc w:val="both"/>
            </w:pPr>
            <w:r>
              <w:rPr>
                <w:rFonts w:ascii="Arial" w:hAnsi="Arial" w:cs="Arial" w:eastAsia="Arial"/>
                <w:b w:val="0"/>
                <w:i w:val="0"/>
                <w:sz w:val="18"/>
              </w:rPr>
              <w:t>Altın etiketler, sezgisel kuralları ve belge üretecini yazan kişiden farklı bir ekip üyesince, üretim sözlüğünden ayrık bir sözlükle kurulur; örtüşme oranı sayısal raporlanır, uyuşmazlıklar danışman hakemliğinde çözülür. Dayanaklılıkta ölçüt sistemin kendi vetosu değil kör uzman yargısıdır. Sızıntı bulunursa ilgili küme taban sayılmaz ve bu durum bulgu olarak yayımlanır.</w:t>
            </w:r>
          </w:p>
        </w:tc>
      </w:tr>
      <w:tr w:rsidR="000D0AB4" w14:paraId="708F72DA"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shd w:val="clear" w:color="auto" w:fill="auto"/>
            <w:tcBorders>
              <w:top w:val="single" w:sz="4" w:color="8EA9DB"/>
              <w:left w:val="single" w:sz="4" w:color="8EA9DB"/>
              <w:bottom w:val="single" w:sz="4" w:color="8EA9DB"/>
              <w:right w:val="single" w:sz="4" w:color="8EA9DB"/>
            </w:tcBorders>
            <w:tcMar>
              <w:top w:w="22" w:type="dxa"/>
              <w:bottom w:w="22" w:type="dxa"/>
              <w:start w:w="80" w:type="dxa"/>
              <w:end w:w="80" w:type="dxa"/>
            </w:tcMar>
          </w:tcPr>
          <w:p>
            <w:pPr>
              <w:widowControl/>
              <w:spacing w:after="40" w:before="0"/>
            </w:pPr>
            <w:r>
              <w:rPr>
                <w:rFonts w:ascii="Arial" w:hAnsi="Arial" w:cs="Arial" w:eastAsia="Arial"/>
                <w:b w:val="0"/>
                <w:i w:val="0"/>
                <w:sz w:val="18"/>
              </w:rPr>
              <w:t>[İP2] Kısıtsız kolda kapalı küme dışına çıkan veya ayrıştırılamayan çıktı üretilmesi.</w:t>
            </w:r>
          </w:p>
        </w:tc>
        <w:tc>
          <w:tcPr>
            <w:tcW w:w="4335"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tcPr>
          <w:p>
            <w:pPr>
              <w:widowControl/>
              <w:spacing w:after="40" w:before="0"/>
              <w:jc w:val="both"/>
            </w:pPr>
            <w:r>
              <w:rPr>
                <w:rFonts w:ascii="Arial" w:hAnsi="Arial" w:cs="Arial" w:eastAsia="Arial"/>
                <w:b w:val="0"/>
                <w:i w:val="0"/>
                <w:sz w:val="18"/>
              </w:rPr>
              <w:t>Ayrıştırılamayan çıktı sessizce deterministik yedeğe düşürülmez; birincil analizlerde niyet-tedavi ilkesiyle yanlış kodlanır, geçersiz çıktı oranı ikincil bağımlı değişken olarak raporlanır. H1'in birincil karşılaştırması, iki kolun da geçerli çıktı ürettiği alt kümede keşifsel olarak tekrarlanır; üstünlük bu alt kümede kaybolursa bulgu biçim dayatması olarak nitelendirilir. Nitelendirme betimleyicidir ve niyet-tedavi ilkesiyle kurulan birincil sonucu geçersiz kılmaz.</w:t>
            </w:r>
          </w:p>
        </w:tc>
      </w:tr>
      <w:tr w:rsidR="000D0AB4" w14:paraId="708F72DA"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shd w:val="clear" w:color="auto" w:fill="auto"/>
            <w:tcBorders>
              <w:top w:val="single" w:sz="4" w:color="8EA9DB"/>
              <w:left w:val="single" w:sz="4" w:color="8EA9DB"/>
              <w:bottom w:val="single" w:sz="4" w:color="8EA9DB"/>
              <w:right w:val="single" w:sz="4" w:color="8EA9DB"/>
            </w:tcBorders>
            <w:tcMar>
              <w:top w:w="22" w:type="dxa"/>
              <w:bottom w:w="22" w:type="dxa"/>
              <w:start w:w="80" w:type="dxa"/>
              <w:end w:w="80" w:type="dxa"/>
            </w:tcMar>
            <w:shd w:val="clear" w:color="auto" w:fill="EEF2F8"/>
          </w:tcPr>
          <w:p>
            <w:pPr>
              <w:widowControl/>
              <w:spacing w:after="40" w:before="0"/>
            </w:pPr>
            <w:r>
              <w:rPr>
                <w:rFonts w:ascii="Arial" w:hAnsi="Arial" w:cs="Arial" w:eastAsia="Arial"/>
                <w:b w:val="0"/>
                <w:i w:val="0"/>
                <w:sz w:val="18"/>
              </w:rPr>
              <w:t>[İP1 ve İP2] Etkileşim hipotezinin (H2) gücünün düşük olması; simülasyonda n = 240'ta ölçülen güç 0,314'tür.</w:t>
            </w:r>
          </w:p>
        </w:tc>
        <w:tc>
          <w:tcPr>
            <w:tcW w:w="4335"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shd w:val="clear" w:color="auto" w:fill="EEF2F8"/>
          </w:tcPr>
          <w:p>
            <w:pPr>
              <w:widowControl/>
              <w:spacing w:after="40" w:before="0"/>
              <w:jc w:val="both"/>
            </w:pPr>
            <w:r>
              <w:rPr>
                <w:rFonts w:ascii="Arial" w:hAnsi="Arial" w:cs="Arial" w:eastAsia="Arial"/>
                <w:b w:val="0"/>
                <w:i w:val="0"/>
                <w:sz w:val="18"/>
              </w:rPr>
              <w:t>Güç varsayılmamış, başvuru öncesinde simülasyonla ölçülmüş ve sınır gizlenmeden ilan edilmiştir: saptanabilir en küçük etkileşim ön-kayıtta 0,19'dur, altında kalan gözlem 'anlamlı fark yoktur' diye değil güç sınırlı ve sonuçsuz olarak raporlanır. Örneklem n = 240'ta sabittir; koşullu genişletme öngörülmez. H2 onaylayıcı ailenin son kapısındadır; sonuçsuz kalması diğer hipotezlerin sınanmasını engellemez.</w:t>
            </w:r>
          </w:p>
        </w:tc>
      </w:tr>
    </w:tbl>
    <w:p w14:paraId="3B06F2D4" w14:textId="77777777" w:rsidR="006F7368" w:rsidRPr="000E39BE" w:rsidRDefault="006F7368" w:rsidP="00190A53">
      <w:pPr>
        <w:keepNext/>
        <w:widowControl/>
      </w:pPr>
    </w:p>
    <w:p w14:paraId="149E7633" w14:textId="77777777" w:rsidR="006F7368" w:rsidRPr="00190A53" w:rsidRDefault="00A17861" w:rsidP="00190A53">
      <w:pPr>
        <w:keepNext/>
        <w:widowControl/>
        <w:suppressAutoHyphens/>
        <w:spacing w:before="160" w:after="60" w:line="300" w:lineRule="atLeast"/>
        <w:ind w:left="360"/>
        <w:jc w:val="both"/>
        <w:rPr>
          <w:rFonts w:ascii="Arial" w:hAnsi="Arial" w:cs="Arial"/>
          <w:b/>
          <w:sz w:val="18"/>
          <w:szCs w:val="18"/>
        </w:rPr>
      </w:pPr>
      <w:r>
        <w:rPr>
          <w:rFonts w:ascii="Arial" w:hAnsi="Arial" w:cs="Arial" w:eastAsia="Arial"/>
          <w:b/>
          <w:i w:val="0"/>
          <w:color w:val="1F3864"/>
          <w:sz w:val="19"/>
          <w:szCs w:val="18"/>
        </w:rPr>
        <w:t>3.3.</w:t>
      </w:r>
      <w:r w:rsidR="002E7A1C" w:rsidRPr="00190A53">
        <w:rPr>
          <w:rFonts w:ascii="Arial" w:hAnsi="Arial" w:cs="Arial" w:eastAsia="Arial"/>
          <w:b/>
          <w:i w:val="0"/>
          <w:color w:val="1F3864"/>
          <w:sz w:val="19"/>
          <w:szCs w:val="18"/>
        </w:rPr>
        <w:t>Araştırma Olanakları</w:t>
      </w:r>
    </w:p>
    <w:p w14:paraId="7377FD63" w14:textId="77777777" w:rsidR="006F7368" w:rsidRDefault="006F7368">
      <w:pPr>
        <w:keepNext/>
        <w:widowControl/>
        <w:suppressAutoHyphens/>
        <w:ind w:left="357"/>
        <w:jc w:val="both"/>
        <w:rPr>
          <w:rFonts w:ascii="Arial" w:hAnsi="Arial" w:cs="Arial"/>
          <w:bCs/>
          <w:sz w:val="18"/>
          <w:szCs w:val="18"/>
        </w:rPr>
      </w:pPr>
    </w:p>
    <w:p w14:paraId="5D40AB9C" w14:textId="77777777" w:rsidR="006F7368" w:rsidRDefault="002E7A1C">
      <w:pPr>
        <w:keepNext/>
        <w:widowControl/>
        <w:spacing w:before="160" w:after="60"/>
        <w:contextualSpacing/>
        <w:jc w:val="center"/>
        <w:rPr>
          <w:rFonts w:ascii="Arial" w:hAnsi="Arial"/>
          <w:b/>
          <w:bCs/>
          <w:sz w:val="16"/>
          <w:szCs w:val="18"/>
        </w:rPr>
      </w:pPr>
      <w:r>
        <w:rPr>
          <w:rFonts w:ascii="Arial" w:hAnsi="Arial" w:cs="Arial" w:eastAsia="Arial"/>
          <w:b/>
          <w:bCs/>
          <w:i w:val="0"/>
          <w:color w:val="1F3864"/>
          <w:sz w:val="19"/>
          <w:szCs w:val="18"/>
        </w:rPr>
        <w:t xml:space="preserve">ARAŞTIRMA OLANAKLARI TABLOSU </w:t>
      </w:r>
      <w:r>
        <w:rPr>
          <w:rFonts w:ascii="Arial" w:hAnsi="Arial" w:cs="Arial" w:eastAsia="Arial"/>
          <w:b/>
          <w:bCs/>
          <w:i w:val="0"/>
          <w:color w:val="1F3864"/>
          <w:sz w:val="19"/>
          <w:szCs w:val="18"/>
        </w:rPr>
        <w:t>(*)</w:t>
      </w:r>
    </w:p>
    <w:p w14:paraId="15046833" w14:textId="77777777" w:rsidR="006F7368" w:rsidRDefault="006F7368">
      <w:pPr>
        <w:keepNext/>
        <w:widowControl/>
        <w:spacing w:before="280" w:after="119"/>
        <w:contextualSpacing/>
        <w:jc w:val="center"/>
        <w:rPr>
          <w:rFonts w:ascii="Arial" w:hAnsi="Arial" w:cs="Arial"/>
          <w:b/>
          <w:bCs/>
          <w:color w:val="000000"/>
          <w:sz w:val="18"/>
          <w:szCs w:val="18"/>
        </w:rPr>
      </w:pPr>
    </w:p>
    <w:tbl>
      <w:tblPr>
        <w:tblW w:w="4545" w:type="pct"/>
        <w:jc w:val="center"/>
        <w:tblCellMar>
          <w:left w:w="70" w:type="dxa"/>
          <w:right w:w="70" w:type="dxa"/>
        </w:tblCellMar>
        <w:tblLook w:val="04A0" w:firstRow="1" w:lastRow="0" w:firstColumn="1" w:lastColumn="0" w:noHBand="0" w:noVBand="1"/>
      </w:tblPr>
      <w:tblGrid>
        <w:gridCol w:w="4299"/>
        <w:gridCol w:w="3937"/>
      </w:tblGrid>
      <w:tr w:rsidR="006F7368" w14:paraId="55E9FBF8" w14:textId="77777777" w:rsidTr="000D0AB4">
        <w:trPr>
          <w:trHeight w:val="550"/>
          <w:jc w:val="center"/>
        </w:trPr>
        <w:tc>
          <w:tcPr>
            <w:tcW w:w="4299" w:type="dxa"/>
            <w:tcBorders>
              <w:top w:val="single" w:sz="4" w:space="0" w:color="000000"/>
              <w:left w:val="single" w:sz="4" w:space="0" w:color="000000"/>
              <w:bottom w:val="single" w:sz="4" w:space="0" w:color="000000"/>
              <w:right w:val="single" w:sz="4" w:space="0" w:color="000000"/>
            </w:tcBorders>
            <w:shd w:val="clear" w:color="auto" w:fill="D9D9D9"/>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shd w:val="clear" w:color="auto" w:fill="1F3864"/>
          </w:tcPr>
          <w:p w14:paraId="651E2EE9" w14:textId="77777777" w:rsidR="006F7368" w:rsidRDefault="002E7A1C">
            <w:pPr>
              <w:widowControl/>
              <w:spacing w:before="280" w:after="119"/>
              <w:contextualSpacing/>
              <w:jc w:val="center"/>
              <w:rPr>
                <w:rFonts w:ascii="Arial" w:hAnsi="Arial" w:cs="Arial"/>
                <w:b/>
                <w:bCs/>
                <w:sz w:val="18"/>
                <w:szCs w:val="18"/>
              </w:rPr>
            </w:pPr>
            <w:r>
              <w:rPr>
                <w:rFonts w:ascii="Arial" w:hAnsi="Arial" w:cs="Arial" w:eastAsia="Arial"/>
                <w:b/>
                <w:bCs/>
                <w:i w:val="0"/>
                <w:color w:val="FFFFFF"/>
                <w:sz w:val="18"/>
                <w:szCs w:val="18"/>
              </w:rPr>
              <w:t>Kuruluşta Bulunan Altyapı/Ekipman Türü, Modeli</w:t>
            </w:r>
          </w:p>
          <w:p w14:paraId="51FA9E4C" w14:textId="77777777" w:rsidR="006F7368" w:rsidRDefault="002E7A1C">
            <w:pPr>
              <w:widowControl/>
              <w:spacing w:before="280" w:after="119"/>
              <w:contextualSpacing/>
              <w:jc w:val="center"/>
              <w:rPr>
                <w:rFonts w:ascii="Arial" w:hAnsi="Arial" w:cs="Arial"/>
                <w:sz w:val="18"/>
                <w:szCs w:val="18"/>
              </w:rPr>
            </w:pPr>
            <w:r>
              <w:rPr>
                <w:rFonts w:ascii="Arial" w:hAnsi="Arial" w:cs="Arial" w:eastAsia="Arial"/>
                <w:b/>
                <w:i w:val="0"/>
                <w:color w:val="FFFFFF"/>
                <w:sz w:val="18"/>
                <w:szCs w:val="18"/>
              </w:rPr>
              <w:t>(Laboratuvar, Araç, Makine-Teçhizat, vb.)</w:t>
            </w:r>
          </w:p>
        </w:tc>
        <w:tc>
          <w:tcPr>
            <w:tcW w:w="3937" w:type="dxa"/>
            <w:tcBorders>
              <w:top w:val="single" w:sz="4" w:space="0" w:color="000000"/>
              <w:left w:val="single" w:sz="4" w:space="0" w:color="000000"/>
              <w:bottom w:val="single" w:sz="4" w:space="0" w:color="000000"/>
              <w:right w:val="single" w:sz="4" w:space="0" w:color="000000"/>
            </w:tcBorders>
            <w:shd w:val="clear" w:color="auto" w:fill="D9D9D9"/>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shd w:val="clear" w:color="auto" w:fill="1F3864"/>
          </w:tcPr>
          <w:p w14:paraId="1697BAE7" w14:textId="77777777" w:rsidR="006F7368" w:rsidRDefault="002E7A1C">
            <w:pPr>
              <w:widowControl/>
              <w:spacing w:before="280" w:after="119"/>
              <w:contextualSpacing/>
              <w:jc w:val="center"/>
              <w:rPr>
                <w:rFonts w:ascii="Arial" w:hAnsi="Arial" w:cs="Arial"/>
                <w:b/>
                <w:bCs/>
                <w:sz w:val="18"/>
                <w:szCs w:val="18"/>
              </w:rPr>
            </w:pPr>
            <w:r>
              <w:rPr>
                <w:rFonts w:ascii="Arial" w:hAnsi="Arial" w:cs="Arial" w:eastAsia="Arial"/>
                <w:b/>
                <w:bCs/>
                <w:i w:val="0"/>
                <w:color w:val="FFFFFF"/>
                <w:sz w:val="18"/>
                <w:szCs w:val="18"/>
              </w:rPr>
              <w:t>Projede Kullanım Amacı</w:t>
            </w:r>
          </w:p>
        </w:tc>
      </w:tr>
      <w:tr w:rsidR="006F7368" w14:paraId="1F6B5715"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tcPr>
          <w:p>
            <w:pPr>
              <w:widowControl/>
              <w:spacing w:after="40" w:before="0"/>
            </w:pPr>
            <w:r>
              <w:rPr>
                <w:rFonts w:ascii="Arial" w:hAnsi="Arial" w:cs="Arial" w:eastAsia="Arial"/>
                <w:b w:val="0"/>
                <w:i w:val="0"/>
                <w:sz w:val="18"/>
              </w:rPr>
              <w:t>Genel yaklaşım</w:t>
            </w:r>
          </w:p>
        </w:tc>
        <w:tc>
          <w:tcPr>
            <w:tcW w:w="3937"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tcPr>
          <w:p>
            <w:pPr>
              <w:widowControl/>
              <w:spacing w:after="40" w:before="0"/>
            </w:pPr>
            <w:r>
              <w:rPr>
                <w:rFonts w:ascii="Arial" w:hAnsi="Arial" w:cs="Arial" w:eastAsia="Arial"/>
                <w:b w:val="0"/>
                <w:i w:val="0"/>
                <w:sz w:val="18"/>
              </w:rPr>
              <w:t>Proje, ek bir altyapı yatırımı gerektirmeyecek biçimde tasarlanmıştır.</w:t>
            </w:r>
          </w:p>
        </w:tc>
      </w:tr>
      <w:tr w:rsidR="006F7368" w14:paraId="6A7B7FEB"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shd w:val="clear" w:color="auto" w:fill="EEF2F8"/>
          </w:tcPr>
          <w:p>
            <w:pPr>
              <w:widowControl/>
              <w:spacing w:after="40" w:before="0"/>
            </w:pPr>
            <w:r>
              <w:rPr>
                <w:rFonts w:ascii="Arial" w:hAnsi="Arial" w:cs="Arial" w:eastAsia="Arial"/>
                <w:b w:val="0"/>
                <w:i w:val="0"/>
                <w:sz w:val="18"/>
              </w:rPr>
              <w:t>Donanım</w:t>
            </w:r>
          </w:p>
        </w:tc>
        <w:tc>
          <w:tcPr>
            <w:tcW w:w="3937"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shd w:val="clear" w:color="auto" w:fill="EEF2F8"/>
          </w:tcPr>
          <w:p>
            <w:pPr>
              <w:widowControl/>
              <w:spacing w:after="40" w:before="0"/>
              <w:jc w:val="both"/>
            </w:pPr>
            <w:r>
              <w:rPr>
                <w:rFonts w:ascii="Arial" w:hAnsi="Arial" w:cs="Arial" w:eastAsia="Arial"/>
                <w:b w:val="0"/>
                <w:i w:val="0"/>
                <w:sz w:val="18"/>
              </w:rPr>
              <w:t>Deneyler ekip üyelerinin mevcut kişisel bilgisayarlarında yürütülür; donanım alımı talep edilmemektedir. Birincil deney makinesi 6 çekirdekli / 12 iş parçacıklı, yaklaşık 3,8 GHz masaüstü işlemci, 48 GB sistem belleği, 12 GB görüntü belleğine sahip bir hesaplama hızlandırıcısı ve 1 TB katı hâl sürücü içerir; ekipte ayrıca karakter hata oranı ölçümünde kullanılacak bir çok işlevli yazıcı-tarayıcı bulunmaktadır. Yerel açık ağırlıklı model 7-14 milyar parametre bandından seçilir; 4-bit nicelemede ağırlıklar 4-7 GB tutar, kalan görüntü belleği anahtar-değer önbelleği ve toplu koşum için yeterlidir. Mevcut 12 GB bu kolu tam kapasitede yürütmeye elverişlidir ve sağlayıcı bloğunun yerel seviyesi için ek kaynak gerektirmez. Deneylerin tamamı makine tarafında yürütüldüğünden derslik veya katılımcı mekânı ihtiyacı yoktur.</w:t>
            </w:r>
          </w:p>
        </w:tc>
      </w:tr>
      <w:tr w:rsidR="006F7368" w14:paraId="6A7B7FEB"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tcPr>
          <w:p>
            <w:pPr>
              <w:widowControl/>
              <w:spacing w:after="40" w:before="0"/>
            </w:pPr>
            <w:r>
              <w:rPr>
                <w:rFonts w:ascii="Arial" w:hAnsi="Arial" w:cs="Arial" w:eastAsia="Arial"/>
                <w:b w:val="0"/>
                <w:i w:val="0"/>
                <w:sz w:val="18"/>
              </w:rPr>
              <w:t>Yazılım ve ölçüm altyapısı</w:t>
            </w:r>
          </w:p>
        </w:tc>
        <w:tc>
          <w:tcPr>
            <w:tcW w:w="3937"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tcPr>
          <w:p>
            <w:pPr>
              <w:widowControl/>
              <w:spacing w:after="40" w:before="0"/>
              <w:jc w:val="both"/>
            </w:pPr>
            <w:r>
              <w:rPr>
                <w:rFonts w:ascii="Arial" w:hAnsi="Arial" w:cs="Arial" w:eastAsia="Arial"/>
                <w:b w:val="0"/>
                <w:i w:val="0"/>
                <w:sz w:val="18"/>
              </w:rPr>
              <w:t>Uçtan uca yürütme grafı, altın kümeye karşı koşan değerlendirme takımı, Wilson güven aralığı ile kesin McNemar ve önyükleme yordamlarını içeren istatistik modülü ve deterministik yedek katmanı ön çalışma kapsamında kurulmuş, çalışır durumdadır; proje süresi altyapı kurmaya değil deney yürütmeye ayrılacaktır. Kullanılacak tüm çözümleme araçları açık kaynaklıdır ve lisans bedeli doğurmamaktadır.</w:t>
            </w:r>
          </w:p>
        </w:tc>
      </w:tr>
      <w:tr w:rsidR="006F7368" w14:paraId="6A7B7FEB"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shd w:val="clear" w:color="auto" w:fill="EEF2F8"/>
          </w:tcPr>
          <w:p>
            <w:pPr>
              <w:widowControl/>
              <w:spacing w:after="40" w:before="0"/>
            </w:pPr>
            <w:r>
              <w:rPr>
                <w:rFonts w:ascii="Arial" w:hAnsi="Arial" w:cs="Arial" w:eastAsia="Arial"/>
                <w:b w:val="0"/>
                <w:i w:val="0"/>
                <w:sz w:val="18"/>
              </w:rPr>
              <w:t>Veri</w:t>
            </w:r>
          </w:p>
        </w:tc>
        <w:tc>
          <w:tcPr>
            <w:tcW w:w="3937"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shd w:val="clear" w:color="auto" w:fill="EEF2F8"/>
          </w:tcPr>
          <w:p>
            <w:pPr>
              <w:widowControl/>
              <w:spacing w:after="40" w:before="0"/>
              <w:jc w:val="both"/>
            </w:pPr>
            <w:r>
              <w:rPr>
                <w:rFonts w:ascii="Arial" w:hAnsi="Arial" w:cs="Arial" w:eastAsia="Arial"/>
                <w:b w:val="0"/>
                <w:i w:val="0"/>
                <w:sz w:val="18"/>
              </w:rPr>
              <w:t>Belge kümesi proje kapsamında sentetik olarak üretilecektir; mevzuat metinleri kamuya açık kaynaklardan derlenir. Gerçek kamu verisine, kurum içi sisteme veya kişisel veri barındıran hiçbir kaynağa erişim ihtiyacı yoktur; bu, projenin hem etik hem de fizibilite bakımından bağımsız yürüyebilmesini sağlar.</w:t>
            </w:r>
          </w:p>
        </w:tc>
      </w:tr>
      <w:tr w:rsidR="006F7368" w14:paraId="6A7B7FEB"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tcPr>
          <w:p>
            <w:pPr>
              <w:widowControl/>
              <w:spacing w:after="40" w:before="0"/>
            </w:pPr>
            <w:r>
              <w:rPr>
                <w:rFonts w:ascii="Arial" w:hAnsi="Arial" w:cs="Arial" w:eastAsia="Arial"/>
                <w:b w:val="0"/>
                <w:i w:val="0"/>
                <w:sz w:val="18"/>
              </w:rPr>
              <w:t>Danışman desteği</w:t>
            </w:r>
          </w:p>
        </w:tc>
        <w:tc>
          <w:tcPr>
            <w:tcW w:w="3937"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tcPr>
          <w:p>
            <w:pPr>
              <w:widowControl/>
              <w:spacing w:after="40" w:before="0"/>
              <w:jc w:val="both"/>
            </w:pPr>
            <w:r>
              <w:rPr>
                <w:rFonts w:ascii="Arial" w:hAnsi="Arial" w:cs="Arial" w:eastAsia="Arial"/>
                <w:b w:val="0"/>
                <w:i w:val="0"/>
                <w:sz w:val="18"/>
              </w:rPr>
              <w:t>Danışman öğretim üyesi, ön-kayıt onayı, istatistiksel model denetimi, kodlama kılavuzu hakemliği ve etik uygunluk denetimi başlıklarında düzenli olarak katkı verecek; ayrıca kör değerlendirmeye gönüllü katkı verecek iki değerlendiricinin belirlenmesi, niteliklerinin yazılı teyidi ve uyuşmazlık turu için koordinasyon desteği sağlayacaktır.</w:t>
            </w:r>
          </w:p>
        </w:tc>
      </w:tr>
      <w:tr w:rsidR="006F7368" w14:paraId="6A7B7FEB"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shd w:val="clear" w:color="auto" w:fill="EEF2F8"/>
          </w:tcPr>
          <w:p>
            <w:pPr>
              <w:widowControl/>
              <w:spacing w:after="40" w:before="0"/>
            </w:pPr>
            <w:r>
              <w:rPr>
                <w:rFonts w:ascii="Arial" w:hAnsi="Arial" w:cs="Arial" w:eastAsia="Arial"/>
                <w:b w:val="0"/>
                <w:i w:val="0"/>
                <w:sz w:val="18"/>
              </w:rPr>
              <w:t>Dış hizmet</w:t>
            </w:r>
          </w:p>
        </w:tc>
        <w:tc>
          <w:tcPr>
            <w:tcW w:w="3937" w:type="dxa"/>
            <w:tcBorders>
              <w:top w:val="single" w:sz="4" w:space="0" w:color="000000"/>
              <w:left w:val="single" w:sz="4" w:space="0" w:color="000000"/>
              <w:bottom w:val="single" w:sz="4" w:space="0" w:color="000000"/>
              <w:right w:val="single" w:sz="4" w:space="0" w:color="000000"/>
            </w:tcBorders>
            <w:shd w:val="clear" w:color="auto" w:fill="auto"/>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shd w:val="clear" w:color="auto" w:fill="EEF2F8"/>
          </w:tcPr>
          <w:p>
            <w:pPr>
              <w:widowControl/>
              <w:spacing w:after="40" w:before="0"/>
              <w:jc w:val="both"/>
            </w:pPr>
            <w:r>
              <w:rPr>
                <w:rFonts w:ascii="Arial" w:hAnsi="Arial" w:cs="Arial" w:eastAsia="Arial"/>
                <w:b w:val="0"/>
                <w:i w:val="0"/>
                <w:sz w:val="18"/>
              </w:rPr>
              <w:t>Ekip dışından üç kalemde hizmet satın alınacaktır: kör değerlendirmenin ücretli değerlendiricisi, bulut model erişimi ve yeniden üretim paketinin bağımsız koşturulması. Kör değerlendirmenin diğer iki değerlendiricisi danışmanın bölümünden gönüllü akademik katkı verir ve bütçeye gider yazılmaz; üçü de proje ekibi üyesi değildir ve sistemin kararını görmez.</w:t>
            </w:r>
          </w:p>
        </w:tc>
      </w:tr>
    </w:tbl>
    <w:p w14:paraId="2AB0406A" w14:textId="77777777" w:rsidR="000E39BE" w:rsidRDefault="000E39BE">
      <w:pPr>
        <w:pStyle w:val="WW-NormalWeb1"/>
        <w:keepNext/>
        <w:widowControl/>
        <w:spacing w:before="0" w:after="0"/>
        <w:contextualSpacing/>
        <w:jc w:val="both"/>
        <w:rPr>
          <w:rFonts w:ascii="Arial" w:hAnsi="Arial" w:cs="Arial"/>
          <w:sz w:val="16"/>
          <w:szCs w:val="16"/>
        </w:rPr>
      </w:pPr>
    </w:p>
    <w:p w14:paraId="46A3F155" w14:textId="77777777" w:rsidR="006F7368" w:rsidRDefault="000E39BE">
      <w:pPr>
        <w:pStyle w:val="WW-NormalWeb1"/>
        <w:keepNext/>
        <w:widowControl/>
        <w:numPr>
          <w:ilvl w:val="0"/>
          <w:numId w:val="5"/>
        </w:numPr>
        <w:spacing w:before="220" w:after="80"/>
        <w:jc w:val="both"/>
        <w:rPr>
          <w:rFonts w:ascii="Arial" w:hAnsi="Arial" w:cs="Arial"/>
          <w:bCs/>
          <w:sz w:val="18"/>
          <w:szCs w:val="18"/>
        </w:rPr>
        <w:pBdr>
          <w:bottom w:val="single" w:sz="8" w:space="3" w:color="1F3864"/>
        </w:pBdr>
      </w:pPr>
      <w:r>
        <w:rPr>
          <w:rFonts w:ascii="Arial" w:hAnsi="Arial" w:cs="Arial" w:eastAsia="Arial"/>
          <w:b/>
          <w:bCs/>
          <w:i w:val="0"/>
          <w:color w:val="1F3864"/>
          <w:sz w:val="22"/>
          <w:szCs w:val="18"/>
        </w:rPr>
        <w:t xml:space="preserve">ARAŞTIRMA ÖNERİSİNİN </w:t>
      </w:r>
      <w:r w:rsidR="002E7A1C">
        <w:rPr>
          <w:rFonts w:ascii="Arial" w:hAnsi="Arial" w:cs="Arial" w:eastAsia="Arial"/>
          <w:b/>
          <w:bCs/>
          <w:i w:val="0"/>
          <w:color w:val="1F3864"/>
          <w:sz w:val="22"/>
          <w:szCs w:val="18"/>
        </w:rPr>
        <w:t>YAYGIN ETKİ</w:t>
      </w:r>
      <w:r>
        <w:rPr>
          <w:rFonts w:ascii="Arial" w:hAnsi="Arial" w:cs="Arial" w:eastAsia="Arial"/>
          <w:b/>
          <w:bCs/>
          <w:i w:val="0"/>
          <w:color w:val="1F3864"/>
          <w:sz w:val="22"/>
          <w:szCs w:val="18"/>
        </w:rPr>
        <w:t>Sİ</w:t>
      </w:r>
    </w:p>
    <w:p w14:paraId="1A6E2704" w14:textId="77777777" w:rsidR="006F7368" w:rsidRDefault="006F7368">
      <w:pPr>
        <w:pStyle w:val="WW-NormalWeb1"/>
        <w:keepNext/>
        <w:widowControl/>
        <w:tabs>
          <w:tab w:val="left" w:pos="426"/>
        </w:tabs>
        <w:spacing w:before="0" w:after="0"/>
        <w:jc w:val="both"/>
        <w:rPr>
          <w:rFonts w:ascii="Arial" w:hAnsi="Arial" w:cs="Arial"/>
          <w:b/>
          <w:bCs/>
          <w:sz w:val="16"/>
          <w:szCs w:val="16"/>
        </w:rPr>
      </w:pPr>
    </w:p>
    <w:p w14:paraId="0801771F" w14:textId="71D24CDC" w:rsidR="006F7368" w:rsidRDefault="006F7368">
      <w:pPr>
        <w:keepNext/>
        <w:widowControl/>
        <w:jc w:val="center"/>
        <w:rPr>
          <w:rFonts w:ascii="Arial" w:hAnsi="Arial" w:cs="Arial"/>
          <w:b/>
          <w:sz w:val="18"/>
          <w:szCs w:val="18"/>
        </w:rPr>
      </w:pPr>
    </w:p>
    <w:tbl>
      <w:tblPr>
        <w:tblW w:w="4850" w:type="pct"/>
        <w:tblInd w:w="109" w:type="dxa"/>
        <w:shd w:val="clear" w:color="auto" w:fill="FFFFFF"/>
        <w:tblLook w:val="04A0" w:firstRow="1" w:lastRow="0" w:firstColumn="1" w:lastColumn="0" w:noHBand="0" w:noVBand="1"/>
      </w:tblPr>
      <w:tblGrid>
        <w:gridCol w:w="4089"/>
        <w:gridCol w:w="4699"/>
      </w:tblGrid>
      <w:tr w:rsidR="006F7368" w14:paraId="13C30C03" w14:textId="77777777" w:rsidTr="00BB5D2F">
        <w:trPr>
          <w:trHeight w:val="515"/>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shd w:val="clear" w:color="auto" w:fill="1F3864"/>
          </w:tcPr>
          <w:p w14:paraId="3B438427" w14:textId="1D50951B" w:rsidR="006F7368" w:rsidRDefault="000E39BE" w:rsidP="00190A53">
            <w:pPr>
              <w:widowControl/>
              <w:rPr>
                <w:rFonts w:ascii="Arial" w:hAnsi="Arial" w:cs="Arial"/>
                <w:b/>
                <w:bCs/>
                <w:sz w:val="18"/>
                <w:szCs w:val="18"/>
              </w:rPr>
            </w:pPr>
            <w:r>
              <w:rPr>
                <w:rFonts w:ascii="Arial" w:hAnsi="Arial" w:cs="Arial" w:eastAsia="Arial"/>
                <w:b/>
                <w:bCs/>
                <w:i w:val="0"/>
                <w:color w:val="FFFFFF"/>
                <w:sz w:val="18"/>
                <w:szCs w:val="18"/>
              </w:rPr>
              <w:t>Çıktı</w:t>
            </w:r>
            <w:r w:rsidR="00BB5D2F">
              <w:rPr>
                <w:rFonts w:ascii="Arial" w:hAnsi="Arial" w:cs="Arial" w:eastAsia="Arial"/>
                <w:b/>
                <w:bCs/>
                <w:i w:val="0"/>
                <w:color w:val="FFFFFF"/>
                <w:sz w:val="18"/>
                <w:szCs w:val="18"/>
              </w:rPr>
              <w:t>, Etki ve Kazanımlar</w:t>
            </w:r>
          </w:p>
        </w:tc>
        <w:tc>
          <w:tcPr>
            <w:tcW w:w="4699" w:type="dxa"/>
            <w:tcBorders>
              <w:top w:val="single" w:sz="4" w:space="0" w:color="000000"/>
              <w:left w:val="single" w:sz="4" w:space="0" w:color="000000"/>
              <w:bottom w:val="single" w:sz="4" w:space="0" w:color="000000"/>
              <w:right w:val="single" w:sz="4" w:space="0" w:color="000000"/>
            </w:tcBorders>
            <w:shd w:val="clear" w:color="auto" w:fill="D9D9D9"/>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shd w:val="clear" w:color="auto" w:fill="1F3864"/>
          </w:tcPr>
          <w:p w14:paraId="2831A63C" w14:textId="1A993903" w:rsidR="006F7368" w:rsidRDefault="000E39BE" w:rsidP="00190A53">
            <w:pPr>
              <w:widowControl/>
              <w:rPr>
                <w:rFonts w:ascii="Arial" w:hAnsi="Arial" w:cs="Arial"/>
                <w:b/>
                <w:bCs/>
                <w:sz w:val="18"/>
                <w:szCs w:val="18"/>
              </w:rPr>
            </w:pPr>
            <w:r>
              <w:rPr>
                <w:rFonts w:ascii="Arial" w:hAnsi="Arial" w:cs="Arial" w:eastAsia="Arial"/>
                <w:b/>
                <w:bCs/>
                <w:i w:val="0"/>
                <w:color w:val="FFFFFF"/>
                <w:sz w:val="18"/>
                <w:szCs w:val="18"/>
              </w:rPr>
              <w:t>Öngörülen</w:t>
            </w:r>
            <w:r w:rsidR="002E7A1C">
              <w:rPr>
                <w:rFonts w:ascii="Arial" w:hAnsi="Arial" w:cs="Arial" w:eastAsia="Arial"/>
                <w:b/>
                <w:bCs/>
                <w:i w:val="0"/>
                <w:color w:val="FFFFFF"/>
                <w:sz w:val="18"/>
                <w:szCs w:val="18"/>
              </w:rPr>
              <w:t xml:space="preserve"> Çıktı</w:t>
            </w:r>
            <w:r>
              <w:rPr>
                <w:rFonts w:ascii="Arial" w:hAnsi="Arial" w:cs="Arial" w:eastAsia="Arial"/>
                <w:b/>
                <w:bCs/>
                <w:i w:val="0"/>
                <w:color w:val="FFFFFF"/>
                <w:sz w:val="18"/>
                <w:szCs w:val="18"/>
              </w:rPr>
              <w:t>(lar)</w:t>
            </w:r>
            <w:r w:rsidR="00BB5D2F">
              <w:rPr>
                <w:rFonts w:ascii="Arial" w:hAnsi="Arial" w:cs="Arial" w:eastAsia="Arial"/>
                <w:b/>
                <w:bCs/>
                <w:i w:val="0"/>
                <w:color w:val="FFFFFF"/>
                <w:sz w:val="18"/>
                <w:szCs w:val="18"/>
              </w:rPr>
              <w:t>, Etki(ler) ve Kazanım(lar)</w:t>
            </w:r>
          </w:p>
        </w:tc>
      </w:tr>
      <w:tr w:rsidR="00BB5D2F" w14:paraId="39CAE594"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tcPr>
          <w:p w14:paraId="30FF034B" w14:textId="77777777" w:rsidR="00BB5D2F" w:rsidRDefault="00BB5D2F" w:rsidP="00BB5D2F">
            <w:pPr>
              <w:widowControl/>
              <w:rPr>
                <w:rFonts w:ascii="Arial" w:hAnsi="Arial" w:cs="Arial"/>
                <w:b/>
                <w:bCs/>
                <w:sz w:val="18"/>
                <w:szCs w:val="18"/>
              </w:rPr>
            </w:pPr>
            <w:r>
              <w:rPr>
                <w:rFonts w:ascii="Arial" w:hAnsi="Arial" w:cs="Arial"/>
                <w:b/>
                <w:bCs/>
                <w:sz w:val="18"/>
                <w:szCs w:val="18"/>
              </w:rPr>
              <w:t>Bilimsel/Akademik Çıktılar</w:t>
            </w:r>
          </w:p>
          <w:p w14:paraId="5E61FA3F" w14:textId="183FDA06" w:rsidR="00BB5D2F" w:rsidRDefault="00BB5D2F" w:rsidP="00BB5D2F">
            <w:pPr>
              <w:widowControl/>
              <w:rPr>
                <w:rFonts w:ascii="Arial" w:hAnsi="Arial" w:cs="Arial"/>
                <w:bCs/>
                <w:sz w:val="16"/>
                <w:szCs w:val="16"/>
              </w:rPr>
            </w:pPr>
            <w:r>
              <w:rPr>
                <w:rFonts w:ascii="Arial" w:hAnsi="Arial" w:cs="Arial"/>
                <w:bCs/>
                <w:sz w:val="16"/>
                <w:szCs w:val="16"/>
              </w:rPr>
              <w:t>(Ulusal/Uluslararası Makale, Kitap Bölümü, Kitap, Bildiri vb.)</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Borders>
              <w:top w:val="single" w:sz="4" w:color="8EA9DB"/>
              <w:left w:val="single" w:sz="4" w:color="8EA9DB"/>
              <w:bottom w:val="single" w:sz="4" w:color="8EA9DB"/>
              <w:right w:val="single" w:sz="4" w:color="8EA9DB"/>
            </w:tcBorders>
            <w:tcMar>
              <w:top w:w="22" w:type="dxa"/>
              <w:bottom w:w="22" w:type="dxa"/>
              <w:start w:w="80" w:type="dxa"/>
              <w:end w:w="80" w:type="dxa"/>
            </w:tcMar>
          </w:tcPr>
          <w:p>
            <w:pPr>
              <w:widowControl/>
              <w:spacing w:after="40" w:before="0"/>
              <w:jc w:val="both"/>
            </w:pPr>
            <w:r>
              <w:rPr>
                <w:rFonts w:ascii="Arial" w:hAnsi="Arial" w:cs="Arial" w:eastAsia="Arial"/>
                <w:b w:val="0"/>
                <w:i w:val="0"/>
                <w:sz w:val="18"/>
              </w:rPr>
              <w:t>Çıktılar iş paketleriyle eşleştirilmiştir; her biri sayılı ve tarihlidir. Proje çıktıları için kabul ölçütü önceden ilan edilmiştir; bildiri, makale ve seminer ise yaygınlaştırma hedefidir. Anlamsız çıkan hipotezler de anlamlı çıkanlarla aynı ayrıntıda yayımlanacaktır; olumsuz bulgunun gizlenmesi geçerlilik kaybı sayılır.</w:t>
            </w:r>
          </w:p>
          <w:p>
            <w:pPr>
              <w:widowControl/>
              <w:spacing w:after="40" w:before="0"/>
              <w:jc w:val="both"/>
            </w:pPr>
            <w:r>
              <w:rPr>
                <w:rFonts w:ascii="Arial" w:hAnsi="Arial" w:cs="Arial" w:eastAsia="Arial"/>
                <w:b w:val="0"/>
                <w:i w:val="0"/>
                <w:sz w:val="18"/>
              </w:rPr>
              <w:t>- Açık erişimli ön-kayıt belgesi - 1 adet - 2. ay. Hipotezler, on bir testlik aile, dört kapılı mekanizma hiyerarşisi ile ayrı ölçüm geçerliliği kolu, dışlama ölçütleri ve analiz planı veri toplanmadan önce kamuya açılır. Kabul ölçütü: değiştirilemez zaman damgasıyla erişime açılması.</w:t>
            </w:r>
          </w:p>
          <w:p>
            <w:pPr>
              <w:widowControl/>
              <w:spacing w:after="40" w:before="0"/>
              <w:jc w:val="both"/>
            </w:pPr>
            <w:r>
              <w:rPr>
                <w:rFonts w:ascii="Arial" w:hAnsi="Arial" w:cs="Arial" w:eastAsia="Arial"/>
                <w:b w:val="0"/>
                <w:i w:val="0"/>
                <w:sz w:val="18"/>
              </w:rPr>
              <w:t>- Ulusal hakemli kongre bildirisi - 1 adet - 10. ayda gönderim. İçerik: katmanlı ölçüm kümesi ile mimari x bozulma faktöriyel deneyi (İP1-İP2). Yaygınlaştırma hedefidir; hakem kararı ekipte olmadığından yayım taahhüt edilmez.</w:t>
            </w:r>
          </w:p>
          <w:p>
            <w:pPr>
              <w:widowControl/>
              <w:spacing w:after="40" w:before="0"/>
              <w:jc w:val="both"/>
            </w:pPr>
            <w:r>
              <w:rPr>
                <w:rFonts w:ascii="Arial" w:hAnsi="Arial" w:cs="Arial" w:eastAsia="Arial"/>
                <w:b w:val="0"/>
                <w:i w:val="0"/>
                <w:sz w:val="18"/>
              </w:rPr>
              <w:t>- Uluslararası hakemli konferans bildirisi - 1 adet - 11. ayda gönderim. İçerik: kapının sıkılık-ödünleşim eğrisi ve doğrulayıcının kör uzman ölçütüne karşı ölçüm geçerliliği (İP3-İP4); dayanaklılığı üretim sonrası etiketleyen çerçeveler [7] ve geri getirmenin hukukta uydurmayı kaldırmadığı bulguları [9][10] üzerine karşılaştırmalı ölçüm koyar.</w:t>
            </w:r>
          </w:p>
          <w:p>
            <w:pPr>
              <w:widowControl/>
              <w:spacing w:after="40" w:before="0"/>
              <w:jc w:val="both"/>
            </w:pPr>
            <w:r>
              <w:rPr>
                <w:rFonts w:ascii="Arial" w:hAnsi="Arial" w:cs="Arial" w:eastAsia="Arial"/>
                <w:b w:val="0"/>
                <w:i w:val="0"/>
                <w:sz w:val="18"/>
              </w:rPr>
              <w:t>- Ulusal hakemli dergi makalesi - 1 adet - 12. ayda gönderim; sorumlu yazar danışman öğretim üyesidir. İçerik: müzakerenin yakınsaması ile kapının gecikme ve maliyet bedeli (İP4); ölçüm birimi nihai cevap olan alanyazına [15] karşı, eleştirilerin kapanıp kapanmadığını defterleyen bir ölçüm sunar.</w:t>
            </w:r>
          </w:p>
          <w:p>
            <w:pPr>
              <w:widowControl/>
              <w:spacing w:after="40" w:before="0"/>
            </w:pPr>
            <w:r>
              <w:rPr>
                <w:rFonts w:ascii="Arial" w:hAnsi="Arial" w:cs="Arial" w:eastAsia="Arial"/>
                <w:b w:val="0"/>
                <w:i w:val="0"/>
                <w:sz w:val="18"/>
              </w:rPr>
              <w:t>- Lisans bitirme çalışması / öğrenci semineri - 2 adet - 8. ve 12. ay.</w:t>
            </w:r>
          </w:p>
          <w:p>
            <w:pPr>
              <w:widowControl/>
              <w:spacing w:after="40" w:before="0"/>
            </w:pPr>
            <w:r>
              <w:rPr>
                <w:rFonts w:ascii="Arial" w:hAnsi="Arial" w:cs="Arial" w:eastAsia="Arial"/>
                <w:b w:val="0"/>
                <w:i w:val="0"/>
                <w:sz w:val="18"/>
              </w:rPr>
              <w:t>- Kitap, kitap bölümü ve patent hedeflenmemektedir; on iki ayda ve bu ekip büyüklüğünde gerçekçi bulunmamıştır.</w:t>
            </w:r>
          </w:p>
          <w:p>
            <w:pPr>
              <w:widowControl/>
              <w:spacing w:after="40" w:before="0"/>
              <w:jc w:val="both"/>
            </w:pPr>
            <w:r>
              <w:rPr>
                <w:rFonts w:ascii="Arial" w:hAnsi="Arial" w:cs="Arial" w:eastAsia="Arial"/>
                <w:b w:val="0"/>
                <w:i w:val="0"/>
                <w:sz w:val="18"/>
              </w:rPr>
              <w:t>Yayın çıktıları projenin başarı şartı değildir; projenin başarısı ön-kayıtlı hipotezlerin karar verilebilir biçimde sınanmasına ve açık veri ile açık kod çıktılarının teslimine bağlıdır.</w:t>
            </w:r>
          </w:p>
        </w:tc>
      </w:tr>
      <w:tr w:rsidR="00BB5D2F" w14:paraId="4D634948"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tcPr>
          <w:p w14:paraId="17116015" w14:textId="77777777" w:rsidR="00BB5D2F" w:rsidRDefault="00BB5D2F" w:rsidP="00BB5D2F">
            <w:pPr>
              <w:widowControl/>
              <w:jc w:val="both"/>
              <w:rPr>
                <w:rFonts w:ascii="Arial" w:eastAsia="Calibri" w:hAnsi="Arial" w:cs="Arial"/>
                <w:b/>
                <w:bCs/>
                <w:sz w:val="18"/>
                <w:szCs w:val="18"/>
                <w:lang w:eastAsia="en-US"/>
              </w:rPr>
            </w:pPr>
            <w:r>
              <w:rPr>
                <w:rFonts w:ascii="Arial" w:eastAsia="Calibri" w:hAnsi="Arial" w:cs="Arial"/>
                <w:b/>
                <w:bCs/>
                <w:sz w:val="18"/>
                <w:szCs w:val="18"/>
                <w:lang w:eastAsia="en-US"/>
              </w:rPr>
              <w:t>Ekonomik/Ticari/Sosyal Çıktılar</w:t>
            </w:r>
          </w:p>
          <w:p w14:paraId="2C6F5036" w14:textId="6116C279" w:rsidR="00BB5D2F" w:rsidRDefault="00BB5D2F" w:rsidP="00BB5D2F">
            <w:pPr>
              <w:widowControl/>
              <w:jc w:val="both"/>
              <w:rPr>
                <w:rFonts w:ascii="Arial" w:eastAsia="Calibri" w:hAnsi="Arial" w:cs="Arial"/>
                <w:bCs/>
                <w:sz w:val="16"/>
                <w:szCs w:val="16"/>
                <w:lang w:eastAsia="en-US"/>
              </w:rPr>
            </w:pPr>
            <w:r>
              <w:rPr>
                <w:rFonts w:ascii="Arial" w:eastAsia="Calibri" w:hAnsi="Arial" w:cs="Arial"/>
                <w:bCs/>
                <w:sz w:val="16"/>
                <w:szCs w:val="16"/>
                <w:lang w:eastAsia="en-US"/>
              </w:rPr>
              <w:t>(Ürün, Prototip, Patent, Faydalı Model, Tescil, Görsel/İşitsel Arşiv, Envanter/Veri Tabanı, Çalıştay, Eğitim, Bilimsel Etkinlik vb. )</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Borders>
              <w:top w:val="single" w:sz="4" w:color="8EA9DB"/>
              <w:left w:val="single" w:sz="4" w:color="8EA9DB"/>
              <w:bottom w:val="single" w:sz="4" w:color="8EA9DB"/>
              <w:right w:val="single" w:sz="4" w:color="8EA9DB"/>
            </w:tcBorders>
            <w:tcMar>
              <w:top w:w="22" w:type="dxa"/>
              <w:bottom w:w="22" w:type="dxa"/>
              <w:start w:w="80" w:type="dxa"/>
              <w:end w:w="80" w:type="dxa"/>
            </w:tcMar>
          </w:tcPr>
          <w:p>
            <w:pPr>
              <w:widowControl/>
              <w:spacing w:after="40" w:before="0"/>
              <w:jc w:val="both"/>
            </w:pPr>
            <w:r>
              <w:rPr>
                <w:rFonts w:ascii="Arial" w:hAnsi="Arial" w:cs="Arial" w:eastAsia="Arial"/>
                <w:b w:val="0"/>
                <w:i w:val="0"/>
                <w:sz w:val="18"/>
              </w:rPr>
              <w:t>- Açık erişimli değerlendirme veri tabanı - 4. ayda 240 belgelik ana küme, 12. ayda 120 belgelik replikasyon kümesi eklenerek 360 belge. On sekiz evrak türü ile çekimserlik etiketinden oluşan kapalı küme; tür, hedef birim, eksik zorunlu alan ve ilgili mevzuat alanlarında altın etiketli. Tamamı sentetiktir; gerçek kişi, kurum kaydı veya kimlik bilgisi içermez. Kabul ölçütü: 360 belgenin iki bağımsız kaynakta etiketlenmesi ve 12. ayda kalıcı tanımlayıcılı açık arşive yüklenmiş olması.</w:t>
            </w:r>
          </w:p>
          <w:p>
            <w:pPr>
              <w:widowControl/>
              <w:spacing w:after="40" w:before="0"/>
              <w:jc w:val="both"/>
            </w:pPr>
            <w:r>
              <w:rPr>
                <w:rFonts w:ascii="Arial" w:hAnsi="Arial" w:cs="Arial" w:eastAsia="Arial"/>
                <w:b w:val="0"/>
                <w:i w:val="0"/>
                <w:sz w:val="18"/>
              </w:rPr>
              <w:t>- İddia düzeyi kör yargılanmış dayanaklılık altın kümesi ve kodlama kılavuzu - 300 iddia - 7. ay. Küme yalnız belge metnini, iddiayı ve verilen yargıyı içerir. Kabul ölçütü: 300 iddianın üç değerlendiricice tam çapraz desende yargılanması ve uyum katsayılarıyla yayımlanması.</w:t>
            </w:r>
          </w:p>
          <w:p>
            <w:pPr>
              <w:widowControl/>
              <w:spacing w:after="40" w:before="0"/>
              <w:jc w:val="both"/>
            </w:pPr>
            <w:r>
              <w:rPr>
                <w:rFonts w:ascii="Arial" w:hAnsi="Arial" w:cs="Arial" w:eastAsia="Arial"/>
                <w:b w:val="0"/>
                <w:i w:val="0"/>
                <w:sz w:val="18"/>
              </w:rPr>
              <w:t>- Açık kaynak ölçüm ve yeniden üretim paketi - 1 adet - 12. ay. İzin verici lisansla; güçlü karşılıklılık şartlı bağımlılıklar bilinçli dışlanır (kamu kurumunun benimsemesini zorlaştırır). Kabul ölçütü: ekip dışı bir kişinin deterministik metrikleri en fazla yüzde bir sapmayla yeniden üretmesi (İP5).</w:t>
            </w:r>
          </w:p>
          <w:p>
            <w:pPr>
              <w:widowControl/>
              <w:spacing w:after="40" w:before="0"/>
              <w:jc w:val="both"/>
            </w:pPr>
            <w:r>
              <w:rPr>
                <w:rFonts w:ascii="Arial" w:hAnsi="Arial" w:cs="Arial" w:eastAsia="Arial"/>
                <w:b w:val="0"/>
                <w:i w:val="0"/>
                <w:sz w:val="18"/>
              </w:rPr>
              <w:t>- Araştırma prototipi (ön çalışmanın dondurulmuş, sürüm damgalı sürümü) - 1 adet - 12. ay. Ticari ürün değil, ölçüm aracıdır.</w:t>
            </w:r>
          </w:p>
          <w:p>
            <w:pPr>
              <w:widowControl/>
              <w:spacing w:after="40" w:before="0"/>
              <w:jc w:val="both"/>
            </w:pPr>
            <w:r>
              <w:rPr>
                <w:rFonts w:ascii="Arial" w:hAnsi="Arial" w:cs="Arial" w:eastAsia="Arial"/>
                <w:b w:val="0"/>
                <w:i w:val="0"/>
                <w:sz w:val="18"/>
              </w:rPr>
              <w:t>- Uygulayıcıya yönelik çevrim içi açık seminer ve kısa kılavuz - proje bütçesi dışında, takvime iş adımı eklenmeden ve açık lisansla paylaşılır; yaygınlaştırma hedefidir, kaç kişiye ulaşacağı taahhüt edilmez.</w:t>
            </w:r>
          </w:p>
          <w:p>
            <w:pPr>
              <w:widowControl/>
              <w:spacing w:after="40" w:before="0"/>
              <w:jc w:val="both"/>
            </w:pPr>
            <w:r>
              <w:rPr>
                <w:rFonts w:ascii="Arial" w:hAnsi="Arial" w:cs="Arial" w:eastAsia="Arial"/>
                <w:b w:val="0"/>
                <w:i w:val="0"/>
                <w:sz w:val="18"/>
              </w:rPr>
              <w:t>- Kamu kurumlarına somut fayda: bir çıktının 'dayanaklı' sayılmasını sağlayan otomatik ölçütün, sistemin beyanına değil kör uzman yargısına karşı geçerliliği ölçülür (İP3); kapı sıkılığının hangi yanlış-veto bedelini doğurduğu haritalanır (İP4). Gerekçe ön çalışmada ölçülmüştür: güven göstergesi daima yüksek görünürken üç güven bandının isabeti 204 belgede yalnız 0,598 tabanında kalmıştı (2.7). Epistemik türe göre ayrıştırılmış tam kalibrasyon bu projenin kapsamı dışındadır ve izleyen projeye bırakılmıştır.</w:t>
            </w:r>
          </w:p>
          <w:p>
            <w:pPr>
              <w:widowControl/>
              <w:spacing w:after="40" w:before="0"/>
              <w:jc w:val="both"/>
            </w:pPr>
            <w:r>
              <w:rPr>
                <w:rFonts w:ascii="Arial" w:hAnsi="Arial" w:cs="Arial" w:eastAsia="Arial"/>
                <w:b w:val="0"/>
                <w:i w:val="0"/>
                <w:sz w:val="18"/>
              </w:rPr>
              <w:t>- Patent veya faydalı model hedeflenmemektedir; yaygın etki stratejisi açık veri ve açık kaynaktır, üst politika hükümleriyle [18][19] uyumludur.</w:t>
            </w:r>
          </w:p>
        </w:tc>
      </w:tr>
      <w:tr w:rsidR="00BB5D2F" w14:paraId="6389A37E"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Borders>
              <w:top w:val="single" w:sz="4" w:color="8EA9DB"/>
              <w:left w:val="single" w:sz="4" w:color="8EA9DB"/>
              <w:bottom w:val="single" w:sz="4" w:color="8EA9DB"/>
              <w:right w:val="single" w:sz="4" w:color="8EA9DB"/>
            </w:tcBorders>
            <w:tcMar>
              <w:top w:w="22" w:type="dxa"/>
              <w:bottom w:w="22" w:type="dxa"/>
              <w:start w:w="80" w:type="dxa"/>
              <w:end w:w="80" w:type="dxa"/>
            </w:tcMar>
          </w:tcPr>
          <w:p w14:paraId="7D7CC643" w14:textId="77777777" w:rsidR="00BB5D2F" w:rsidRDefault="00BB5D2F" w:rsidP="00BB5D2F">
            <w:pPr>
              <w:widowControl/>
              <w:spacing w:before="280" w:after="119"/>
              <w:contextualSpacing/>
              <w:rPr>
                <w:rFonts w:ascii="Arial" w:hAnsi="Arial" w:cs="Arial"/>
                <w:b/>
                <w:sz w:val="18"/>
                <w:szCs w:val="18"/>
              </w:rPr>
            </w:pPr>
            <w:r>
              <w:rPr>
                <w:rFonts w:ascii="Arial" w:hAnsi="Arial" w:cs="Arial"/>
                <w:b/>
                <w:sz w:val="18"/>
                <w:szCs w:val="18"/>
              </w:rPr>
              <w:t>Yeni Proje(ler) Oluşturmasına Yönelik Çıktılar</w:t>
            </w:r>
          </w:p>
          <w:p w14:paraId="7BFCCE7F" w14:textId="5A9238C9" w:rsidR="00BB5D2F" w:rsidRDefault="00BB5D2F" w:rsidP="00BB5D2F">
            <w:pPr>
              <w:widowControl/>
              <w:rPr>
                <w:rFonts w:ascii="Arial" w:hAnsi="Arial" w:cs="Arial"/>
                <w:bCs/>
                <w:sz w:val="16"/>
                <w:szCs w:val="16"/>
              </w:rPr>
            </w:pPr>
            <w:r>
              <w:rPr>
                <w:rFonts w:ascii="Arial" w:hAnsi="Arial" w:cs="Arial"/>
                <w:bCs/>
                <w:sz w:val="16"/>
                <w:szCs w:val="16"/>
              </w:rPr>
              <w:t>(Ulusal/Uluslararası Yeni Proje vb.)</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Borders>
              <w:top w:val="single" w:sz="4" w:color="8EA9DB"/>
              <w:left w:val="single" w:sz="4" w:color="8EA9DB"/>
              <w:bottom w:val="single" w:sz="4" w:color="8EA9DB"/>
              <w:right w:val="single" w:sz="4" w:color="8EA9DB"/>
            </w:tcBorders>
            <w:tcMar>
              <w:top w:w="22" w:type="dxa"/>
              <w:bottom w:w="22" w:type="dxa"/>
              <w:start w:w="80" w:type="dxa"/>
              <w:end w:w="80" w:type="dxa"/>
            </w:tcMar>
          </w:tcPr>
          <w:p>
            <w:pPr>
              <w:widowControl/>
              <w:spacing w:after="40" w:before="0"/>
              <w:jc w:val="both"/>
            </w:pPr>
            <w:r>
              <w:rPr>
                <w:rFonts w:ascii="Arial" w:hAnsi="Arial" w:cs="Arial" w:eastAsia="Arial"/>
                <w:b w:val="0"/>
                <w:i w:val="0"/>
                <w:sz w:val="18"/>
              </w:rPr>
              <w:t>- Ölçüm kümesinin, kişisel veri içermeyen kamuya açık kaynaklardan türetilen gerçek yazışma örnekleriyle genişletilmesi ve kurumlar arası genellemenin sınanması: araştırma projeleri desteğine yeni öneri (12. ayda taslak).</w:t>
            </w:r>
          </w:p>
          <w:p>
            <w:pPr>
              <w:widowControl/>
              <w:spacing w:after="40" w:before="0"/>
              <w:jc w:val="both"/>
            </w:pPr>
            <w:r>
              <w:rPr>
                <w:rFonts w:ascii="Arial" w:hAnsi="Arial" w:cs="Arial" w:eastAsia="Arial"/>
                <w:b w:val="0"/>
                <w:i w:val="0"/>
                <w:sz w:val="18"/>
              </w:rPr>
              <w:t>- Sinyallerin epistemik türüne (gözlem/çıkarım) göre ayrıştırılıp ölçülen isabete kalibre edilmesi - 1.1'deki B4'ün açık kalan bölümü - bağımsız bir izleyen projeye bırakılmıştır; girdisi İP4'ün ödünleşim eğrisi ve ayırt edicilik ölçümleridir.</w:t>
            </w:r>
          </w:p>
          <w:p>
            <w:pPr>
              <w:widowControl/>
              <w:spacing w:after="40" w:before="0"/>
              <w:jc w:val="both"/>
            </w:pPr>
            <w:r>
              <w:rPr>
                <w:rFonts w:ascii="Arial" w:hAnsi="Arial" w:cs="Arial" w:eastAsia="Arial"/>
                <w:b w:val="0"/>
                <w:i w:val="0"/>
                <w:sz w:val="18"/>
              </w:rPr>
              <w:t>- Doğrulayıcının ölçüm geçerliliğinin, iddia sınıfları genişletilerek ve daha büyük bir kör uzman kümesiyle yeniden sınanması: lisansüstü tez konusu olarak kurgulanacaktır.</w:t>
            </w:r>
          </w:p>
          <w:p>
            <w:pPr>
              <w:widowControl/>
              <w:spacing w:after="40" w:before="0"/>
            </w:pPr>
            <w:r>
              <w:rPr>
                <w:rFonts w:ascii="Arial" w:hAnsi="Arial" w:cs="Arial" w:eastAsia="Arial"/>
                <w:b w:val="0"/>
                <w:i w:val="0"/>
                <w:sz w:val="18"/>
              </w:rPr>
              <w:t>- Müzakerenin yakınsama davranışı alanyazında açık kalmıştır [15]; İP4 çıktıları bunu izleyen projeye taşır.</w:t>
            </w:r>
          </w:p>
          <w:p>
            <w:pPr>
              <w:widowControl/>
              <w:spacing w:after="40" w:before="0"/>
              <w:jc w:val="both"/>
            </w:pPr>
            <w:r>
              <w:rPr>
                <w:rFonts w:ascii="Arial" w:hAnsi="Arial" w:cs="Arial" w:eastAsia="Arial"/>
                <w:b w:val="0"/>
                <w:i w:val="0"/>
                <w:sz w:val="18"/>
              </w:rPr>
              <w:t>- Bildiri sunumu için etkinlik katılım destek programlarına başvurulacaktır; çağrı kuralları gereği bu giderler bütçeye dâhil edilmemiştir.</w:t>
            </w:r>
          </w:p>
          <w:p>
            <w:pPr>
              <w:widowControl/>
              <w:spacing w:after="40" w:before="0"/>
            </w:pPr>
            <w:r>
              <w:rPr>
                <w:rFonts w:ascii="Arial" w:hAnsi="Arial" w:cs="Arial" w:eastAsia="Arial"/>
                <w:b w:val="0"/>
                <w:i w:val="0"/>
                <w:sz w:val="18"/>
              </w:rPr>
              <w:t>- Prototipin bir kamu kurumuyla saha pilotuna taşınması, kurum odaklı destekler kapsamında değerlendirilecektir.</w:t>
            </w:r>
          </w:p>
        </w:tc>
      </w:tr>
    </w:tbl>
    <w:p w14:paraId="325206EB" w14:textId="77777777" w:rsidR="006F7368" w:rsidRDefault="006F7368">
      <w:pPr>
        <w:pStyle w:val="WW-NormalWeb1"/>
        <w:keepNext/>
        <w:widowControl/>
        <w:spacing w:before="0" w:after="0"/>
        <w:ind w:left="716"/>
        <w:jc w:val="both"/>
        <w:rPr>
          <w:rFonts w:ascii="Arial" w:hAnsi="Arial" w:cs="Arial"/>
          <w:b/>
          <w:bCs/>
          <w:sz w:val="18"/>
          <w:szCs w:val="18"/>
        </w:rPr>
      </w:pPr>
    </w:p>
    <w:p w14:paraId="42F79218" w14:textId="77777777" w:rsidR="000D0AB4" w:rsidRDefault="000D0AB4">
      <w:pPr>
        <w:pStyle w:val="WW-NormalWeb1"/>
        <w:keepNext/>
        <w:widowControl/>
        <w:spacing w:before="0" w:after="0" w:line="360" w:lineRule="auto"/>
        <w:jc w:val="both"/>
        <w:rPr>
          <w:rFonts w:ascii="Arial" w:hAnsi="Arial" w:cs="Arial"/>
          <w:b/>
          <w:bCs/>
          <w:sz w:val="18"/>
          <w:szCs w:val="18"/>
        </w:rPr>
      </w:pPr>
    </w:p>
    <w:p w14:paraId="2EAC8553" w14:textId="77777777" w:rsidR="000D0AB4" w:rsidRDefault="000D0AB4">
      <w:pPr>
        <w:pStyle w:val="WW-NormalWeb1"/>
        <w:keepNext/>
        <w:widowControl/>
        <w:spacing w:before="0" w:after="0" w:line="360" w:lineRule="auto"/>
        <w:jc w:val="both"/>
        <w:rPr>
          <w:rFonts w:ascii="Arial" w:hAnsi="Arial" w:cs="Arial"/>
          <w:b/>
          <w:bCs/>
          <w:sz w:val="18"/>
          <w:szCs w:val="18"/>
        </w:rPr>
      </w:pPr>
    </w:p>
    <w:p w14:paraId="2B839C7E" w14:textId="32798702" w:rsidR="006F7368" w:rsidRDefault="006B0518">
      <w:pPr>
        <w:pStyle w:val="WW-NormalWeb1"/>
        <w:keepNext/>
        <w:spacing w:before="220" w:after="80" w:line="360" w:lineRule="auto"/>
        <w:jc w:val="both"/>
        <w:widowControl/>
        <w:pBdr>
          <w:bottom w:val="single" w:sz="8" w:space="3" w:color="1F3864"/>
        </w:pBdr>
      </w:pPr>
      <w:r>
        <w:rPr>
          <w:rFonts w:ascii="Arial" w:hAnsi="Arial" w:cs="Arial" w:eastAsia="Arial"/>
          <w:b/>
          <w:bCs/>
          <w:i w:val="0"/>
          <w:color w:val="1F3864"/>
          <w:sz w:val="22"/>
          <w:szCs w:val="18"/>
        </w:rPr>
        <w:t>5</w:t>
      </w:r>
      <w:r w:rsidR="002E7A1C">
        <w:rPr>
          <w:rFonts w:ascii="Arial" w:hAnsi="Arial" w:cs="Arial" w:eastAsia="Arial"/>
          <w:b/>
          <w:bCs/>
          <w:i w:val="0"/>
          <w:color w:val="1F3864"/>
          <w:sz w:val="22"/>
          <w:szCs w:val="18"/>
        </w:rPr>
        <w:t>. BELİRTMEK İSTEDİĞİNİZ DİĞER KONULAR</w:t>
      </w:r>
    </w:p>
    <w:p>
      <w:pPr>
        <w:keepNext/>
        <w:widowControl/>
        <w:spacing w:before="140" w:after="40"/>
      </w:pPr>
      <w:r>
        <w:rPr>
          <w:rFonts w:ascii="Arial" w:hAnsi="Arial" w:cs="Arial" w:eastAsia="Arial"/>
          <w:b/>
          <w:i w:val="0"/>
          <w:color w:val="1F3864"/>
          <w:sz w:val="18"/>
        </w:rPr>
        <w:t>ETİK VE VERİ BEYANI</w:t>
      </w:r>
    </w:p>
    <w:p>
      <w:pPr>
        <w:widowControl/>
        <w:spacing w:after="20"/>
        <w:ind w:left="360" w:hanging="360"/>
        <w:jc w:val="both"/>
      </w:pPr>
      <w:r>
        <w:rPr>
          <w:rFonts w:ascii="Arial" w:hAnsi="Arial" w:cs="Arial" w:eastAsia="Arial"/>
          <w:b/>
          <w:i w:val="0"/>
          <w:sz w:val="18"/>
        </w:rPr>
        <w:t xml:space="preserve">(1) </w:t>
      </w:r>
      <w:r>
        <w:rPr>
          <w:rFonts w:ascii="Arial" w:hAnsi="Arial" w:cs="Arial" w:eastAsia="Arial"/>
          <w:b w:val="0"/>
          <w:i w:val="0"/>
          <w:sz w:val="18"/>
        </w:rPr>
        <w:t>D1 ve D3 kapsamındaki makine deneyleri insan katılımcı içermez; gözlem ve ölçüm birimi belgedir ve belgeden çıkarılan metin içi iddiadır. D2 kapsamında üç bağımsız değerlendiriciden belge-iddia çiftlerine ilişkin uzman yargısı alınacaktır; bu aşamanın etik statüsü yetkili etik kurul tarafından belirlenecek, kurul kararı alınmadan değerlendirme verisi toplanmayacaktır. Deneysel müdahale kişiye değil; karar kaynağının mimari biçimine, girdi bozulma düzeyine, kapı sıkılığına ve müzakere yoğunluğuna uygulanır. D1 ve D3'ün koşumu makine tarafındadır: kişi üzerinde gözlem, anket, görüşme veya deneysel işlem yapılmaz. D2'de yalnız belge-iddia çiftine verilen sınıflama yargısı kaydedilir; değerlendiricilerin tepki süresi, demografik özellikleri, kişisel görüşleri ya da performans puanları araştırma verisi olarak toplanmaz.</w:t>
      </w:r>
    </w:p>
    <w:p>
      <w:pPr>
        <w:widowControl/>
        <w:spacing w:after="20"/>
        <w:ind w:left="360" w:hanging="360"/>
        <w:jc w:val="both"/>
      </w:pPr>
      <w:r>
        <w:rPr>
          <w:rFonts w:ascii="Arial" w:hAnsi="Arial" w:cs="Arial" w:eastAsia="Arial"/>
          <w:b/>
          <w:i w:val="0"/>
          <w:sz w:val="18"/>
        </w:rPr>
        <w:t xml:space="preserve">(2) </w:t>
      </w:r>
      <w:r>
        <w:rPr>
          <w:rFonts w:ascii="Arial" w:hAnsi="Arial" w:cs="Arial" w:eastAsia="Arial"/>
          <w:b w:val="0"/>
          <w:i w:val="0"/>
          <w:sz w:val="18"/>
        </w:rPr>
        <w:t>Ana deneyler ile replikasyon sınaması tümüyle sentetik ve kurgu evrak üzerinde yürütülür; H1 ve H5'in genellenebilirliği ayrıca 60 gerçek belgede sınanır (2.2). Gerçek kamu evrakı, kurum kaydı ya da idari işlem temsil edilmez; kişi ve kurum adları, kimlik numaraları, telefon ve adres bilgileri sahte üretilir ve gerçek bir kişiye geri izlenemez. Mevzuat metinleri kamuya açık kaynaklardan alınır. Dış geçerlilik alt kümesi, kurumların sitelerinde kamuya açık yayımlanmış ve kişisel veri içermeyen yazılardan, ilan edilmiş bir tarama protokolüyle derlenir. Bu nedenle proje kapsamında 6698 sayılı Kişisel Verilerin Korunması Kanunu anlamında kişisel veri işlenmemektedir.</w:t>
      </w:r>
    </w:p>
    <w:p>
      <w:pPr>
        <w:widowControl/>
        <w:spacing w:after="20"/>
        <w:ind w:left="360" w:hanging="360"/>
        <w:jc w:val="both"/>
      </w:pPr>
      <w:r>
        <w:rPr>
          <w:rFonts w:ascii="Arial" w:hAnsi="Arial" w:cs="Arial" w:eastAsia="Arial"/>
          <w:b/>
          <w:i w:val="0"/>
          <w:sz w:val="18"/>
        </w:rPr>
        <w:t xml:space="preserve">(3) </w:t>
      </w:r>
      <w:r>
        <w:rPr>
          <w:rFonts w:ascii="Arial" w:hAnsi="Arial" w:cs="Arial" w:eastAsia="Arial"/>
          <w:b w:val="0"/>
          <w:i w:val="0"/>
          <w:sz w:val="18"/>
        </w:rPr>
        <w:t>İddia düzeyi kör değerlendirme, üçü de ekip dışından olan üç bağımsız değerlendiriciyle yürütülür: biri hizmet alımıyla ücretlendirilir, ikisi danışmanın bölümünden gönüllü akademik katkı verir. Üçü de yalnız kaynak belgeyi ve iddiayı görür; sistemin kararını ve iddianın geldiği kolu görmez. Değerlendiricilere ilişkin hiçbir kişisel veri araştırma veri kümesine girmez; yaş, cinsiyet, öğrenim ve kurum bilgisi hiç toplanmaz. Mesleki deneyim yalnız hizmet alımı sözleşmesinin ekinde teyit edilir, araştırma verisi olarak kaydedilmez ve hiçbir çözümlemede kullanılmaz. Analiz kümesine yalnız iddia kimliği ve verilen yargı girer; değerlendiriciler A, B ve C olarak anılır.</w:t>
      </w:r>
    </w:p>
    <w:p>
      <w:pPr>
        <w:widowControl/>
        <w:spacing w:after="20"/>
        <w:ind w:left="360" w:hanging="360"/>
        <w:jc w:val="both"/>
      </w:pPr>
      <w:r>
        <w:rPr>
          <w:rFonts w:ascii="Arial" w:hAnsi="Arial" w:cs="Arial" w:eastAsia="Arial"/>
          <w:b/>
          <w:i w:val="0"/>
          <w:sz w:val="18"/>
        </w:rPr>
        <w:t xml:space="preserve">(4) </w:t>
      </w:r>
      <w:r>
        <w:rPr>
          <w:rFonts w:ascii="Arial" w:hAnsi="Arial" w:cs="Arial" w:eastAsia="Arial"/>
          <w:b w:val="0"/>
          <w:i w:val="0"/>
          <w:sz w:val="18"/>
        </w:rPr>
        <w:t>Etik kurul görüşü: D2'de değerlendiricilerden yalnız belge-iddia çiftlerine ilişkin uzman yargısı alınır, kişi hakkında veri toplanmaz; bu gerekçe dosyada açıkça sunulmaktadır. Çalışmanın insan katılımcılı araştırma tanımına girip girmediğine karar vermek başvuruya değil, kurumun yetkili etik kuruluna aittir. Hiçbir değerlendirme verisi toplanmadan önce ilgili etik kuruldan resmî görüş alınacak, kurulun kararına göre onay ya da muafiyet belgesi temin edilerek dosyaya eklenecektir. Başvuru, çalışma takviminde İP1'in ilk ayına kilometre taşı olarak yazılmıştır; kör değerlendirme bu görüş dosyaya girmeden başlamaz.</w:t>
      </w:r>
    </w:p>
    <w:p>
      <w:pPr>
        <w:keepNext/>
        <w:widowControl/>
        <w:spacing w:before="140" w:after="40"/>
      </w:pPr>
      <w:r>
        <w:rPr>
          <w:rFonts w:ascii="Arial" w:hAnsi="Arial" w:cs="Arial" w:eastAsia="Arial"/>
          <w:b/>
          <w:i w:val="0"/>
          <w:color w:val="1F3864"/>
          <w:sz w:val="18"/>
        </w:rPr>
        <w:t>BÜTÇEYE İLİŞKİN NOT</w:t>
      </w:r>
    </w:p>
    <w:p>
      <w:pPr>
        <w:widowControl/>
        <w:spacing w:after="40"/>
        <w:jc w:val="both"/>
      </w:pPr>
      <w:r>
        <w:rPr>
          <w:rFonts w:ascii="Arial" w:hAnsi="Arial" w:cs="Arial" w:eastAsia="Arial"/>
          <w:b w:val="0"/>
          <w:i w:val="0"/>
          <w:sz w:val="18"/>
        </w:rPr>
        <w:t>Toplam 11.000 TL; destek üst limiti aşılmamıştır. Konferans, yayın ve patent giderleri çağrı kuralları gereği bütçeye dâhil edilmemiştir. Donanım talep edilmemektedir; yerel açık ağırlıklı model mevcut kişisel bilgisayarlarda 4-bit nicelemeli çalıştırılacaktır. Bütçenin tamamı ölçüme gider: ücretli kör değerlendirme, bulut erişimi, paketin ekip dışından koşturulması ve yedekleme. Bulut erişim kalemi tahminî tavandır; bütçe gerekçesinde tanımlanan pilot ölçüme bağlanır. Tavana yaklaşılırsa uygulanacak indirim sırası 2.1'de sabittir.</w:t>
      </w:r>
    </w:p>
    <w:p>
      <w:pPr>
        <w:keepNext/>
        <w:widowControl/>
        <w:spacing w:before="200" w:after="80"/>
      </w:pPr>
      <w:r>
        <w:rPr>
          <w:rFonts w:ascii="Arial" w:hAnsi="Arial" w:cs="Arial" w:eastAsia="Arial"/>
          <w:b/>
          <w:i w:val="0"/>
          <w:color w:val="1F3864"/>
          <w:sz w:val="18"/>
        </w:rPr>
        <w:t>Şekil 1. D1 deneyinin faktöriyel gövdesi (4 mimari kolu × 3 girdi bozulma düzeyi, belge-içi tekrarlı ölçüm)</w:t>
      </w:r>
    </w:p>
    <w:tbl>
      <w:tblPr>
        <w:tblW w:type="auto" w:w="0"/>
        <w:tblLayout w:type="fixed"/>
        <w:tblLook w:firstColumn="1" w:firstRow="1" w:lastColumn="0" w:lastRow="0" w:noHBand="0" w:noVBand="1" w:val="04A0"/>
      </w:tblPr>
      <w:tblGrid>
        <w:gridCol w:w="2267"/>
        <w:gridCol w:w="2267"/>
        <w:gridCol w:w="2267"/>
        <w:gridCol w:w="2267"/>
      </w:tblGrid>
      <w:tr>
        <w:trPr>
          <w:cantSplit/>
        </w:trPr>
        <w:tc>
          <w:tcPr>
            <w:tcW w:type="dxa" w:w="3175"/>
            <w:shd w:val="clear" w:color="auto" w:fill="1F3864"/>
            <w:tcBorders>
              <w:top w:val="single" w:sz="4" w:color="8EA9DB"/>
              <w:left w:val="single" w:sz="4" w:color="8EA9DB"/>
              <w:bottom w:val="single" w:sz="4" w:color="8EA9DB"/>
              <w:right w:val="single" w:sz="4" w:color="8EA9DB"/>
            </w:tcBorders>
            <w:tcMar>
              <w:top w:w="35" w:type="dxa"/>
              <w:bottom w:w="35" w:type="dxa"/>
              <w:start w:w="60" w:type="dxa"/>
              <w:end w:w="60" w:type="dxa"/>
            </w:tcMar>
          </w:tcPr>
          <w:p>
            <w:pPr>
              <w:widowControl/>
              <w:spacing w:after="20" w:before="20"/>
            </w:pPr>
            <w:r>
              <w:rPr>
                <w:rFonts w:ascii="Arial" w:hAnsi="Arial" w:cs="Arial" w:eastAsia="Arial"/>
                <w:b/>
                <w:i w:val="0"/>
                <w:color w:val="FFFFFF"/>
                <w:sz w:val="18"/>
              </w:rPr>
              <w:t>Mimari kolu ↓   |   Bozulma düzeyi →</w:t>
            </w:r>
          </w:p>
        </w:tc>
        <w:tc>
          <w:tcPr>
            <w:tcW w:type="dxa" w:w="2041"/>
            <w:shd w:val="clear" w:color="auto" w:fill="1F3864"/>
            <w:tcBorders>
              <w:top w:val="single" w:sz="4" w:color="8EA9DB"/>
              <w:left w:val="single" w:sz="4" w:color="8EA9DB"/>
              <w:bottom w:val="single" w:sz="4" w:color="8EA9DB"/>
              <w:right w:val="single" w:sz="4" w:color="8EA9DB"/>
            </w:tcBorders>
            <w:tcMar>
              <w:top w:w="35" w:type="dxa"/>
              <w:bottom w:w="35" w:type="dxa"/>
              <w:start w:w="60" w:type="dxa"/>
              <w:end w:w="60" w:type="dxa"/>
            </w:tcMar>
          </w:tcPr>
          <w:p>
            <w:pPr>
              <w:widowControl/>
              <w:spacing w:after="20" w:before="20"/>
              <w:jc w:val="center"/>
            </w:pPr>
            <w:r>
              <w:rPr>
                <w:rFonts w:ascii="Arial" w:hAnsi="Arial" w:cs="Arial" w:eastAsia="Arial"/>
                <w:b/>
                <w:i w:val="0"/>
                <w:color w:val="FFFFFF"/>
                <w:sz w:val="18"/>
              </w:rPr>
              <w:t>Temiz (KHO ≈ 0)</w:t>
            </w:r>
          </w:p>
        </w:tc>
        <w:tc>
          <w:tcPr>
            <w:tcW w:type="dxa" w:w="2041"/>
            <w:shd w:val="clear" w:color="auto" w:fill="1F3864"/>
            <w:tcBorders>
              <w:top w:val="single" w:sz="4" w:color="8EA9DB"/>
              <w:left w:val="single" w:sz="4" w:color="8EA9DB"/>
              <w:bottom w:val="single" w:sz="4" w:color="8EA9DB"/>
              <w:right w:val="single" w:sz="4" w:color="8EA9DB"/>
            </w:tcBorders>
            <w:tcMar>
              <w:top w:w="35" w:type="dxa"/>
              <w:bottom w:w="35" w:type="dxa"/>
              <w:start w:w="60" w:type="dxa"/>
              <w:end w:w="60" w:type="dxa"/>
            </w:tcMar>
          </w:tcPr>
          <w:p>
            <w:pPr>
              <w:widowControl/>
              <w:spacing w:after="20" w:before="20"/>
              <w:jc w:val="center"/>
            </w:pPr>
            <w:r>
              <w:rPr>
                <w:rFonts w:ascii="Arial" w:hAnsi="Arial" w:cs="Arial" w:eastAsia="Arial"/>
                <w:b/>
                <w:i w:val="0"/>
                <w:color w:val="FFFFFF"/>
                <w:sz w:val="18"/>
              </w:rPr>
              <w:t>Orta (KHO ≈ 0,05)</w:t>
            </w:r>
          </w:p>
        </w:tc>
        <w:tc>
          <w:tcPr>
            <w:tcW w:type="dxa" w:w="2041"/>
            <w:shd w:val="clear" w:color="auto" w:fill="1F3864"/>
            <w:tcBorders>
              <w:top w:val="single" w:sz="4" w:color="8EA9DB"/>
              <w:left w:val="single" w:sz="4" w:color="8EA9DB"/>
              <w:bottom w:val="single" w:sz="4" w:color="8EA9DB"/>
              <w:right w:val="single" w:sz="4" w:color="8EA9DB"/>
            </w:tcBorders>
            <w:tcMar>
              <w:top w:w="35" w:type="dxa"/>
              <w:bottom w:w="35" w:type="dxa"/>
              <w:start w:w="60" w:type="dxa"/>
              <w:end w:w="60" w:type="dxa"/>
            </w:tcMar>
          </w:tcPr>
          <w:p>
            <w:pPr>
              <w:widowControl/>
              <w:spacing w:after="20" w:before="20"/>
              <w:jc w:val="center"/>
            </w:pPr>
            <w:r>
              <w:rPr>
                <w:rFonts w:ascii="Arial" w:hAnsi="Arial" w:cs="Arial" w:eastAsia="Arial"/>
                <w:b/>
                <w:i w:val="0"/>
                <w:color w:val="FFFFFF"/>
                <w:sz w:val="18"/>
              </w:rPr>
              <w:t>Yüksek (KHO ≈ 0,12)</w:t>
            </w:r>
          </w:p>
        </w:tc>
      </w:tr>
      <w:tr>
        <w:trPr>
          <w:cantSplit/>
        </w:trPr>
        <w:tc>
          <w:tcPr>
            <w:tcW w:type="dxa" w:w="3175"/>
            <w:tcBorders>
              <w:top w:val="single" w:sz="4" w:color="8EA9DB"/>
              <w:left w:val="single" w:sz="4" w:color="8EA9DB"/>
              <w:bottom w:val="single" w:sz="4" w:color="8EA9DB"/>
              <w:right w:val="single" w:sz="4" w:color="8EA9DB"/>
            </w:tcBorders>
            <w:tcMar>
              <w:top w:w="35" w:type="dxa"/>
              <w:bottom w:w="35" w:type="dxa"/>
              <w:start w:w="60" w:type="dxa"/>
              <w:end w:w="60" w:type="dxa"/>
            </w:tcMar>
          </w:tcPr>
          <w:p>
            <w:pPr>
              <w:widowControl/>
              <w:spacing w:after="0" w:before="20"/>
            </w:pPr>
            <w:r>
              <w:rPr>
                <w:rFonts w:ascii="Arial" w:hAnsi="Arial" w:cs="Arial" w:eastAsia="Arial"/>
                <w:b/>
                <w:i w:val="0"/>
                <w:color w:val="1F3864"/>
                <w:sz w:val="18"/>
              </w:rPr>
              <w:t>(a) Kural katmanı</w:t>
            </w:r>
          </w:p>
          <w:p>
            <w:pPr>
              <w:widowControl/>
              <w:spacing w:after="20"/>
            </w:pPr>
            <w:r>
              <w:rPr>
                <w:rFonts w:ascii="Arial" w:hAnsi="Arial" w:cs="Arial" w:eastAsia="Arial"/>
                <w:b w:val="0"/>
                <w:i/>
                <w:color w:val="555555"/>
                <w:sz w:val="18"/>
              </w:rPr>
              <w:t>deterministik; model çağrısı yok</w:t>
            </w:r>
          </w:p>
        </w:tc>
        <w:tc>
          <w:tcPr>
            <w:tcW w:type="dxa" w:w="2041"/>
            <w:tcBorders>
              <w:top w:val="single" w:sz="4" w:color="8EA9DB"/>
              <w:left w:val="single" w:sz="4" w:color="8EA9DB"/>
              <w:bottom w:val="single" w:sz="4" w:color="8EA9DB"/>
              <w:right w:val="single" w:sz="4" w:color="8EA9DB"/>
            </w:tcBorders>
            <w:tcMar>
              <w:top w:w="35" w:type="dxa"/>
              <w:bottom w:w="35" w:type="dxa"/>
              <w:start w:w="60" w:type="dxa"/>
              <w:end w:w="60" w:type="dxa"/>
            </w:tcMar>
          </w:tcPr>
          <w:p>
            <w:pPr>
              <w:widowControl/>
              <w:spacing w:after="20" w:before="20"/>
              <w:jc w:val="center"/>
            </w:pPr>
            <w:r>
              <w:rPr>
                <w:rFonts w:ascii="Arial" w:hAnsi="Arial" w:cs="Arial" w:eastAsia="Arial"/>
                <w:b w:val="0"/>
                <w:i w:val="0"/>
                <w:color w:val="111111"/>
                <w:sz w:val="18"/>
              </w:rPr>
              <w:t>240 belge</w:t>
            </w:r>
          </w:p>
        </w:tc>
        <w:tc>
          <w:tcPr>
            <w:tcW w:type="dxa" w:w="2041"/>
            <w:tcBorders>
              <w:top w:val="single" w:sz="4" w:color="8EA9DB"/>
              <w:left w:val="single" w:sz="4" w:color="8EA9DB"/>
              <w:bottom w:val="single" w:sz="4" w:color="8EA9DB"/>
              <w:right w:val="single" w:sz="4" w:color="8EA9DB"/>
            </w:tcBorders>
            <w:tcMar>
              <w:top w:w="35" w:type="dxa"/>
              <w:bottom w:w="35" w:type="dxa"/>
              <w:start w:w="60" w:type="dxa"/>
              <w:end w:w="60" w:type="dxa"/>
            </w:tcMar>
          </w:tcPr>
          <w:p>
            <w:pPr>
              <w:widowControl/>
              <w:spacing w:after="20" w:before="20"/>
              <w:jc w:val="center"/>
            </w:pPr>
            <w:r>
              <w:rPr>
                <w:rFonts w:ascii="Arial" w:hAnsi="Arial" w:cs="Arial" w:eastAsia="Arial"/>
                <w:b w:val="0"/>
                <w:i w:val="0"/>
                <w:color w:val="111111"/>
                <w:sz w:val="18"/>
              </w:rPr>
              <w:t>240 belge</w:t>
            </w:r>
          </w:p>
        </w:tc>
        <w:tc>
          <w:tcPr>
            <w:tcW w:type="dxa" w:w="2041"/>
            <w:tcBorders>
              <w:top w:val="single" w:sz="4" w:color="8EA9DB"/>
              <w:left w:val="single" w:sz="4" w:color="8EA9DB"/>
              <w:bottom w:val="single" w:sz="4" w:color="8EA9DB"/>
              <w:right w:val="single" w:sz="4" w:color="8EA9DB"/>
            </w:tcBorders>
            <w:tcMar>
              <w:top w:w="35" w:type="dxa"/>
              <w:bottom w:w="35" w:type="dxa"/>
              <w:start w:w="60" w:type="dxa"/>
              <w:end w:w="60" w:type="dxa"/>
            </w:tcMar>
          </w:tcPr>
          <w:p>
            <w:pPr>
              <w:widowControl/>
              <w:spacing w:after="20" w:before="20"/>
              <w:jc w:val="center"/>
            </w:pPr>
            <w:r>
              <w:rPr>
                <w:rFonts w:ascii="Arial" w:hAnsi="Arial" w:cs="Arial" w:eastAsia="Arial"/>
                <w:b w:val="0"/>
                <w:i w:val="0"/>
                <w:color w:val="111111"/>
                <w:sz w:val="18"/>
              </w:rPr>
              <w:t>240 belge</w:t>
            </w:r>
          </w:p>
        </w:tc>
      </w:tr>
      <w:tr>
        <w:trPr>
          <w:cantSplit/>
        </w:trPr>
        <w:tc>
          <w:tcPr>
            <w:tcW w:type="dxa" w:w="3175"/>
            <w:shd w:val="clear" w:color="auto" w:fill="EEF2F8"/>
            <w:tcBorders>
              <w:top w:val="single" w:sz="4" w:color="8EA9DB"/>
              <w:left w:val="single" w:sz="4" w:color="8EA9DB"/>
              <w:bottom w:val="single" w:sz="4" w:color="8EA9DB"/>
              <w:right w:val="single" w:sz="4" w:color="8EA9DB"/>
            </w:tcBorders>
            <w:tcMar>
              <w:top w:w="35" w:type="dxa"/>
              <w:bottom w:w="35" w:type="dxa"/>
              <w:start w:w="60" w:type="dxa"/>
              <w:end w:w="60" w:type="dxa"/>
            </w:tcMar>
          </w:tcPr>
          <w:p>
            <w:pPr>
              <w:widowControl/>
              <w:spacing w:after="0" w:before="20"/>
            </w:pPr>
            <w:r>
              <w:rPr>
                <w:rFonts w:ascii="Arial" w:hAnsi="Arial" w:cs="Arial" w:eastAsia="Arial"/>
                <w:b/>
                <w:i w:val="0"/>
                <w:color w:val="1F3864"/>
                <w:sz w:val="18"/>
              </w:rPr>
              <w:t>(b) Kısıtsız üretim</w:t>
            </w:r>
          </w:p>
          <w:p>
            <w:pPr>
              <w:widowControl/>
              <w:spacing w:after="20"/>
            </w:pPr>
            <w:r>
              <w:rPr>
                <w:rFonts w:ascii="Arial" w:hAnsi="Arial" w:cs="Arial" w:eastAsia="Arial"/>
                <w:b w:val="0"/>
                <w:i/>
                <w:color w:val="555555"/>
                <w:sz w:val="18"/>
              </w:rPr>
              <w:t>alt sınır referansı</w:t>
            </w:r>
          </w:p>
        </w:tc>
        <w:tc>
          <w:tcPr>
            <w:tcW w:type="dxa" w:w="2041"/>
            <w:shd w:val="clear" w:color="auto" w:fill="EEF2F8"/>
            <w:tcBorders>
              <w:top w:val="single" w:sz="4" w:color="8EA9DB"/>
              <w:left w:val="single" w:sz="4" w:color="8EA9DB"/>
              <w:bottom w:val="single" w:sz="4" w:color="8EA9DB"/>
              <w:right w:val="single" w:sz="4" w:color="8EA9DB"/>
            </w:tcBorders>
            <w:tcMar>
              <w:top w:w="35" w:type="dxa"/>
              <w:bottom w:w="35" w:type="dxa"/>
              <w:start w:w="60" w:type="dxa"/>
              <w:end w:w="60" w:type="dxa"/>
            </w:tcMar>
          </w:tcPr>
          <w:p>
            <w:pPr>
              <w:widowControl/>
              <w:spacing w:after="20" w:before="20"/>
              <w:jc w:val="center"/>
            </w:pPr>
            <w:r>
              <w:rPr>
                <w:rFonts w:ascii="Arial" w:hAnsi="Arial" w:cs="Arial" w:eastAsia="Arial"/>
                <w:b w:val="0"/>
                <w:i w:val="0"/>
                <w:color w:val="111111"/>
                <w:sz w:val="18"/>
              </w:rPr>
              <w:t>240 belge</w:t>
            </w:r>
          </w:p>
        </w:tc>
        <w:tc>
          <w:tcPr>
            <w:tcW w:type="dxa" w:w="2041"/>
            <w:shd w:val="clear" w:color="auto" w:fill="EEF2F8"/>
            <w:tcBorders>
              <w:top w:val="single" w:sz="4" w:color="8EA9DB"/>
              <w:left w:val="single" w:sz="4" w:color="8EA9DB"/>
              <w:bottom w:val="single" w:sz="4" w:color="8EA9DB"/>
              <w:right w:val="single" w:sz="4" w:color="8EA9DB"/>
            </w:tcBorders>
            <w:tcMar>
              <w:top w:w="35" w:type="dxa"/>
              <w:bottom w:w="35" w:type="dxa"/>
              <w:start w:w="60" w:type="dxa"/>
              <w:end w:w="60" w:type="dxa"/>
            </w:tcMar>
          </w:tcPr>
          <w:p>
            <w:pPr>
              <w:widowControl/>
              <w:spacing w:after="20" w:before="20"/>
              <w:jc w:val="center"/>
            </w:pPr>
            <w:r>
              <w:rPr>
                <w:rFonts w:ascii="Arial" w:hAnsi="Arial" w:cs="Arial" w:eastAsia="Arial"/>
                <w:b w:val="0"/>
                <w:i w:val="0"/>
                <w:color w:val="111111"/>
                <w:sz w:val="18"/>
              </w:rPr>
              <w:t>240 belge</w:t>
            </w:r>
          </w:p>
        </w:tc>
        <w:tc>
          <w:tcPr>
            <w:tcW w:type="dxa" w:w="2041"/>
            <w:shd w:val="clear" w:color="auto" w:fill="EEF2F8"/>
            <w:tcBorders>
              <w:top w:val="single" w:sz="4" w:color="8EA9DB"/>
              <w:left w:val="single" w:sz="4" w:color="8EA9DB"/>
              <w:bottom w:val="single" w:sz="4" w:color="8EA9DB"/>
              <w:right w:val="single" w:sz="4" w:color="8EA9DB"/>
            </w:tcBorders>
            <w:tcMar>
              <w:top w:w="35" w:type="dxa"/>
              <w:bottom w:w="35" w:type="dxa"/>
              <w:start w:w="60" w:type="dxa"/>
              <w:end w:w="60" w:type="dxa"/>
            </w:tcMar>
          </w:tcPr>
          <w:p>
            <w:pPr>
              <w:widowControl/>
              <w:spacing w:after="20" w:before="20"/>
              <w:jc w:val="center"/>
            </w:pPr>
            <w:r>
              <w:rPr>
                <w:rFonts w:ascii="Arial" w:hAnsi="Arial" w:cs="Arial" w:eastAsia="Arial"/>
                <w:b w:val="0"/>
                <w:i w:val="0"/>
                <w:color w:val="111111"/>
                <w:sz w:val="18"/>
              </w:rPr>
              <w:t>240 belge</w:t>
            </w:r>
          </w:p>
        </w:tc>
      </w:tr>
      <w:tr>
        <w:trPr>
          <w:cantSplit/>
        </w:trPr>
        <w:tc>
          <w:tcPr>
            <w:tcW w:type="dxa" w:w="3175"/>
            <w:tcBorders>
              <w:top w:val="single" w:sz="4" w:color="8EA9DB"/>
              <w:left w:val="single" w:sz="4" w:color="8EA9DB"/>
              <w:bottom w:val="single" w:sz="4" w:color="8EA9DB"/>
              <w:right w:val="single" w:sz="4" w:color="8EA9DB"/>
            </w:tcBorders>
            <w:tcMar>
              <w:top w:w="35" w:type="dxa"/>
              <w:bottom w:w="35" w:type="dxa"/>
              <w:start w:w="60" w:type="dxa"/>
              <w:end w:w="60" w:type="dxa"/>
            </w:tcMar>
          </w:tcPr>
          <w:p>
            <w:pPr>
              <w:widowControl/>
              <w:spacing w:after="0" w:before="20"/>
            </w:pPr>
            <w:r>
              <w:rPr>
                <w:rFonts w:ascii="Arial" w:hAnsi="Arial" w:cs="Arial" w:eastAsia="Arial"/>
                <w:b/>
                <w:i w:val="0"/>
                <w:color w:val="1F3864"/>
                <w:sz w:val="18"/>
              </w:rPr>
              <w:t>(b2) Literatür tabanı</w:t>
            </w:r>
          </w:p>
          <w:p>
            <w:pPr>
              <w:widowControl/>
              <w:spacing w:after="20"/>
            </w:pPr>
            <w:r>
              <w:rPr>
                <w:rFonts w:ascii="Arial" w:hAnsi="Arial" w:cs="Arial" w:eastAsia="Arial"/>
                <w:b w:val="0"/>
                <w:i/>
                <w:color w:val="555555"/>
                <w:sz w:val="18"/>
              </w:rPr>
              <w:t>şemaya bağlı + öz-eleştiri turu</w:t>
            </w:r>
          </w:p>
        </w:tc>
        <w:tc>
          <w:tcPr>
            <w:tcW w:type="dxa" w:w="2041"/>
            <w:tcBorders>
              <w:top w:val="single" w:sz="4" w:color="8EA9DB"/>
              <w:left w:val="single" w:sz="4" w:color="8EA9DB"/>
              <w:bottom w:val="single" w:sz="4" w:color="8EA9DB"/>
              <w:right w:val="single" w:sz="4" w:color="8EA9DB"/>
            </w:tcBorders>
            <w:tcMar>
              <w:top w:w="35" w:type="dxa"/>
              <w:bottom w:w="35" w:type="dxa"/>
              <w:start w:w="60" w:type="dxa"/>
              <w:end w:w="60" w:type="dxa"/>
            </w:tcMar>
          </w:tcPr>
          <w:p>
            <w:pPr>
              <w:widowControl/>
              <w:spacing w:after="20" w:before="20"/>
              <w:jc w:val="center"/>
            </w:pPr>
            <w:r>
              <w:rPr>
                <w:rFonts w:ascii="Arial" w:hAnsi="Arial" w:cs="Arial" w:eastAsia="Arial"/>
                <w:b w:val="0"/>
                <w:i w:val="0"/>
                <w:color w:val="111111"/>
                <w:sz w:val="18"/>
              </w:rPr>
              <w:t>240 belge</w:t>
            </w:r>
          </w:p>
        </w:tc>
        <w:tc>
          <w:tcPr>
            <w:tcW w:type="dxa" w:w="2041"/>
            <w:tcBorders>
              <w:top w:val="single" w:sz="4" w:color="8EA9DB"/>
              <w:left w:val="single" w:sz="4" w:color="8EA9DB"/>
              <w:bottom w:val="single" w:sz="4" w:color="8EA9DB"/>
              <w:right w:val="single" w:sz="4" w:color="8EA9DB"/>
            </w:tcBorders>
            <w:tcMar>
              <w:top w:w="35" w:type="dxa"/>
              <w:bottom w:w="35" w:type="dxa"/>
              <w:start w:w="60" w:type="dxa"/>
              <w:end w:w="60" w:type="dxa"/>
            </w:tcMar>
          </w:tcPr>
          <w:p>
            <w:pPr>
              <w:widowControl/>
              <w:spacing w:after="20" w:before="20"/>
              <w:jc w:val="center"/>
            </w:pPr>
            <w:r>
              <w:rPr>
                <w:rFonts w:ascii="Arial" w:hAnsi="Arial" w:cs="Arial" w:eastAsia="Arial"/>
                <w:b w:val="0"/>
                <w:i w:val="0"/>
                <w:color w:val="111111"/>
                <w:sz w:val="18"/>
              </w:rPr>
              <w:t>240 belge</w:t>
            </w:r>
          </w:p>
        </w:tc>
        <w:tc>
          <w:tcPr>
            <w:tcW w:type="dxa" w:w="2041"/>
            <w:tcBorders>
              <w:top w:val="single" w:sz="4" w:color="8EA9DB"/>
              <w:left w:val="single" w:sz="4" w:color="8EA9DB"/>
              <w:bottom w:val="single" w:sz="4" w:color="8EA9DB"/>
              <w:right w:val="single" w:sz="4" w:color="8EA9DB"/>
            </w:tcBorders>
            <w:tcMar>
              <w:top w:w="35" w:type="dxa"/>
              <w:bottom w:w="35" w:type="dxa"/>
              <w:start w:w="60" w:type="dxa"/>
              <w:end w:w="60" w:type="dxa"/>
            </w:tcMar>
          </w:tcPr>
          <w:p>
            <w:pPr>
              <w:widowControl/>
              <w:spacing w:after="20" w:before="20"/>
              <w:jc w:val="center"/>
            </w:pPr>
            <w:r>
              <w:rPr>
                <w:rFonts w:ascii="Arial" w:hAnsi="Arial" w:cs="Arial" w:eastAsia="Arial"/>
                <w:b w:val="0"/>
                <w:i w:val="0"/>
                <w:color w:val="111111"/>
                <w:sz w:val="18"/>
              </w:rPr>
              <w:t>240 belge</w:t>
            </w:r>
          </w:p>
        </w:tc>
      </w:tr>
      <w:tr>
        <w:trPr>
          <w:cantSplit/>
        </w:trPr>
        <w:tc>
          <w:tcPr>
            <w:tcW w:type="dxa" w:w="3175"/>
            <w:shd w:val="clear" w:color="auto" w:fill="EEF2F8"/>
            <w:tcBorders>
              <w:top w:val="single" w:sz="4" w:color="8EA9DB"/>
              <w:left w:val="single" w:sz="4" w:color="8EA9DB"/>
              <w:bottom w:val="single" w:sz="4" w:color="8EA9DB"/>
              <w:right w:val="single" w:sz="4" w:color="8EA9DB"/>
            </w:tcBorders>
            <w:tcMar>
              <w:top w:w="35" w:type="dxa"/>
              <w:bottom w:w="35" w:type="dxa"/>
              <w:start w:w="60" w:type="dxa"/>
              <w:end w:w="60" w:type="dxa"/>
            </w:tcMar>
          </w:tcPr>
          <w:p>
            <w:pPr>
              <w:widowControl/>
              <w:spacing w:after="0" w:before="20"/>
            </w:pPr>
            <w:r>
              <w:rPr>
                <w:rFonts w:ascii="Arial" w:hAnsi="Arial" w:cs="Arial" w:eastAsia="Arial"/>
                <w:b/>
                <w:i w:val="0"/>
                <w:color w:val="1F3864"/>
                <w:sz w:val="18"/>
              </w:rPr>
              <w:t>(c) Kısıtlı hibrit</w:t>
            </w:r>
          </w:p>
          <w:p>
            <w:pPr>
              <w:widowControl/>
              <w:spacing w:after="20"/>
            </w:pPr>
            <w:r>
              <w:rPr>
                <w:rFonts w:ascii="Arial" w:hAnsi="Arial" w:cs="Arial" w:eastAsia="Arial"/>
                <w:b w:val="0"/>
                <w:i/>
                <w:color w:val="555555"/>
                <w:sz w:val="18"/>
              </w:rPr>
              <w:t>kapalı küme + kanıt alıntısı</w:t>
            </w:r>
          </w:p>
        </w:tc>
        <w:tc>
          <w:tcPr>
            <w:tcW w:type="dxa" w:w="2041"/>
            <w:shd w:val="clear" w:color="auto" w:fill="EEF2F8"/>
            <w:tcBorders>
              <w:top w:val="single" w:sz="4" w:color="8EA9DB"/>
              <w:left w:val="single" w:sz="4" w:color="8EA9DB"/>
              <w:bottom w:val="single" w:sz="4" w:color="8EA9DB"/>
              <w:right w:val="single" w:sz="4" w:color="8EA9DB"/>
            </w:tcBorders>
            <w:tcMar>
              <w:top w:w="35" w:type="dxa"/>
              <w:bottom w:w="35" w:type="dxa"/>
              <w:start w:w="60" w:type="dxa"/>
              <w:end w:w="60" w:type="dxa"/>
            </w:tcMar>
          </w:tcPr>
          <w:p>
            <w:pPr>
              <w:widowControl/>
              <w:spacing w:after="20" w:before="20"/>
              <w:jc w:val="center"/>
            </w:pPr>
            <w:r>
              <w:rPr>
                <w:rFonts w:ascii="Arial" w:hAnsi="Arial" w:cs="Arial" w:eastAsia="Arial"/>
                <w:b w:val="0"/>
                <w:i w:val="0"/>
                <w:color w:val="111111"/>
                <w:sz w:val="18"/>
              </w:rPr>
              <w:t>240 belge</w:t>
            </w:r>
          </w:p>
        </w:tc>
        <w:tc>
          <w:tcPr>
            <w:tcW w:type="dxa" w:w="2041"/>
            <w:shd w:val="clear" w:color="auto" w:fill="EEF2F8"/>
            <w:tcBorders>
              <w:top w:val="single" w:sz="4" w:color="8EA9DB"/>
              <w:left w:val="single" w:sz="4" w:color="8EA9DB"/>
              <w:bottom w:val="single" w:sz="4" w:color="8EA9DB"/>
              <w:right w:val="single" w:sz="4" w:color="8EA9DB"/>
            </w:tcBorders>
            <w:tcMar>
              <w:top w:w="35" w:type="dxa"/>
              <w:bottom w:w="35" w:type="dxa"/>
              <w:start w:w="60" w:type="dxa"/>
              <w:end w:w="60" w:type="dxa"/>
            </w:tcMar>
          </w:tcPr>
          <w:p>
            <w:pPr>
              <w:widowControl/>
              <w:spacing w:after="20" w:before="20"/>
              <w:jc w:val="center"/>
            </w:pPr>
            <w:r>
              <w:rPr>
                <w:rFonts w:ascii="Arial" w:hAnsi="Arial" w:cs="Arial" w:eastAsia="Arial"/>
                <w:b w:val="0"/>
                <w:i w:val="0"/>
                <w:color w:val="111111"/>
                <w:sz w:val="18"/>
              </w:rPr>
              <w:t>240 belge</w:t>
            </w:r>
          </w:p>
        </w:tc>
        <w:tc>
          <w:tcPr>
            <w:tcW w:type="dxa" w:w="2041"/>
            <w:shd w:val="clear" w:color="auto" w:fill="EEF2F8"/>
            <w:tcBorders>
              <w:top w:val="single" w:sz="4" w:color="8EA9DB"/>
              <w:left w:val="single" w:sz="4" w:color="8EA9DB"/>
              <w:bottom w:val="single" w:sz="4" w:color="8EA9DB"/>
              <w:right w:val="single" w:sz="4" w:color="8EA9DB"/>
            </w:tcBorders>
            <w:tcMar>
              <w:top w:w="35" w:type="dxa"/>
              <w:bottom w:w="35" w:type="dxa"/>
              <w:start w:w="60" w:type="dxa"/>
              <w:end w:w="60" w:type="dxa"/>
            </w:tcMar>
          </w:tcPr>
          <w:p>
            <w:pPr>
              <w:widowControl/>
              <w:spacing w:after="20" w:before="20"/>
              <w:jc w:val="center"/>
            </w:pPr>
            <w:r>
              <w:rPr>
                <w:rFonts w:ascii="Arial" w:hAnsi="Arial" w:cs="Arial" w:eastAsia="Arial"/>
                <w:b w:val="0"/>
                <w:i w:val="0"/>
                <w:color w:val="111111"/>
                <w:sz w:val="18"/>
              </w:rPr>
              <w:t>240 belge</w:t>
            </w:r>
          </w:p>
        </w:tc>
      </w:tr>
    </w:tbl>
    <w:p>
      <w:pPr>
        <w:keepNext w:val="0"/>
        <w:widowControl/>
        <w:spacing w:before="60" w:after="160"/>
      </w:pPr>
      <w:r>
        <w:rPr>
          <w:rFonts w:ascii="Arial" w:hAnsi="Arial" w:cs="Arial" w:eastAsia="Arial"/>
          <w:b w:val="0"/>
          <w:i/>
          <w:color w:val="444444"/>
          <w:sz w:val="18"/>
        </w:rPr>
        <w:t>Gövde 240 × 4 × 3 = 2.880 gözlem; sağlayıcı bloğu 80 belgelik alt kümede iki ek sağlayıcıda tekrarlanır (+1.440), toplam 4.320. (a) kolu model çağrısı içermez: 720 gözlem deterministiktir. KHO: karakter hata oranı.</w:t>
      </w:r>
    </w:p>
    <w:p>
      <w:pPr>
        <w:keepNext/>
        <w:widowControl/>
        <w:spacing w:before="200" w:after="80"/>
      </w:pPr>
      <w:r>
        <w:rPr>
          <w:rFonts w:ascii="Arial" w:hAnsi="Arial" w:cs="Arial" w:eastAsia="Arial"/>
          <w:b/>
          <w:i w:val="0"/>
          <w:color w:val="1F3864"/>
          <w:sz w:val="18"/>
        </w:rPr>
        <w:t>Şekil 2. On iki aylık iş paketi zaman çizelgesi ve katkı ağırlıkları</w:t>
      </w:r>
    </w:p>
    <w:tbl>
      <w:tblPr>
        <w:tblW w:type="auto" w:w="0"/>
        <w:tblLayout w:type="fixed"/>
        <w:tblLook w:firstColumn="1" w:firstRow="1" w:lastColumn="0" w:lastRow="0" w:noHBand="0" w:noVBand="1" w:val="04A0"/>
      </w:tblPr>
      <w:tblGrid>
        <w:gridCol w:w="648"/>
        <w:gridCol w:w="648"/>
        <w:gridCol w:w="648"/>
        <w:gridCol w:w="648"/>
        <w:gridCol w:w="648"/>
        <w:gridCol w:w="648"/>
        <w:gridCol w:w="648"/>
        <w:gridCol w:w="648"/>
        <w:gridCol w:w="648"/>
        <w:gridCol w:w="648"/>
        <w:gridCol w:w="648"/>
        <w:gridCol w:w="648"/>
        <w:gridCol w:w="648"/>
        <w:gridCol w:w="648"/>
      </w:tblGrid>
      <w:tr>
        <w:trPr>
          <w:tblHeader w:val="true"/>
          <w:cantSplit/>
        </w:trPr>
        <w:tc>
          <w:tcPr>
            <w:tcW w:type="dxa" w:w="2551"/>
            <w:shd w:val="clear" w:color="auto" w:fill="1F3864"/>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i w:val="0"/>
                <w:color w:val="FFFFFF"/>
                <w:sz w:val="18"/>
              </w:rPr>
              <w:t>İş paketi</w:t>
            </w:r>
          </w:p>
        </w:tc>
        <w:tc>
          <w:tcPr>
            <w:tcW w:type="dxa" w:w="408"/>
            <w:shd w:val="clear" w:color="auto" w:fill="1F3864"/>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i w:val="0"/>
                <w:color w:val="FFFFFF"/>
                <w:sz w:val="18"/>
              </w:rPr>
              <w:t>1</w:t>
            </w:r>
          </w:p>
        </w:tc>
        <w:tc>
          <w:tcPr>
            <w:tcW w:type="dxa" w:w="408"/>
            <w:shd w:val="clear" w:color="auto" w:fill="1F3864"/>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i w:val="0"/>
                <w:color w:val="FFFFFF"/>
                <w:sz w:val="18"/>
              </w:rPr>
              <w:t>2</w:t>
            </w:r>
          </w:p>
        </w:tc>
        <w:tc>
          <w:tcPr>
            <w:tcW w:type="dxa" w:w="408"/>
            <w:shd w:val="clear" w:color="auto" w:fill="1F3864"/>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i w:val="0"/>
                <w:color w:val="FFFFFF"/>
                <w:sz w:val="18"/>
              </w:rPr>
              <w:t>3</w:t>
            </w:r>
          </w:p>
        </w:tc>
        <w:tc>
          <w:tcPr>
            <w:tcW w:type="dxa" w:w="408"/>
            <w:shd w:val="clear" w:color="auto" w:fill="1F3864"/>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i w:val="0"/>
                <w:color w:val="FFFFFF"/>
                <w:sz w:val="18"/>
              </w:rPr>
              <w:t>4</w:t>
            </w:r>
          </w:p>
        </w:tc>
        <w:tc>
          <w:tcPr>
            <w:tcW w:type="dxa" w:w="408"/>
            <w:shd w:val="clear" w:color="auto" w:fill="1F3864"/>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i w:val="0"/>
                <w:color w:val="FFFFFF"/>
                <w:sz w:val="18"/>
              </w:rPr>
              <w:t>5</w:t>
            </w:r>
          </w:p>
        </w:tc>
        <w:tc>
          <w:tcPr>
            <w:tcW w:type="dxa" w:w="408"/>
            <w:shd w:val="clear" w:color="auto" w:fill="1F3864"/>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i w:val="0"/>
                <w:color w:val="FFFFFF"/>
                <w:sz w:val="18"/>
              </w:rPr>
              <w:t>6</w:t>
            </w:r>
          </w:p>
        </w:tc>
        <w:tc>
          <w:tcPr>
            <w:tcW w:type="dxa" w:w="408"/>
            <w:shd w:val="clear" w:color="auto" w:fill="1F3864"/>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i w:val="0"/>
                <w:color w:val="FFFFFF"/>
                <w:sz w:val="18"/>
              </w:rPr>
              <w:t>7</w:t>
            </w:r>
          </w:p>
        </w:tc>
        <w:tc>
          <w:tcPr>
            <w:tcW w:type="dxa" w:w="408"/>
            <w:shd w:val="clear" w:color="auto" w:fill="1F3864"/>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i w:val="0"/>
                <w:color w:val="FFFFFF"/>
                <w:sz w:val="18"/>
              </w:rPr>
              <w:t>8</w:t>
            </w:r>
          </w:p>
        </w:tc>
        <w:tc>
          <w:tcPr>
            <w:tcW w:type="dxa" w:w="408"/>
            <w:shd w:val="clear" w:color="auto" w:fill="1F3864"/>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i w:val="0"/>
                <w:color w:val="FFFFFF"/>
                <w:sz w:val="18"/>
              </w:rPr>
              <w:t>9</w:t>
            </w:r>
          </w:p>
        </w:tc>
        <w:tc>
          <w:tcPr>
            <w:tcW w:type="dxa" w:w="408"/>
            <w:shd w:val="clear" w:color="auto" w:fill="1F3864"/>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i w:val="0"/>
                <w:color w:val="FFFFFF"/>
                <w:sz w:val="18"/>
              </w:rPr>
              <w:t>10</w:t>
            </w:r>
          </w:p>
        </w:tc>
        <w:tc>
          <w:tcPr>
            <w:tcW w:type="dxa" w:w="408"/>
            <w:shd w:val="clear" w:color="auto" w:fill="1F3864"/>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i w:val="0"/>
                <w:color w:val="FFFFFF"/>
                <w:sz w:val="18"/>
              </w:rPr>
              <w:t>11</w:t>
            </w:r>
          </w:p>
        </w:tc>
        <w:tc>
          <w:tcPr>
            <w:tcW w:type="dxa" w:w="408"/>
            <w:shd w:val="clear" w:color="auto" w:fill="1F3864"/>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i w:val="0"/>
                <w:color w:val="FFFFFF"/>
                <w:sz w:val="18"/>
              </w:rPr>
              <w:t>12</w:t>
            </w:r>
          </w:p>
        </w:tc>
        <w:tc>
          <w:tcPr>
            <w:tcW w:type="dxa" w:w="737"/>
            <w:shd w:val="clear" w:color="auto" w:fill="1F3864"/>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i w:val="0"/>
                <w:color w:val="FFFFFF"/>
                <w:sz w:val="18"/>
              </w:rPr>
              <w:t>Katkı</w:t>
            </w:r>
          </w:p>
        </w:tc>
      </w:tr>
      <w:tr>
        <w:trPr>
          <w:cantSplit/>
        </w:trPr>
        <w:tc>
          <w:tcPr>
            <w:tcW w:type="dxa" w:w="2551"/>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0" w:before="20"/>
            </w:pPr>
            <w:r>
              <w:rPr>
                <w:rFonts w:ascii="Arial" w:hAnsi="Arial" w:cs="Arial" w:eastAsia="Arial"/>
                <w:b/>
                <w:i w:val="0"/>
                <w:color w:val="1F3864"/>
                <w:sz w:val="18"/>
              </w:rPr>
              <w:t>İP1</w:t>
            </w:r>
          </w:p>
          <w:p>
            <w:pPr>
              <w:widowControl/>
              <w:spacing w:after="20"/>
            </w:pPr>
            <w:r>
              <w:rPr>
                <w:rFonts w:ascii="Arial" w:hAnsi="Arial" w:cs="Arial" w:eastAsia="Arial"/>
                <w:b w:val="0"/>
                <w:i/>
                <w:color w:val="555555"/>
                <w:sz w:val="18"/>
              </w:rPr>
              <w:t>Deneysel çerçeve, ön-kayıt kilidi ve katmanlı ölçüm kümesinin hazırlan…</w:t>
            </w:r>
          </w:p>
        </w:tc>
        <w:tc>
          <w:tcPr>
            <w:tcW w:type="dxa" w:w="408"/>
            <w:shd w:val="clear" w:color="auto" w:fill="2F5496"/>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2F5496"/>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2F5496"/>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737"/>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i w:val="0"/>
                <w:color w:val="1F3864"/>
                <w:sz w:val="18"/>
              </w:rPr>
              <w:t>%17</w:t>
            </w:r>
          </w:p>
        </w:tc>
      </w:tr>
      <w:tr>
        <w:trPr>
          <w:cantSplit/>
        </w:trPr>
        <w:tc>
          <w:tcPr>
            <w:tcW w:type="dxa" w:w="2551"/>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0" w:before="20"/>
            </w:pPr>
            <w:r>
              <w:rPr>
                <w:rFonts w:ascii="Arial" w:hAnsi="Arial" w:cs="Arial" w:eastAsia="Arial"/>
                <w:b/>
                <w:i w:val="0"/>
                <w:color w:val="1F3864"/>
                <w:sz w:val="18"/>
              </w:rPr>
              <w:t>İP2</w:t>
            </w:r>
          </w:p>
          <w:p>
            <w:pPr>
              <w:widowControl/>
              <w:spacing w:after="20"/>
            </w:pPr>
            <w:r>
              <w:rPr>
                <w:rFonts w:ascii="Arial" w:hAnsi="Arial" w:cs="Arial" w:eastAsia="Arial"/>
                <w:b w:val="0"/>
                <w:i/>
                <w:color w:val="555555"/>
                <w:sz w:val="18"/>
              </w:rPr>
              <w:t>Mimari x girdi bozulması faktöriyel deneyi ve hata yayılımı analizi</w:t>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2F5496"/>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2F5496"/>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2F5496"/>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737"/>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i w:val="0"/>
                <w:color w:val="1F3864"/>
                <w:sz w:val="18"/>
              </w:rPr>
              <w:t>%25</w:t>
            </w:r>
          </w:p>
        </w:tc>
      </w:tr>
      <w:tr>
        <w:trPr>
          <w:cantSplit/>
        </w:trPr>
        <w:tc>
          <w:tcPr>
            <w:tcW w:type="dxa" w:w="2551"/>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0" w:before="20"/>
            </w:pPr>
            <w:r>
              <w:rPr>
                <w:rFonts w:ascii="Arial" w:hAnsi="Arial" w:cs="Arial" w:eastAsia="Arial"/>
                <w:b/>
                <w:i w:val="0"/>
                <w:color w:val="1F3864"/>
                <w:sz w:val="18"/>
              </w:rPr>
              <w:t>İP3</w:t>
            </w:r>
          </w:p>
          <w:p>
            <w:pPr>
              <w:widowControl/>
              <w:spacing w:after="20"/>
            </w:pPr>
            <w:r>
              <w:rPr>
                <w:rFonts w:ascii="Arial" w:hAnsi="Arial" w:cs="Arial" w:eastAsia="Arial"/>
                <w:b w:val="0"/>
                <w:i/>
                <w:color w:val="555555"/>
                <w:sz w:val="18"/>
              </w:rPr>
              <w:t>Dayanak doğrulayıcısının ölçüm geçerliliği ve kör uzman uyumu</w:t>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2F5496"/>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2F5496"/>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2F5496"/>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2F5496"/>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737"/>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i w:val="0"/>
                <w:color w:val="1F3864"/>
                <w:sz w:val="18"/>
              </w:rPr>
              <w:t>%23</w:t>
            </w:r>
          </w:p>
        </w:tc>
      </w:tr>
      <w:tr>
        <w:trPr>
          <w:cantSplit/>
        </w:trPr>
        <w:tc>
          <w:tcPr>
            <w:tcW w:type="dxa" w:w="2551"/>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0" w:before="20"/>
            </w:pPr>
            <w:r>
              <w:rPr>
                <w:rFonts w:ascii="Arial" w:hAnsi="Arial" w:cs="Arial" w:eastAsia="Arial"/>
                <w:b/>
                <w:i w:val="0"/>
                <w:color w:val="1F3864"/>
                <w:sz w:val="18"/>
              </w:rPr>
              <w:t>İP4</w:t>
            </w:r>
          </w:p>
          <w:p>
            <w:pPr>
              <w:widowControl/>
              <w:spacing w:after="20"/>
            </w:pPr>
            <w:r>
              <w:rPr>
                <w:rFonts w:ascii="Arial" w:hAnsi="Arial" w:cs="Arial" w:eastAsia="Arial"/>
                <w:b w:val="0"/>
                <w:i/>
                <w:color w:val="555555"/>
                <w:sz w:val="18"/>
              </w:rPr>
              <w:t>Kapı ödünleşim eğrisi, müzakerenin yakınsaması ve mimarinin bedeli</w:t>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2F5496"/>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2F5496"/>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2F5496"/>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2F5496"/>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737"/>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i w:val="0"/>
                <w:color w:val="1F3864"/>
                <w:sz w:val="18"/>
              </w:rPr>
              <w:t>%21</w:t>
            </w:r>
          </w:p>
        </w:tc>
      </w:tr>
      <w:tr>
        <w:trPr>
          <w:cantSplit/>
        </w:trPr>
        <w:tc>
          <w:tcPr>
            <w:tcW w:type="dxa" w:w="2551"/>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0" w:before="20"/>
            </w:pPr>
            <w:r>
              <w:rPr>
                <w:rFonts w:ascii="Arial" w:hAnsi="Arial" w:cs="Arial" w:eastAsia="Arial"/>
                <w:b/>
                <w:i w:val="0"/>
                <w:color w:val="1F3864"/>
                <w:sz w:val="18"/>
              </w:rPr>
              <w:t>İP5</w:t>
            </w:r>
          </w:p>
          <w:p>
            <w:pPr>
              <w:widowControl/>
              <w:spacing w:after="20"/>
            </w:pPr>
            <w:r>
              <w:rPr>
                <w:rFonts w:ascii="Arial" w:hAnsi="Arial" w:cs="Arial" w:eastAsia="Arial"/>
                <w:b w:val="0"/>
                <w:i/>
                <w:color w:val="555555"/>
                <w:sz w:val="18"/>
              </w:rPr>
              <w:t>Bütünleşik model, replikasyon, dış geçerlilik ve bağımsız koşum</w:t>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F2F2F2"/>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2F5496"/>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2F5496"/>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408"/>
            <w:shd w:val="clear" w:color="auto" w:fill="2F5496"/>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val="0"/>
                <w:i w:val="0"/>
                <w:color w:val="111111"/>
                <w:sz w:val="14"/>
              </w:rPr>
            </w:r>
          </w:p>
        </w:tc>
        <w:tc>
          <w:tcPr>
            <w:tcW w:type="dxa" w:w="737"/>
            <w:tcBorders>
              <w:top w:val="single" w:sz="4" w:color="8EA9DB"/>
              <w:left w:val="single" w:sz="4" w:color="8EA9DB"/>
              <w:bottom w:val="single" w:sz="4" w:color="8EA9DB"/>
              <w:right w:val="single" w:sz="4" w:color="8EA9DB"/>
            </w:tcBorders>
            <w:tcMar>
              <w:top w:w="22" w:type="dxa"/>
              <w:bottom w:w="22" w:type="dxa"/>
              <w:start w:w="30" w:type="dxa"/>
              <w:end w:w="30" w:type="dxa"/>
            </w:tcMar>
          </w:tcPr>
          <w:p>
            <w:pPr>
              <w:widowControl/>
              <w:spacing w:after="20" w:before="20"/>
              <w:jc w:val="center"/>
            </w:pPr>
            <w:r>
              <w:rPr>
                <w:rFonts w:ascii="Arial" w:hAnsi="Arial" w:cs="Arial" w:eastAsia="Arial"/>
                <w:b/>
                <w:i w:val="0"/>
                <w:color w:val="1F3864"/>
                <w:sz w:val="18"/>
              </w:rPr>
              <w:t>%14</w:t>
            </w:r>
          </w:p>
        </w:tc>
      </w:tr>
    </w:tbl>
    <w:p>
      <w:pPr>
        <w:keepNext w:val="0"/>
        <w:widowControl/>
        <w:spacing w:before="60" w:after="120"/>
      </w:pPr>
      <w:r>
        <w:rPr>
          <w:rFonts w:ascii="Arial" w:hAnsi="Arial" w:cs="Arial" w:eastAsia="Arial"/>
          <w:b w:val="0"/>
          <w:i/>
          <w:color w:val="444444"/>
          <w:sz w:val="18"/>
        </w:rPr>
        <w:t>Koyu hücreler iş paketinin etkin olduğu ayları gösterir. Katkı sütununun toplamı %100'dür. Şekil, Çalışma Takvimi tablosunun görsel özetidir; ayrıntılı faaliyet, sorumlu ve başarı ölçütü bilgisi o tablodadır.</w:t>
      </w:r>
    </w:p>
    <w:p w14:paraId="687CDE57" w14:textId="77777777" w:rsidR="006F7368" w:rsidRDefault="002E7A1C">
      <w:pPr>
        <w:keepNext/>
        <w:widowControl/>
        <w:ind w:left="502"/>
        <w:rPr>
          <w:rFonts w:ascii="Arial" w:hAnsi="Arial" w:cs="Arial"/>
          <w:b/>
          <w:sz w:val="22"/>
          <w:szCs w:val="22"/>
          <w:lang w:eastAsia="fr-FR"/>
        </w:rPr>
      </w:pPr>
      <w:r>
        <w:rPr>
          <w:rFonts w:ascii="Arial" w:hAnsi="Arial" w:cs="Arial"/>
          <w:b/>
          <w:sz w:val="22"/>
          <w:szCs w:val="22"/>
          <w:lang w:eastAsia="fr-FR"/>
        </w:rPr>
        <w:t xml:space="preserve"> </w:t>
      </w:r>
    </w:p>
    <w:p w14:paraId="196AA013" w14:textId="77777777" w:rsidR="006F7368" w:rsidRDefault="006F7368">
      <w:pPr>
        <w:keepNext/>
        <w:widowControl/>
        <w:rPr>
          <w:rFonts w:ascii="Arial" w:hAnsi="Arial" w:cs="Arial"/>
          <w:b/>
          <w:sz w:val="18"/>
          <w:szCs w:val="18"/>
          <w:lang w:eastAsia="fr-FR"/>
        </w:rPr>
      </w:pPr>
    </w:p>
    <w:p w14:paraId="2A8BC508" w14:textId="7B3D2EDD" w:rsidR="006F7368" w:rsidRDefault="006B0518" w:rsidP="00190A53">
      <w:pPr>
        <w:keepNext/>
        <w:spacing w:before="220" w:after="80"/>
        <w:widowControl/>
        <w:pBdr>
          <w:bottom w:val="single" w:sz="8" w:space="3" w:color="1F3864"/>
        </w:pBdr>
      </w:pPr>
      <w:r>
        <w:rPr>
          <w:rFonts w:ascii="Arial" w:hAnsi="Arial" w:cs="Arial" w:eastAsia="Arial"/>
          <w:b/>
          <w:i w:val="0"/>
          <w:color w:val="1F3864"/>
          <w:sz w:val="22"/>
          <w:szCs w:val="18"/>
          <w:lang w:eastAsia="fr-FR"/>
        </w:rPr>
        <w:t>6</w:t>
      </w:r>
      <w:r w:rsidR="002E7A1C" w:rsidRPr="00190A53">
        <w:rPr>
          <w:rFonts w:ascii="Arial" w:hAnsi="Arial" w:cs="Arial" w:eastAsia="Arial"/>
          <w:b/>
          <w:i w:val="0"/>
          <w:color w:val="1F3864"/>
          <w:sz w:val="22"/>
          <w:szCs w:val="18"/>
          <w:lang w:eastAsia="fr-FR"/>
        </w:rPr>
        <w:t>. EKLER</w:t>
      </w:r>
    </w:p>
    <w:p w14:paraId="4F128C5C" w14:textId="77777777" w:rsidR="006F7368" w:rsidRDefault="006F7368">
      <w:pPr>
        <w:keepNext/>
        <w:widowControl/>
        <w:ind w:left="426" w:hanging="142"/>
        <w:rPr>
          <w:rFonts w:ascii="Arial" w:hAnsi="Arial" w:cs="Arial"/>
          <w:sz w:val="18"/>
          <w:szCs w:val="18"/>
          <w:lang w:eastAsia="fr-FR"/>
        </w:rPr>
      </w:pPr>
    </w:p>
    <w:p w14:paraId="159F9811" w14:textId="77777777" w:rsidR="006F7368" w:rsidRDefault="002E7A1C">
      <w:pPr>
        <w:keepNext/>
        <w:widowControl/>
        <w:spacing w:before="160" w:after="60"/>
        <w:ind w:left="426" w:hanging="142"/>
        <w:jc w:val="both"/>
        <w:rPr>
          <w:rFonts w:ascii="Arial" w:hAnsi="Arial" w:cs="Arial"/>
          <w:b/>
          <w:sz w:val="18"/>
          <w:szCs w:val="18"/>
          <w:lang w:eastAsia="fr-FR"/>
        </w:rPr>
      </w:pPr>
      <w:r>
        <w:rPr>
          <w:rFonts w:ascii="Arial" w:hAnsi="Arial" w:cs="Arial" w:eastAsia="Arial"/>
          <w:b/>
          <w:i w:val="0"/>
          <w:color w:val="1F3864"/>
          <w:sz w:val="19"/>
          <w:szCs w:val="18"/>
        </w:rPr>
        <w:t>EK-1:  KAYNAKLAR</w:t>
      </w:r>
    </w:p>
    <w:p w14:paraId="26997435" w14:textId="77777777" w:rsidR="006F7368" w:rsidRDefault="006F7368">
      <w:pPr>
        <w:keepNext/>
        <w:widowControl/>
        <w:ind w:left="426" w:hanging="142"/>
      </w:pPr>
    </w:p>
    <w:p>
      <w:pPr>
        <w:widowControl/>
        <w:spacing w:after="20" w:before="0"/>
        <w:ind w:left="400" w:hanging="400"/>
        <w:jc w:val="left"/>
      </w:pPr>
      <w:r>
        <w:rPr>
          <w:rFonts w:ascii="Arial" w:hAnsi="Arial" w:cs="Arial" w:eastAsia="Arial"/>
          <w:b w:val="0"/>
          <w:i w:val="0"/>
          <w:sz w:val="16"/>
        </w:rPr>
        <w:t>[1] Jaume, G., Ekenel, H. K., &amp; Thiran, J.-P. (2019). FUNSD: A dataset for form understanding in noisy scanned documents. 2019 International Conference on Document Analysis and Recognition Workshops (ICDARW), 1-6.</w:t>
      </w:r>
    </w:p>
    <w:p>
      <w:pPr>
        <w:widowControl/>
        <w:spacing w:after="20" w:before="0"/>
        <w:ind w:left="400" w:hanging="400"/>
        <w:jc w:val="left"/>
      </w:pPr>
      <w:r>
        <w:rPr>
          <w:rFonts w:ascii="Arial" w:hAnsi="Arial" w:cs="Arial" w:eastAsia="Arial"/>
          <w:b w:val="0"/>
          <w:i w:val="0"/>
          <w:sz w:val="16"/>
        </w:rPr>
        <w:t>[2] Borchmann, Ł., Pietruszka, M., Stanisławek, T., Jurkiewicz, D., Turski, M., Szyndler, K., &amp; Graliński, F. (2021). DUE: End-to-end document understanding benchmark. Proceedings of the Neural Information Processing Systems Track on Datasets and Benchmarks (NeurIPS 2021). https://datasets-benchmarks-proceedings.neurips.cc/paper_files/paper/2021/hash/069059b7ef840f0c74a814ec9237b6ec-Abstract-round2.html</w:t>
      </w:r>
    </w:p>
    <w:p>
      <w:pPr>
        <w:widowControl/>
        <w:spacing w:after="20" w:before="0"/>
        <w:ind w:left="400" w:hanging="400"/>
        <w:jc w:val="left"/>
      </w:pPr>
      <w:r>
        <w:rPr>
          <w:rFonts w:ascii="Arial" w:hAnsi="Arial" w:cs="Arial" w:eastAsia="Arial"/>
          <w:b w:val="0"/>
          <w:i w:val="0"/>
          <w:sz w:val="16"/>
        </w:rPr>
        <w:t>[3] Toraman, C., Yilmaz, E. H., Şahinuç, F., &amp; Ozcelik, O. (2023). Impact of tokenization on language models: An analysis for Turkish. ACM Transactions on Asian and Low-Resource Language Information Processing, 22(4), 1-21. https://doi.org/10.1145/3578707</w:t>
      </w:r>
    </w:p>
    <w:p>
      <w:pPr>
        <w:widowControl/>
        <w:spacing w:after="20" w:before="0"/>
        <w:ind w:left="400" w:hanging="400"/>
        <w:jc w:val="left"/>
      </w:pPr>
      <w:r>
        <w:rPr>
          <w:rFonts w:ascii="Arial" w:hAnsi="Arial" w:cs="Arial" w:eastAsia="Arial"/>
          <w:b w:val="0"/>
          <w:i w:val="0"/>
          <w:sz w:val="16"/>
        </w:rPr>
        <w:t>[4] Tohma, K., &amp; Kutlu, Y. (2021). Challenges encountered in Turkish natural language processing studies. arXiv (ön baskı). https://arxiv.org/abs/2101.11436</w:t>
      </w:r>
    </w:p>
    <w:p>
      <w:pPr>
        <w:widowControl/>
        <w:spacing w:after="20" w:before="0"/>
        <w:ind w:left="400" w:hanging="400"/>
        <w:jc w:val="left"/>
      </w:pPr>
      <w:r>
        <w:rPr>
          <w:rFonts w:ascii="Arial" w:hAnsi="Arial" w:cs="Arial" w:eastAsia="Arial"/>
          <w:b w:val="0"/>
          <w:i w:val="0"/>
          <w:sz w:val="16"/>
        </w:rPr>
        <w:t>[5] Öztürk, M. U., Türkoğlu, T., &amp; Buz-Yalug, B. (2026). HukukBERT: Domain-specific language model for Turkish law. arXiv (ön baskı; hakem denetiminden geçmemiştir). https://arxiv.org/abs/2604.04790</w:t>
      </w:r>
    </w:p>
    <w:p>
      <w:pPr>
        <w:widowControl/>
        <w:spacing w:after="20" w:before="0"/>
        <w:ind w:left="400" w:hanging="400"/>
        <w:jc w:val="left"/>
      </w:pPr>
      <w:r>
        <w:rPr>
          <w:rFonts w:ascii="Arial" w:hAnsi="Arial" w:cs="Arial" w:eastAsia="Arial"/>
          <w:b w:val="0"/>
          <w:i w:val="0"/>
          <w:sz w:val="16"/>
        </w:rPr>
        <w:t>[6] Binici, K. (2019). Makine öğrenmesi yaklaşımıyla e-belgelere standart dosya plan numaralarının otomatik olarak atanması üzerine bir çalışma. Bilgi Yönetimi, 2(2), 116-126. https://doi.org/10.33721/by.654464</w:t>
      </w:r>
    </w:p>
    <w:p>
      <w:pPr>
        <w:widowControl/>
        <w:spacing w:after="20" w:before="0"/>
        <w:ind w:left="400" w:hanging="400"/>
        <w:jc w:val="left"/>
      </w:pPr>
      <w:r>
        <w:rPr>
          <w:rFonts w:ascii="Arial" w:hAnsi="Arial" w:cs="Arial" w:eastAsia="Arial"/>
          <w:b w:val="0"/>
          <w:i w:val="0"/>
          <w:sz w:val="16"/>
        </w:rPr>
        <w:t>[7] Rashkin, H., Nikolaev, V., Lamm, M., Aroyo, L., Collins, M., Das, D., Petrov, S., Tomar, G. S., Turc, I., &amp; Reitter, D. (2023). Measuring attribution in natural language generation models. Computational Linguistics, 49(4), 777-840. https://doi.org/10.1162/coli_a_00486</w:t>
      </w:r>
    </w:p>
    <w:p>
      <w:pPr>
        <w:widowControl/>
        <w:spacing w:after="20" w:before="0"/>
        <w:ind w:left="400" w:hanging="400"/>
        <w:jc w:val="left"/>
      </w:pPr>
      <w:r>
        <w:rPr>
          <w:rFonts w:ascii="Arial" w:hAnsi="Arial" w:cs="Arial" w:eastAsia="Arial"/>
          <w:b w:val="0"/>
          <w:i w:val="0"/>
          <w:sz w:val="16"/>
        </w:rPr>
        <w:t>[8] Dhuliawala, S., Komeili, M., Xu, J., Raileanu, R., Li, X., Celikyilmaz, A., &amp; Weston, J. (2024). Chain-of-verification reduces hallucination in large language models. Findings of the Association for Computational Linguistics: ACL 2024, 3563-3578. https://aclanthology.org/2024.findings-acl.212/</w:t>
      </w:r>
    </w:p>
    <w:p>
      <w:pPr>
        <w:widowControl/>
        <w:spacing w:after="20" w:before="0"/>
        <w:ind w:left="400" w:hanging="400"/>
        <w:jc w:val="left"/>
      </w:pPr>
      <w:r>
        <w:rPr>
          <w:rFonts w:ascii="Arial" w:hAnsi="Arial" w:cs="Arial" w:eastAsia="Arial"/>
          <w:b w:val="0"/>
          <w:i w:val="0"/>
          <w:sz w:val="16"/>
        </w:rPr>
        <w:t>[9] Dahl, M., Magesh, V., Suzgun, M., &amp; Ho, D. E. (2024). Large legal fictions: Profiling legal hallucinations in large language models. Journal of Legal Analysis, 16(1), 64-93. https://academic.oup.com/jla/article/16/1/64/7699227</w:t>
      </w:r>
    </w:p>
    <w:p>
      <w:pPr>
        <w:widowControl/>
        <w:spacing w:after="20" w:before="0"/>
        <w:ind w:left="400" w:hanging="400"/>
        <w:jc w:val="left"/>
      </w:pPr>
      <w:r>
        <w:rPr>
          <w:rFonts w:ascii="Arial" w:hAnsi="Arial" w:cs="Arial" w:eastAsia="Arial"/>
          <w:b w:val="0"/>
          <w:i w:val="0"/>
          <w:sz w:val="16"/>
        </w:rPr>
        <w:t>[10] Magesh, V., Surani, F., Dahl, M., Suzgun, M., Manning, C. D., &amp; Ho, D. E. (2025). Hallucination-free? Assessing the reliability of leading AI legal research tools. Journal of Empirical Legal Studies, 22(2), 216-242. https://doi.org/10.1111/jels.12413</w:t>
      </w:r>
    </w:p>
    <w:p>
      <w:pPr>
        <w:widowControl/>
        <w:spacing w:after="20" w:before="0"/>
        <w:ind w:left="400" w:hanging="400"/>
        <w:jc w:val="left"/>
      </w:pPr>
      <w:r>
        <w:rPr>
          <w:rFonts w:ascii="Arial" w:hAnsi="Arial" w:cs="Arial" w:eastAsia="Arial"/>
          <w:b w:val="0"/>
          <w:i w:val="0"/>
          <w:sz w:val="16"/>
        </w:rPr>
        <w:t>[11] Gao, Y., Xiong, Y., Gao, X., Jia, K., Pan, J., Bi, Y., Dai, Y., Sun, J., Wang, M., &amp; Wang, H. (2024). Retrieval-augmented generation for large language models: A survey. arXiv (ön baskı). https://arxiv.org/abs/2312.10997</w:t>
      </w:r>
    </w:p>
    <w:p>
      <w:pPr>
        <w:widowControl/>
        <w:spacing w:after="20" w:before="0"/>
        <w:ind w:left="400" w:hanging="400"/>
        <w:jc w:val="left"/>
      </w:pPr>
      <w:r>
        <w:rPr>
          <w:rFonts w:ascii="Arial" w:hAnsi="Arial" w:cs="Arial" w:eastAsia="Arial"/>
          <w:b w:val="0"/>
          <w:i w:val="0"/>
          <w:sz w:val="16"/>
        </w:rPr>
        <w:t>[12] Asai, A., Wu, Z., Wang, Y., Sil, A., &amp; Hajishirzi, H. (2024). Self-RAG: Learning to retrieve, generate, and critique through self-reflection. Proceedings of the Twelfth International Conference on Learning Representations (ICLR 2024). https://openreview.net/forum?id=hSyW5go0v8</w:t>
      </w:r>
    </w:p>
    <w:p>
      <w:pPr>
        <w:widowControl/>
        <w:spacing w:after="20" w:before="0"/>
        <w:ind w:left="400" w:hanging="400"/>
        <w:jc w:val="left"/>
      </w:pPr>
      <w:r>
        <w:rPr>
          <w:rFonts w:ascii="Arial" w:hAnsi="Arial" w:cs="Arial" w:eastAsia="Arial"/>
          <w:b w:val="0"/>
          <w:i w:val="0"/>
          <w:sz w:val="16"/>
        </w:rPr>
        <w:t>[13] Yan, S.-Q., Gu, J.-C., Zhu, Y., &amp; Ling, Z.-H. (2024). Corrective retrieval augmented generation. arXiv (ön baskı). https://arxiv.org/abs/2401.15884</w:t>
      </w:r>
    </w:p>
    <w:p>
      <w:pPr>
        <w:widowControl/>
        <w:spacing w:after="20" w:before="0"/>
        <w:ind w:left="400" w:hanging="400"/>
        <w:jc w:val="left"/>
      </w:pPr>
      <w:r>
        <w:rPr>
          <w:rFonts w:ascii="Arial" w:hAnsi="Arial" w:cs="Arial" w:eastAsia="Arial"/>
          <w:b w:val="0"/>
          <w:i w:val="0"/>
          <w:sz w:val="16"/>
        </w:rPr>
        <w:t>[14] Zheng, L., Chiang, W.-L., Sheng, Y., Zhuang, S., Wu, Z., Zhuang, Y., Lin, Z., Li, Z., Li, D., Xing, E. P., Zhang, H., Gonzalez, J. E., &amp; Stoica, I. (2023). Judging LLM-as-a-judge with MT-Bench and Chatbot Arena. Advances in Neural Information Processing Systems 36: Datasets and Benchmarks Track. https://arxiv.org/abs/2306.05685</w:t>
      </w:r>
    </w:p>
    <w:p>
      <w:pPr>
        <w:widowControl/>
        <w:spacing w:after="20" w:before="0"/>
        <w:ind w:left="400" w:hanging="400"/>
        <w:jc w:val="left"/>
      </w:pPr>
      <w:r>
        <w:rPr>
          <w:rFonts w:ascii="Arial" w:hAnsi="Arial" w:cs="Arial" w:eastAsia="Arial"/>
          <w:b w:val="0"/>
          <w:i w:val="0"/>
          <w:sz w:val="16"/>
        </w:rPr>
        <w:t>[15] Du, Y., Li, S., Torralba, A., Tenenbaum, J. B., &amp; Mordatch, I. (2024). Improving factuality and reasoning in language models through multiagent debate. Proceedings of the 41st International Conference on Machine Learning (PMLR 235), 11733-11763. https://proceedings.mlr.press/v235/du24e.html</w:t>
      </w:r>
    </w:p>
    <w:p>
      <w:pPr>
        <w:widowControl/>
        <w:spacing w:after="20" w:before="0"/>
        <w:ind w:left="400" w:hanging="400"/>
        <w:jc w:val="left"/>
      </w:pPr>
      <w:r>
        <w:rPr>
          <w:rFonts w:ascii="Arial" w:hAnsi="Arial" w:cs="Arial" w:eastAsia="Arial"/>
          <w:b w:val="0"/>
          <w:i w:val="0"/>
          <w:sz w:val="16"/>
        </w:rPr>
        <w:t>[16] Wirtz, B. W., Weyerer, J. C., &amp; Geyer, C. (2019). Artificial intelligence and the public sector - Applications and challenges. International Journal of Public Administration, 42(7), 596-615. https://doi.org/10.1080/01900692.2018.1498103</w:t>
      </w:r>
    </w:p>
    <w:p>
      <w:pPr>
        <w:widowControl/>
        <w:spacing w:after="20" w:before="0"/>
        <w:ind w:left="400" w:hanging="400"/>
        <w:jc w:val="left"/>
      </w:pPr>
      <w:r>
        <w:rPr>
          <w:rFonts w:ascii="Arial" w:hAnsi="Arial" w:cs="Arial" w:eastAsia="Arial"/>
          <w:b w:val="0"/>
          <w:i w:val="0"/>
          <w:sz w:val="16"/>
        </w:rPr>
        <w:t>[17] Madan, R., &amp; Ashok, M. (2023). AI adoption and diffusion in public administration: A systematic literature review and future research agenda. Government Information Quarterly, 40(1), 101774. https://doi.org/10.1016/j.giq.2022.101774</w:t>
      </w:r>
    </w:p>
    <w:p>
      <w:pPr>
        <w:widowControl/>
        <w:spacing w:after="20" w:before="0"/>
        <w:ind w:left="400" w:hanging="400"/>
        <w:jc w:val="left"/>
      </w:pPr>
      <w:r>
        <w:rPr>
          <w:rFonts w:ascii="Arial" w:hAnsi="Arial" w:cs="Arial" w:eastAsia="Arial"/>
          <w:b w:val="0"/>
          <w:i w:val="0"/>
          <w:sz w:val="16"/>
        </w:rPr>
        <w:t>[18] Strateji ve Bütçe Başkanlığı. (2023). On İkinci Kalkınma Planı (2024-2028) (TBMM Karar No. 1396, 31.10.2023). https://www.sbb.gov.tr/wp-content/uploads/2023/12/On-Ikinci-Kalkinma-Plani_2024-2028_11122023.pdf</w:t>
      </w:r>
    </w:p>
    <w:p>
      <w:pPr>
        <w:widowControl/>
        <w:spacing w:after="20" w:before="0"/>
        <w:ind w:left="400" w:hanging="400"/>
        <w:jc w:val="left"/>
      </w:pPr>
      <w:r>
        <w:rPr>
          <w:rFonts w:ascii="Arial" w:hAnsi="Arial" w:cs="Arial" w:eastAsia="Arial"/>
          <w:b w:val="0"/>
          <w:i w:val="0"/>
          <w:sz w:val="16"/>
        </w:rPr>
        <w:t>[19] Sanayi ve Teknoloji Bakanlığı. (2025). 2030 Sanayi ve Teknoloji Stratejisi. Stratejik Araştırmalar ve Verimlilik Genel Müdürlüğü. https://www.sanayi.gov.tr/assets/pdf/plan-program/2030SanayiveTeknolojiStratejisi.pdf</w:t>
      </w:r>
    </w:p>
    <w:p>
      <w:pPr>
        <w:widowControl/>
        <w:spacing w:after="20" w:before="0"/>
        <w:ind w:left="400" w:hanging="400"/>
        <w:jc w:val="left"/>
      </w:pPr>
      <w:r>
        <w:rPr>
          <w:rFonts w:ascii="Arial" w:hAnsi="Arial" w:cs="Arial" w:eastAsia="Arial"/>
          <w:b w:val="0"/>
          <w:i w:val="0"/>
          <w:sz w:val="16"/>
        </w:rPr>
        <w:t>[20] Türkiye Bilimsel ve Teknolojik Araştırma Kurumu. (2025). Öncelikli Alanlar (2025-2). https://www.tubitak.gov.tr/sites/default/files/2025-07/Oncelikli_Alanlar_2025-2.pdf</w:t>
      </w:r>
    </w:p>
    <w:p>
      <w:pPr>
        <w:widowControl/>
        <w:spacing w:after="20" w:before="0"/>
        <w:ind w:left="400" w:hanging="400"/>
        <w:jc w:val="left"/>
      </w:pPr>
      <w:r>
        <w:rPr>
          <w:rFonts w:ascii="Arial" w:hAnsi="Arial" w:cs="Arial" w:eastAsia="Arial"/>
          <w:b w:val="0"/>
          <w:i w:val="0"/>
          <w:sz w:val="16"/>
        </w:rPr>
        <w:t>[21] Cumhurbaşkanlığı Dijital Dönüşüm Ofisi ve Sanayi ve Teknoloji Bakanlığı. (2021). Ulusal Yapay Zekâ Stratejisi 2021-2025. https://cbddo.gov.tr/uyzs</w:t>
      </w:r>
    </w:p>
    <w:p>
      <w:pPr>
        <w:widowControl/>
        <w:spacing w:after="40"/>
      </w:pPr>
      <w:r>
        <w:rPr>
          <w:rFonts w:ascii="Arial" w:hAnsi="Arial" w:cs="Arial" w:eastAsia="Arial"/>
          <w:b w:val="0"/>
          <w:i w:val="0"/>
          <w:sz w:val="18"/>
        </w:rPr>
      </w:r>
    </w:p>
    <w:p>
      <w:pPr>
        <w:widowControl/>
        <w:spacing w:after="40"/>
      </w:pPr>
      <w:r>
        <w:rPr>
          <w:rFonts w:ascii="Arial" w:hAnsi="Arial" w:cs="Arial" w:eastAsia="Arial"/>
          <w:b/>
          <w:i w:val="0"/>
          <w:sz w:val="18"/>
        </w:rPr>
        <w:t>EK-2:  TAHMİNİ BÜTÇE</w:t>
      </w:r>
    </w:p>
    <w:tbl>
      <w:tblPr>
        <w:tblStyle w:val="TabloKlavuzu"/>
        <w:tblW w:type="auto" w:w="0"/>
        <w:tblLook w:firstColumn="1" w:firstRow="1" w:lastColumn="0" w:lastRow="0" w:noHBand="0" w:noVBand="1" w:val="04A0"/>
      </w:tblPr>
      <w:tblGrid>
        <w:gridCol w:w="3023"/>
        <w:gridCol w:w="3023"/>
        <w:gridCol w:w="3023"/>
      </w:tblGrid>
      <w:tr>
        <w:tc>
          <w:tcPr>
            <w:tcW w:type="dxa" w:w="3023"/>
          </w:tcPr>
          <w:p>
            <w:pPr>
              <w:widowControl/>
              <w:spacing w:after="40" w:before="0"/>
            </w:pPr>
            <w:r>
              <w:rPr>
                <w:rFonts w:ascii="Arial" w:hAnsi="Arial" w:cs="Arial" w:eastAsia="Arial"/>
                <w:b/>
                <w:i w:val="0"/>
                <w:sz w:val="16"/>
              </w:rPr>
              <w:t>Gider Kalemi</w:t>
            </w:r>
          </w:p>
        </w:tc>
        <w:tc>
          <w:tcPr>
            <w:tcW w:type="dxa" w:w="3023"/>
          </w:tcPr>
          <w:p>
            <w:pPr>
              <w:widowControl/>
              <w:spacing w:after="40" w:before="0"/>
            </w:pPr>
            <w:r>
              <w:rPr>
                <w:rFonts w:ascii="Arial" w:hAnsi="Arial" w:cs="Arial" w:eastAsia="Arial"/>
                <w:b/>
                <w:i w:val="0"/>
                <w:sz w:val="16"/>
              </w:rPr>
              <w:t>Açıklama ve Gerekçe</w:t>
            </w:r>
          </w:p>
        </w:tc>
        <w:tc>
          <w:tcPr>
            <w:tcW w:type="dxa" w:w="3023"/>
          </w:tcPr>
          <w:p>
            <w:pPr>
              <w:widowControl/>
              <w:spacing w:after="40" w:before="0"/>
            </w:pPr>
            <w:r>
              <w:rPr>
                <w:rFonts w:ascii="Arial" w:hAnsi="Arial" w:cs="Arial" w:eastAsia="Arial"/>
                <w:b/>
                <w:i w:val="0"/>
                <w:sz w:val="16"/>
              </w:rPr>
              <w:t>Tutar (TL)</w:t>
            </w:r>
          </w:p>
        </w:tc>
      </w:tr>
      <w:tr>
        <w:tc>
          <w:tcPr>
            <w:tcW w:type="dxa" w:w="3023"/>
          </w:tcPr>
          <w:p>
            <w:pPr>
              <w:widowControl/>
              <w:spacing w:after="40" w:before="0"/>
            </w:pPr>
            <w:r>
              <w:rPr>
                <w:rFonts w:ascii="Arial" w:hAnsi="Arial" w:cs="Arial" w:eastAsia="Arial"/>
                <w:b w:val="0"/>
                <w:i w:val="0"/>
                <w:sz w:val="16"/>
              </w:rPr>
              <w:t>Hizmet alımı</w:t>
            </w:r>
          </w:p>
        </w:tc>
        <w:tc>
          <w:tcPr>
            <w:tcW w:type="dxa" w:w="3023"/>
          </w:tcPr>
          <w:p>
            <w:pPr>
              <w:widowControl/>
              <w:spacing w:after="40" w:before="0"/>
              <w:jc w:val="both"/>
            </w:pPr>
            <w:r>
              <w:rPr>
                <w:rFonts w:ascii="Arial" w:hAnsi="Arial" w:cs="Arial" w:eastAsia="Arial"/>
                <w:b w:val="0"/>
                <w:i w:val="0"/>
                <w:sz w:val="16"/>
              </w:rPr>
              <w:t>Bağımsız kör değerlendirme: 300 iddia tam çapraz desende üç değerlendiricice yargılanır; biri ücretlendirilir (300 yargı), ikisi gönüllü katkı verir. Ücretli hizmet 100'erlik üç partide alınır; nitelik belgelemesi 2.2'dedir. — GEREKÇE: H4, ölçütün sistemden ve ekipten bağımsız olmasını zorunlu kılar. Birim bedel (yargı başına 14 TL), 3-4 dakikalık yargı süresi ve üç yazılı ön fiyat teklifinin ortalamasıyla belirlenmiş, teklifler dosyada saklanmıştır; tutar yetmezse iddia sayısı 300'den aşağı çekilmez; sarf kaleminden aktarım yapılır ve kural ön-kayıtta sabittir. Gönüllü değerlendiricilerden biri ayrılır ve danışmanın bölümünden yerine biri bulunamazsa üçüncü değerlendirici bütçeden karşılanamaz: desen üç değerlendiriciden ikiye iner, uyum Krippendorff alfa yerine Cohen kappa ile raporlanır ve H4 keşifsel etiketlenir. Bu sonuç ön-kayıtta sabittir.</w:t>
            </w:r>
          </w:p>
        </w:tc>
        <w:tc>
          <w:tcPr>
            <w:tcW w:type="dxa" w:w="3023"/>
          </w:tcPr>
          <w:p>
            <w:pPr>
              <w:widowControl/>
              <w:spacing w:after="40" w:before="0"/>
            </w:pPr>
            <w:r>
              <w:rPr>
                <w:rFonts w:ascii="Arial" w:hAnsi="Arial" w:cs="Arial" w:eastAsia="Arial"/>
                <w:b w:val="0"/>
                <w:i w:val="0"/>
                <w:sz w:val="16"/>
              </w:rPr>
              <w:t>4.200</w:t>
            </w:r>
          </w:p>
        </w:tc>
      </w:tr>
      <w:tr>
        <w:tc>
          <w:tcPr>
            <w:tcW w:type="dxa" w:w="3023"/>
          </w:tcPr>
          <w:p>
            <w:pPr>
              <w:widowControl/>
              <w:spacing w:after="40" w:before="0"/>
            </w:pPr>
            <w:r>
              <w:rPr>
                <w:rFonts w:ascii="Arial" w:hAnsi="Arial" w:cs="Arial" w:eastAsia="Arial"/>
                <w:b w:val="0"/>
                <w:i w:val="0"/>
                <w:sz w:val="16"/>
              </w:rPr>
              <w:t>Hizmet alımı</w:t>
            </w:r>
          </w:p>
        </w:tc>
        <w:tc>
          <w:tcPr>
            <w:tcW w:type="dxa" w:w="3023"/>
          </w:tcPr>
          <w:p>
            <w:pPr>
              <w:widowControl/>
              <w:spacing w:after="40" w:before="0"/>
              <w:jc w:val="both"/>
            </w:pPr>
            <w:r>
              <w:rPr>
                <w:rFonts w:ascii="Arial" w:hAnsi="Arial" w:cs="Arial" w:eastAsia="Arial"/>
                <w:b w:val="0"/>
                <w:i w:val="0"/>
                <w:sz w:val="16"/>
              </w:rPr>
              <w:t>Bulut dil modeli erişim ve kullanım bedeli. Hacim: 3.600 (D1 gövdesi ve sağlayıcı bloğu) + 1.080 (eşik süpürmesi) + 840 (müzakere ablasyonu) + 720 (replikasyon) + 560 (dış geçerlilik, taban yeniden koşumu ve maliyet pilotu) = 6.800 model çağrılı koşum. — GEREKÇE: Model içeren üç kol bu erişim olmadan koşulamaz. Tavan koşum başına 0,63 TL varsayar; premium katman yalnız bir blok seviyesinde ve 80 belgelik alt kümede kullanılır. Ölçülen uçtan uca süre belge başına ~84 saniye, makine süresi 200-500 saat; koşumlar gözetimsizdir. Tutar, İP2 başındaki pilotla ölçülecek maliyete bağlanan üst sınırdır ve yalnız-ekleme harcama defteriyle sınırlanır. Kalemde ayrı bir pay tutulmaz: 6.800 x 0,63 = 4.284 TL bu tavanı doldurur. H2 için koşullu genişletme öngörülmediğinden ek koşum yükü yoktur; tavan yine de aşılırsa 2.1'deki azaltma sırası uygulanır.</w:t>
            </w:r>
          </w:p>
        </w:tc>
        <w:tc>
          <w:tcPr>
            <w:tcW w:type="dxa" w:w="3023"/>
          </w:tcPr>
          <w:p>
            <w:pPr>
              <w:widowControl/>
              <w:spacing w:after="40" w:before="0"/>
            </w:pPr>
            <w:r>
              <w:rPr>
                <w:rFonts w:ascii="Arial" w:hAnsi="Arial" w:cs="Arial" w:eastAsia="Arial"/>
                <w:b w:val="0"/>
                <w:i w:val="0"/>
                <w:sz w:val="16"/>
              </w:rPr>
              <w:t>4.300</w:t>
            </w:r>
          </w:p>
        </w:tc>
      </w:tr>
      <w:tr>
        <w:tc>
          <w:tcPr>
            <w:tcW w:type="dxa" w:w="3023"/>
          </w:tcPr>
          <w:p>
            <w:pPr>
              <w:widowControl/>
              <w:spacing w:after="40" w:before="0"/>
            </w:pPr>
            <w:r>
              <w:rPr>
                <w:rFonts w:ascii="Arial" w:hAnsi="Arial" w:cs="Arial" w:eastAsia="Arial"/>
                <w:b w:val="0"/>
                <w:i w:val="0"/>
                <w:sz w:val="16"/>
              </w:rPr>
              <w:t>Hizmet alımı</w:t>
            </w:r>
          </w:p>
        </w:tc>
        <w:tc>
          <w:tcPr>
            <w:tcW w:type="dxa" w:w="3023"/>
          </w:tcPr>
          <w:p>
            <w:pPr>
              <w:widowControl/>
              <w:spacing w:after="40" w:before="0"/>
              <w:jc w:val="both"/>
            </w:pPr>
            <w:r>
              <w:rPr>
                <w:rFonts w:ascii="Arial" w:hAnsi="Arial" w:cs="Arial" w:eastAsia="Arial"/>
                <w:b w:val="0"/>
                <w:i w:val="0"/>
                <w:sz w:val="16"/>
              </w:rPr>
              <w:t>Yeniden üretim paketinin ekip dışı bağımsız bir kişice koşturulması ve sapma raporu. — GEREKÇE: İP5'in başarı ölçütü (deterministik metriklerin %1'den az sapmayla yeniden üretilmesi) ekip dışı doğrulayıcı olmadan sınanamaz.</w:t>
            </w:r>
          </w:p>
        </w:tc>
        <w:tc>
          <w:tcPr>
            <w:tcW w:type="dxa" w:w="3023"/>
          </w:tcPr>
          <w:p>
            <w:pPr>
              <w:widowControl/>
              <w:spacing w:after="40" w:before="0"/>
            </w:pPr>
            <w:r>
              <w:rPr>
                <w:rFonts w:ascii="Arial" w:hAnsi="Arial" w:cs="Arial" w:eastAsia="Arial"/>
                <w:b w:val="0"/>
                <w:i w:val="0"/>
                <w:sz w:val="16"/>
              </w:rPr>
              <w:t>1.500</w:t>
            </w:r>
          </w:p>
        </w:tc>
      </w:tr>
      <w:tr>
        <w:tc>
          <w:tcPr>
            <w:tcW w:type="dxa" w:w="3023"/>
          </w:tcPr>
          <w:p>
            <w:pPr>
              <w:widowControl/>
              <w:spacing w:after="40" w:before="0"/>
            </w:pPr>
            <w:r>
              <w:rPr>
                <w:rFonts w:ascii="Arial" w:hAnsi="Arial" w:cs="Arial" w:eastAsia="Arial"/>
                <w:b w:val="0"/>
                <w:i w:val="0"/>
                <w:sz w:val="16"/>
              </w:rPr>
              <w:t>Sarf malzemesi</w:t>
            </w:r>
          </w:p>
        </w:tc>
        <w:tc>
          <w:tcPr>
            <w:tcW w:type="dxa" w:w="3023"/>
          </w:tcPr>
          <w:p>
            <w:pPr>
              <w:widowControl/>
              <w:spacing w:after="40" w:before="0"/>
              <w:jc w:val="both"/>
            </w:pPr>
            <w:r>
              <w:rPr>
                <w:rFonts w:ascii="Arial" w:hAnsi="Arial" w:cs="Arial" w:eastAsia="Arial"/>
                <w:b w:val="0"/>
                <w:i w:val="0"/>
                <w:sz w:val="16"/>
              </w:rPr>
              <w:t>Veri saklama ve yedekleme ortamı; 50 belgenin baskı-tarama gideri; kör değerlendirme materyalinin çoğaltılması ve kırtasiye. — GEREKÇE: Yedekli saklama yeniden üretilebilirliğin, baskı-tarama ise bozma çapasının ön koşuludur.</w:t>
            </w:r>
          </w:p>
        </w:tc>
        <w:tc>
          <w:tcPr>
            <w:tcW w:type="dxa" w:w="3023"/>
          </w:tcPr>
          <w:p>
            <w:pPr>
              <w:widowControl/>
              <w:spacing w:after="40" w:before="0"/>
            </w:pPr>
            <w:r>
              <w:rPr>
                <w:rFonts w:ascii="Arial" w:hAnsi="Arial" w:cs="Arial" w:eastAsia="Arial"/>
                <w:b w:val="0"/>
                <w:i w:val="0"/>
                <w:sz w:val="16"/>
              </w:rPr>
              <w:t>1.000</w:t>
            </w:r>
          </w:p>
        </w:tc>
      </w:tr>
      <w:tr>
        <w:tc>
          <w:tcPr>
            <w:tcW w:type="dxa" w:w="3023"/>
          </w:tcPr>
          <w:p>
            <w:pPr>
              <w:widowControl/>
              <w:spacing w:after="40" w:before="0"/>
            </w:pPr>
            <w:r>
              <w:rPr>
                <w:rFonts w:ascii="Arial" w:hAnsi="Arial" w:cs="Arial" w:eastAsia="Arial"/>
                <w:b/>
                <w:i w:val="0"/>
                <w:sz w:val="16"/>
              </w:rPr>
              <w:t>TOPLAM</w:t>
            </w:r>
          </w:p>
        </w:tc>
        <w:tc>
          <w:tcPr>
            <w:tcW w:type="dxa" w:w="3023"/>
          </w:tcPr>
          <w:p>
            <w:pPr>
              <w:widowControl/>
              <w:spacing w:after="40" w:before="0"/>
            </w:pPr>
            <w:r>
              <w:rPr>
                <w:rFonts w:ascii="Arial" w:hAnsi="Arial" w:cs="Arial" w:eastAsia="Arial"/>
                <w:b w:val="0"/>
                <w:i w:val="0"/>
                <w:sz w:val="18"/>
              </w:rPr>
            </w:r>
          </w:p>
        </w:tc>
        <w:tc>
          <w:tcPr>
            <w:tcW w:type="dxa" w:w="3023"/>
          </w:tcPr>
          <w:p>
            <w:pPr>
              <w:widowControl/>
              <w:spacing w:after="40" w:before="0"/>
            </w:pPr>
            <w:r>
              <w:rPr>
                <w:rFonts w:ascii="Arial" w:hAnsi="Arial" w:cs="Arial" w:eastAsia="Arial"/>
                <w:b/>
                <w:i w:val="0"/>
                <w:sz w:val="16"/>
              </w:rPr>
              <w:t>11.000</w:t>
            </w:r>
          </w:p>
        </w:tc>
      </w:tr>
    </w:tbl>
    <w:sectPr w:rsidR="006F7368">
      <w:headerReference w:type="default" r:id="rId11"/>
      <w:footerReference w:type="default" r:id="rId12"/>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21CAB2" w14:textId="77777777" w:rsidR="003C45CC" w:rsidRDefault="003C45CC">
      <w:r>
        <w:separator/>
      </w:r>
    </w:p>
  </w:endnote>
  <w:endnote w:type="continuationSeparator" w:id="0">
    <w:p w14:paraId="42AA1059" w14:textId="77777777" w:rsidR="003C45CC" w:rsidRDefault="003C45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Liberation Sans">
    <w:altName w:val="Arial"/>
    <w:panose1 w:val="020B0604020202020204"/>
    <w:charset w:val="A2"/>
    <w:family w:val="swiss"/>
    <w:pitch w:val="variable"/>
    <w:sig w:usb0="E0000AFF" w:usb1="500078FF" w:usb2="00000021" w:usb3="00000000" w:csb0="000001BF" w:csb1="00000000"/>
  </w:font>
  <w:font w:name="DejaVu Sans">
    <w:panose1 w:val="020B0603030804020204"/>
    <w:charset w:val="A2"/>
    <w:family w:val="swiss"/>
    <w:pitch w:val="variable"/>
    <w:sig w:usb0="E7002EFF" w:usb1="D200FDFF" w:usb2="0A246029" w:usb3="00000000" w:csb0="000001FF" w:csb1="00000000"/>
  </w:font>
  <w:font w:name="FreeSans">
    <w:altName w:val="Times New Roman"/>
    <w:charset w:val="00"/>
    <w:family w:val="auto"/>
    <w:pitch w:val="variable"/>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174B42"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0B81EDA2" w14:textId="77777777">
      <w:trPr>
        <w:trHeight w:val="269"/>
      </w:trPr>
      <w:tc>
        <w:tcPr>
          <w:tcW w:w="5207" w:type="dxa"/>
          <w:shd w:val="clear" w:color="auto" w:fill="auto"/>
        </w:tcPr>
        <w:p w14:paraId="30AF220E" w14:textId="77777777" w:rsidR="006F7368" w:rsidRDefault="006F7368">
          <w:pPr>
            <w:pStyle w:val="AltBilgi"/>
            <w:rPr>
              <w:lang w:val="tr-TR"/>
            </w:rPr>
          </w:pPr>
        </w:p>
      </w:tc>
      <w:tc>
        <w:tcPr>
          <w:tcW w:w="5167" w:type="dxa"/>
          <w:shd w:val="clear" w:color="auto" w:fill="auto"/>
        </w:tcPr>
        <w:p w14:paraId="49BA4F53" w14:textId="64149CEE" w:rsidR="006F7368" w:rsidRDefault="002E7A1C">
          <w:pPr>
            <w:pStyle w:val="AltBilgi"/>
            <w:jc w:val="right"/>
          </w:pPr>
          <w:r>
            <w:fldChar w:fldCharType="begin"/>
          </w:r>
          <w:r>
            <w:instrText>PAGE</w:instrText>
          </w:r>
          <w:r>
            <w:fldChar w:fldCharType="separate"/>
          </w:r>
          <w:r w:rsidR="00915EE1">
            <w:rPr>
              <w:noProof/>
            </w:rPr>
            <w:t>3</w:t>
          </w:r>
          <w:r>
            <w:fldChar w:fldCharType="end"/>
          </w:r>
        </w:p>
      </w:tc>
    </w:tr>
  </w:tbl>
  <w:p w14:paraId="12862876" w14:textId="77777777" w:rsidR="006F7368" w:rsidRDefault="002E7A1C">
    <w:pPr>
      <w:pStyle w:val="AltBilgi"/>
      <w:jc w:val="right"/>
    </w:pPr>
    <w:r>
      <w:t xml:space="preserve"> </w:t>
    </w:r>
  </w:p>
  <w:p w14:paraId="3FCAEAB8" w14:textId="77777777" w:rsidR="006F7368" w:rsidRDefault="006F7368">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21B6F3"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66B80A67" w14:textId="77777777">
      <w:trPr>
        <w:trHeight w:val="269"/>
      </w:trPr>
      <w:tc>
        <w:tcPr>
          <w:tcW w:w="5207" w:type="dxa"/>
          <w:shd w:val="clear" w:color="auto" w:fill="auto"/>
        </w:tcPr>
        <w:p w14:paraId="7A74755F" w14:textId="77777777" w:rsidR="006F7368" w:rsidRDefault="006F7368">
          <w:pPr>
            <w:pStyle w:val="AltBilgi"/>
            <w:rPr>
              <w:lang w:val="tr-TR"/>
            </w:rPr>
          </w:pPr>
        </w:p>
      </w:tc>
      <w:tc>
        <w:tcPr>
          <w:tcW w:w="5167" w:type="dxa"/>
          <w:shd w:val="clear" w:color="auto" w:fill="auto"/>
        </w:tcPr>
        <w:p w14:paraId="60C7A955" w14:textId="651A0749" w:rsidR="006F7368" w:rsidRDefault="002E7A1C">
          <w:pPr>
            <w:pStyle w:val="AltBilgi"/>
            <w:jc w:val="right"/>
          </w:pPr>
          <w:r>
            <w:fldChar w:fldCharType="begin"/>
          </w:r>
          <w:r>
            <w:instrText>PAGE</w:instrText>
          </w:r>
          <w:r>
            <w:fldChar w:fldCharType="separate"/>
          </w:r>
          <w:r w:rsidR="00915EE1">
            <w:rPr>
              <w:noProof/>
            </w:rPr>
            <w:t>5</w:t>
          </w:r>
          <w:r>
            <w:fldChar w:fldCharType="end"/>
          </w:r>
        </w:p>
      </w:tc>
    </w:tr>
  </w:tbl>
  <w:p w14:paraId="3D73FA2B" w14:textId="77777777" w:rsidR="006F7368" w:rsidRDefault="002E7A1C">
    <w:pPr>
      <w:pStyle w:val="AltBilgi"/>
      <w:jc w:val="right"/>
    </w:pPr>
    <w:r>
      <w:t xml:space="preserve"> </w:t>
    </w:r>
  </w:p>
  <w:p w14:paraId="25511AEA" w14:textId="77777777" w:rsidR="006F7368" w:rsidRDefault="006F736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E1A1C1" w14:textId="77777777" w:rsidR="003C45CC" w:rsidRDefault="003C45CC">
      <w:r>
        <w:separator/>
      </w:r>
    </w:p>
  </w:footnote>
  <w:footnote w:type="continuationSeparator" w:id="0">
    <w:p w14:paraId="3F19C4EC" w14:textId="77777777" w:rsidR="003C45CC" w:rsidRDefault="003C45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412754" w14:textId="3562C988" w:rsidR="006F7368" w:rsidRDefault="00915EE1">
    <w:pPr>
      <w:pStyle w:val="GvdeMetni"/>
      <w:ind w:right="565"/>
      <w:jc w:val="center"/>
      <w:rPr>
        <w:rFonts w:cs="Arial"/>
        <w:b w:val="0"/>
        <w:bCs/>
        <w:color w:val="0F243E"/>
        <w:sz w:val="20"/>
      </w:rPr>
    </w:pPr>
    <w:r>
      <w:rPr>
        <w:rStyle w:val="Gl"/>
        <w:rFonts w:cs="Arial"/>
        <w:b/>
        <w:color w:val="0F243E"/>
        <w:sz w:val="20"/>
        <w:lang w:val="tr-TR"/>
      </w:rPr>
      <w:t>2209-</w:t>
    </w:r>
    <w:r w:rsidR="002E7A1C">
      <w:rPr>
        <w:rStyle w:val="Gl"/>
        <w:rFonts w:cs="Arial"/>
        <w:b/>
        <w:color w:val="0F243E"/>
        <w:sz w:val="20"/>
        <w:lang w:val="tr-TR"/>
      </w:rPr>
      <w:t>A ÜNİVERSİTE ÖĞRENCİ</w:t>
    </w:r>
    <w:r>
      <w:rPr>
        <w:rStyle w:val="Gl"/>
        <w:rFonts w:cs="Arial"/>
        <w:b/>
        <w:color w:val="0F243E"/>
        <w:sz w:val="20"/>
        <w:lang w:val="tr-TR"/>
      </w:rPr>
      <w:t>LERİ ARAŞTIRMA PROJELERİ DESTEKLEME</w:t>
    </w:r>
    <w:r w:rsidR="002E7A1C">
      <w:rPr>
        <w:rStyle w:val="Gl"/>
        <w:rFonts w:cs="Arial"/>
        <w:b/>
        <w:color w:val="0F243E"/>
        <w:sz w:val="20"/>
      </w:rPr>
      <w:t xml:space="preserve"> PROGRAMI ARAŞTIRMA ÖNERİSİ</w:t>
    </w:r>
    <w:r w:rsidR="002E7A1C">
      <w:rPr>
        <w:rFonts w:cs="Arial"/>
        <w:color w:val="0F243E"/>
        <w:sz w:val="20"/>
      </w:rPr>
      <w:t xml:space="preserve"> FORMU</w:t>
    </w:r>
  </w:p>
  <w:p w14:paraId="5A8E9D74" w14:textId="77777777" w:rsidR="006F7368" w:rsidRDefault="002E7A1C">
    <w:pPr>
      <w:pStyle w:val="stBilgi"/>
    </w:pPr>
    <w:r>
      <w:rPr>
        <w:noProof/>
        <w:lang w:val="tr-TR"/>
      </w:rPr>
      <mc:AlternateContent>
        <mc:Choice Requires="wps">
          <w:drawing>
            <wp:anchor distT="0" distB="0" distL="0" distR="0" simplePos="0" relativeHeight="4" behindDoc="1" locked="0" layoutInCell="1" allowOverlap="1" wp14:anchorId="4FE65803" wp14:editId="52CB3B7D">
              <wp:simplePos x="0" y="0"/>
              <wp:positionH relativeFrom="column">
                <wp:posOffset>-45085</wp:posOffset>
              </wp:positionH>
              <wp:positionV relativeFrom="paragraph">
                <wp:posOffset>85725</wp:posOffset>
              </wp:positionV>
              <wp:extent cx="5787390" cy="4445"/>
              <wp:effectExtent l="26670" t="27940" r="47625" b="48260"/>
              <wp:wrapNone/>
              <wp:docPr id="2"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80F993B" id="AutoShape 1" o:spid="_x0000_s1026" style="position:absolute;margin-left:-3.55pt;margin-top:6.75pt;width:455.7pt;height:.35pt;z-index:-503316476;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" path="m,l21600,21600e" filled="f" strokecolor="#8db3e2" strokeweight="1.06mm">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31956B" w14:textId="77777777" w:rsidR="006F7368" w:rsidRDefault="002E7A1C">
    <w:pPr>
      <w:pStyle w:val="GvdeMetni"/>
      <w:ind w:right="565"/>
      <w:jc w:val="center"/>
    </w:pPr>
    <w:r>
      <w:rPr>
        <w:rStyle w:val="Gl"/>
        <w:rFonts w:cs="Arial"/>
        <w:b/>
        <w:color w:val="0F243E"/>
        <w:sz w:val="20"/>
        <w:lang w:val="tr-TR"/>
      </w:rPr>
      <w:t>2209/A ÜNİVERSİTE ÖĞRENCİLERİ ARAŞTIRMA PROJELERİ DESTEĞİ</w:t>
    </w:r>
    <w:r>
      <w:rPr>
        <w:rStyle w:val="Gl"/>
        <w:rFonts w:cs="Arial"/>
        <w:b/>
        <w:color w:val="0F243E"/>
        <w:sz w:val="20"/>
      </w:rPr>
      <w:t xml:space="preserve"> PROGRAMI ARAŞTIRMA ÖNERİSİ</w:t>
    </w:r>
    <w:r>
      <w:rPr>
        <w:rFonts w:cs="Arial"/>
        <w:color w:val="0F243E"/>
        <w:sz w:val="20"/>
      </w:rPr>
      <w:t xml:space="preserve"> FORMU</w:t>
    </w:r>
  </w:p>
  <w:p w14:paraId="733E2054" w14:textId="77777777" w:rsidR="006F7368" w:rsidRDefault="002E7A1C">
    <w:pPr>
      <w:pStyle w:val="stBilgi"/>
    </w:pPr>
    <w:r>
      <w:rPr>
        <w:noProof/>
        <w:lang w:val="tr-TR"/>
      </w:rPr>
      <mc:AlternateContent>
        <mc:Choice Requires="wps">
          <w:drawing>
            <wp:anchor distT="0" distB="0" distL="0" distR="0" simplePos="0" relativeHeight="8" behindDoc="1" locked="0" layoutInCell="1" allowOverlap="1" wp14:anchorId="59B6006D" wp14:editId="363B4385">
              <wp:simplePos x="0" y="0"/>
              <wp:positionH relativeFrom="column">
                <wp:posOffset>-45085</wp:posOffset>
              </wp:positionH>
              <wp:positionV relativeFrom="paragraph">
                <wp:posOffset>85725</wp:posOffset>
              </wp:positionV>
              <wp:extent cx="5787390" cy="4445"/>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27946F3D" id="AutoShape 1" o:spid="_x0000_s1026" style="position:absolute;margin-left:-3.55pt;margin-top:6.75pt;width:455.7pt;height:.35pt;z-index:-503316472;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JH/4GppAgAAbgUAAA4AAAAAAAAAAAAAAAAALgIA&#10;AGRycy9lMm9Eb2MueG1sUEsBAi0AFAAGAAgAAAAhAHGkut/eAAAACAEAAA8AAAAAAAAAAAAAAAAA&#10;wwQAAGRycy9kb3ducmV2LnhtbFBLBQYAAAAABAAEAPMAAADOBQAAAAA=&#10;" path="m,l21600,21600e" filled="f" strokecolor="#8db3e2" strokeweight="1.06mm">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B5F3481"/>
    <w:multiLevelType w:val="multilevel"/>
    <w:tmpl w:val="E5EE9E76"/>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3" w15:restartNumberingAfterBreak="0">
    <w:nsid w:val="5D915938"/>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15F26B9"/>
    <w:multiLevelType w:val="multilevel"/>
    <w:tmpl w:val="8332B64A"/>
    <w:lvl w:ilvl="0">
      <w:start w:val="1"/>
      <w:numFmt w:val="decimal"/>
      <w:pStyle w:val="Balk1"/>
      <w:lvlText w:val="%1."/>
      <w:lvlJc w:val="left"/>
      <w:pPr>
        <w:tabs>
          <w:tab w:val="num" w:pos="360"/>
        </w:tabs>
        <w:ind w:left="360" w:hanging="360"/>
      </w:pPr>
      <w:rPr>
        <w:i w:val="0"/>
      </w:rPr>
    </w:lvl>
    <w:lvl w:ilvl="1">
      <w:start w:val="1"/>
      <w:numFmt w:val="decimal"/>
      <w:pStyle w:val="Balk2"/>
      <w:lvlText w:val="%1.%2."/>
      <w:lvlJc w:val="left"/>
      <w:pPr>
        <w:tabs>
          <w:tab w:val="num" w:pos="792"/>
        </w:tabs>
        <w:ind w:left="792" w:hanging="432"/>
      </w:pPr>
      <w:rPr>
        <w:color w:val="000000"/>
      </w:rPr>
    </w:lvl>
    <w:lvl w:ilvl="2">
      <w:start w:val="1"/>
      <w:numFmt w:val="decimal"/>
      <w:pStyle w:val="Balk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abstractNumId w:val="5"/>
  </w:num>
  <w:num w:numId="2">
    <w:abstractNumId w:val="3"/>
  </w:num>
  <w:num w:numId="3">
    <w:abstractNumId w:val="1"/>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7368"/>
    <w:rsid w:val="00013443"/>
    <w:rsid w:val="00095E72"/>
    <w:rsid w:val="000D0AB4"/>
    <w:rsid w:val="000E39BE"/>
    <w:rsid w:val="00167EEB"/>
    <w:rsid w:val="00190A53"/>
    <w:rsid w:val="001B2CDB"/>
    <w:rsid w:val="001D4C6B"/>
    <w:rsid w:val="001D640E"/>
    <w:rsid w:val="002E7A1C"/>
    <w:rsid w:val="003C45CC"/>
    <w:rsid w:val="004D3240"/>
    <w:rsid w:val="005F7B8C"/>
    <w:rsid w:val="006B0518"/>
    <w:rsid w:val="006B23BC"/>
    <w:rsid w:val="006B2F1A"/>
    <w:rsid w:val="006F7368"/>
    <w:rsid w:val="00725BCE"/>
    <w:rsid w:val="00872E18"/>
    <w:rsid w:val="00915EE1"/>
    <w:rsid w:val="009878FA"/>
    <w:rsid w:val="009E0FDF"/>
    <w:rsid w:val="009F1A4E"/>
    <w:rsid w:val="00A17861"/>
    <w:rsid w:val="00A5160F"/>
    <w:rsid w:val="00B24604"/>
    <w:rsid w:val="00BB5D2F"/>
    <w:rsid w:val="00BF4E8B"/>
    <w:rsid w:val="00C05F64"/>
    <w:rsid w:val="00C54348"/>
    <w:rsid w:val="00D14A33"/>
    <w:rsid w:val="00DD7535"/>
    <w:rsid w:val="00EC31DF"/>
    <w:rsid w:val="00F94A1F"/>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D9007"/>
  <w15:docId w15:val="{EBFF2AED-7C8E-4EEE-8BD2-6B835C27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051E"/>
    <w:pPr>
      <w:widowControl w:val="0"/>
    </w:pPr>
    <w:rPr>
      <w:rFonts w:ascii="Times New Roman" w:eastAsia="Times New Roman" w:hAnsi="Times New Roman"/>
    </w:rPr>
  </w:style>
  <w:style w:type="paragraph" w:styleId="Balk1">
    <w:name w:val="heading 1"/>
    <w:basedOn w:val="Normal"/>
    <w:next w:val="Normal"/>
    <w:link w:val="Balk1Char"/>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Balk2">
    <w:name w:val="heading 2"/>
    <w:basedOn w:val="Normal"/>
    <w:next w:val="Normal"/>
    <w:link w:val="Balk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Balk3">
    <w:name w:val="heading 3"/>
    <w:basedOn w:val="Normal"/>
    <w:next w:val="Normal"/>
    <w:link w:val="Balk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Balk5">
    <w:name w:val="heading 5"/>
    <w:basedOn w:val="Normal"/>
    <w:next w:val="Normal"/>
    <w:link w:val="Balk5Char"/>
    <w:uiPriority w:val="9"/>
    <w:semiHidden/>
    <w:unhideWhenUsed/>
    <w:qFormat/>
    <w:rsid w:val="00DB7C75"/>
    <w:pPr>
      <w:spacing w:before="240" w:after="60"/>
      <w:outlineLvl w:val="4"/>
    </w:pPr>
    <w:rPr>
      <w:rFonts w:ascii="Calibri" w:hAnsi="Calibri"/>
      <w:b/>
      <w:bCs/>
      <w:i/>
      <w:iCs/>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AltBilgiChar">
    <w:name w:val="Alt Bilgi Char"/>
    <w:link w:val="AltBilgi"/>
    <w:uiPriority w:val="99"/>
    <w:qFormat/>
    <w:rsid w:val="00A6051E"/>
    <w:rPr>
      <w:rFonts w:ascii="Times New Roman" w:eastAsia="Times New Roman" w:hAnsi="Times New Roman" w:cs="Times New Roman"/>
      <w:sz w:val="20"/>
      <w:szCs w:val="20"/>
      <w:lang w:eastAsia="tr-TR"/>
    </w:rPr>
  </w:style>
  <w:style w:type="character" w:customStyle="1" w:styleId="BalonMetniChar">
    <w:name w:val="Balon Metni Char"/>
    <w:link w:val="BalonMetni"/>
    <w:uiPriority w:val="99"/>
    <w:semiHidden/>
    <w:qFormat/>
    <w:rsid w:val="00A6051E"/>
    <w:rPr>
      <w:rFonts w:ascii="Tahoma" w:eastAsia="Times New Roman" w:hAnsi="Tahoma" w:cs="Tahoma"/>
      <w:sz w:val="16"/>
      <w:szCs w:val="16"/>
      <w:lang w:eastAsia="tr-TR"/>
    </w:rPr>
  </w:style>
  <w:style w:type="character" w:customStyle="1" w:styleId="Balk1Char">
    <w:name w:val="Başlık 1 Char"/>
    <w:link w:val="Balk1"/>
    <w:qFormat/>
    <w:rsid w:val="00875882"/>
    <w:rPr>
      <w:rFonts w:ascii="Arial" w:eastAsia="Times New Roman" w:hAnsi="Arial" w:cs="Arial"/>
      <w:b/>
      <w:bCs/>
      <w:color w:val="000080"/>
      <w:kern w:val="2"/>
      <w:sz w:val="32"/>
      <w:szCs w:val="32"/>
      <w:lang w:val="fr-FR" w:eastAsia="fr-FR"/>
    </w:rPr>
  </w:style>
  <w:style w:type="character" w:customStyle="1" w:styleId="Balk2Char">
    <w:name w:val="Başlık 2 Char"/>
    <w:link w:val="Balk2"/>
    <w:qFormat/>
    <w:rsid w:val="00875882"/>
    <w:rPr>
      <w:rFonts w:ascii="Arial" w:eastAsia="Times New Roman" w:hAnsi="Arial" w:cs="Arial"/>
      <w:b/>
      <w:bCs/>
      <w:iCs/>
      <w:color w:val="FF6600"/>
      <w:sz w:val="28"/>
      <w:szCs w:val="28"/>
      <w:lang w:val="fr-FR" w:eastAsia="fr-FR"/>
    </w:rPr>
  </w:style>
  <w:style w:type="character" w:customStyle="1" w:styleId="Balk3Char">
    <w:name w:val="Başlık 3 Char"/>
    <w:link w:val="Balk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GvdeMetniChar">
    <w:name w:val="Gövde Metni Char"/>
    <w:link w:val="GvdeMetni"/>
    <w:qFormat/>
    <w:rsid w:val="00A17C52"/>
    <w:rPr>
      <w:rFonts w:ascii="Arial" w:eastAsia="Times New Roman" w:hAnsi="Arial"/>
      <w:b/>
      <w:sz w:val="24"/>
      <w:lang w:eastAsia="ar-SA"/>
    </w:rPr>
  </w:style>
  <w:style w:type="character" w:styleId="Gl">
    <w:name w:val="Strong"/>
    <w:uiPriority w:val="22"/>
    <w:qFormat/>
    <w:rsid w:val="00A17C52"/>
    <w:rPr>
      <w:b/>
      <w:bCs/>
    </w:rPr>
  </w:style>
  <w:style w:type="character" w:styleId="AklamaBavurusu">
    <w:name w:val="annotation reference"/>
    <w:uiPriority w:val="99"/>
    <w:semiHidden/>
    <w:unhideWhenUsed/>
    <w:qFormat/>
    <w:rsid w:val="00762571"/>
    <w:rPr>
      <w:sz w:val="16"/>
      <w:szCs w:val="16"/>
    </w:rPr>
  </w:style>
  <w:style w:type="character" w:customStyle="1" w:styleId="AklamaMetniChar">
    <w:name w:val="Açıklama Metni Char"/>
    <w:link w:val="AklamaMetni"/>
    <w:uiPriority w:val="99"/>
    <w:semiHidden/>
    <w:qFormat/>
    <w:rsid w:val="00762571"/>
    <w:rPr>
      <w:rFonts w:ascii="Times New Roman" w:eastAsia="Times New Roman" w:hAnsi="Times New Roman"/>
    </w:rPr>
  </w:style>
  <w:style w:type="character" w:customStyle="1" w:styleId="AklamaKonusuChar">
    <w:name w:val="Açıklama Konusu Char"/>
    <w:link w:val="AklamaKonusu"/>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Balk5Char">
    <w:name w:val="Başlık 5 Char"/>
    <w:link w:val="Balk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GvdeMetni"/>
    <w:qFormat/>
    <w:pPr>
      <w:keepNext/>
      <w:spacing w:before="240" w:after="120"/>
    </w:pPr>
    <w:rPr>
      <w:rFonts w:ascii="Liberation Sans" w:eastAsia="DejaVu Sans" w:hAnsi="Liberation Sans" w:cs="FreeSans"/>
      <w:sz w:val="28"/>
      <w:szCs w:val="28"/>
    </w:rPr>
  </w:style>
  <w:style w:type="paragraph" w:styleId="GvdeMetni">
    <w:name w:val="Body Text"/>
    <w:basedOn w:val="Normal"/>
    <w:link w:val="GvdeMetniChar"/>
    <w:rsid w:val="00A17C52"/>
    <w:pPr>
      <w:suppressAutoHyphens/>
      <w:jc w:val="both"/>
    </w:pPr>
    <w:rPr>
      <w:rFonts w:ascii="Arial" w:hAnsi="Arial"/>
      <w:b/>
      <w:sz w:val="24"/>
      <w:lang w:val="x-none" w:eastAsia="ar-SA"/>
    </w:r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stBilgi">
    <w:name w:val="header"/>
    <w:basedOn w:val="Normal"/>
    <w:uiPriority w:val="99"/>
    <w:unhideWhenUsed/>
    <w:rsid w:val="00A6051E"/>
    <w:pPr>
      <w:tabs>
        <w:tab w:val="center" w:pos="4536"/>
        <w:tab w:val="right" w:pos="9072"/>
      </w:tabs>
    </w:pPr>
    <w:rPr>
      <w:lang w:val="x-none"/>
    </w:rPr>
  </w:style>
  <w:style w:type="paragraph" w:styleId="AltBilgi">
    <w:name w:val="footer"/>
    <w:basedOn w:val="Normal"/>
    <w:link w:val="AltBilgiChar"/>
    <w:uiPriority w:val="99"/>
    <w:unhideWhenUsed/>
    <w:rsid w:val="00A6051E"/>
    <w:pPr>
      <w:tabs>
        <w:tab w:val="center" w:pos="4536"/>
        <w:tab w:val="right" w:pos="9072"/>
      </w:tabs>
    </w:pPr>
    <w:rPr>
      <w:lang w:val="x-none"/>
    </w:rPr>
  </w:style>
  <w:style w:type="paragraph" w:styleId="BalonMetni">
    <w:name w:val="Balloon Text"/>
    <w:basedOn w:val="Normal"/>
    <w:link w:val="BalonMetni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AklamaMetni">
    <w:name w:val="annotation text"/>
    <w:basedOn w:val="Normal"/>
    <w:link w:val="AklamaMetniChar"/>
    <w:uiPriority w:val="99"/>
    <w:semiHidden/>
    <w:unhideWhenUsed/>
    <w:qFormat/>
    <w:rsid w:val="00762571"/>
    <w:rPr>
      <w:lang w:val="x-none" w:eastAsia="x-none"/>
    </w:rPr>
  </w:style>
  <w:style w:type="paragraph" w:styleId="AklamaKonusu">
    <w:name w:val="annotation subject"/>
    <w:basedOn w:val="AklamaMetni"/>
    <w:next w:val="AklamaMetni"/>
    <w:link w:val="AklamaKonusu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eParagraf">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oKlavuzu">
    <w:name w:val="Table Grid"/>
    <w:basedOn w:val="NormalTablo"/>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9858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FB2CBA-79F1-440A-AA1F-4300009EC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5</Pages>
  <Words>799</Words>
  <Characters>4556</Characters>
  <Application>Microsoft Office Word</Application>
  <DocSecurity>0</DocSecurity>
  <Lines>37</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TÜBİTAK</Company>
  <LinksUpToDate>false</LinksUpToDate>
  <CharactersWithSpaces>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Yasin SUBAŞI</cp:lastModifiedBy>
  <cp:revision>20</cp:revision>
  <cp:lastPrinted>2025-09-02T06:48:00Z</cp:lastPrinted>
  <dcterms:created xsi:type="dcterms:W3CDTF">2025-08-11T13:26:00Z</dcterms:created>
  <dcterms:modified xsi:type="dcterms:W3CDTF">2025-10-09T14:26:00Z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