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0"/>
        <w:jc w:val="center"/>
      </w:pPr>
      <w:r>
        <w:rPr>
          <w:rFonts w:ascii="Arial" w:cs="Arial" w:eastAsia="Arial" w:hAnsi="Arial"/>
          <w:caps/>
          <w:color w:val="666666"/>
          <w:sz w:val="18"/>
          <w:szCs w:val="18"/>
        </w:rPr>
        <w:t xml:space="preserve">EUROPEAN UNION AGENCY FOR CYBERSECURITY</w:t>
      </w:r>
    </w:p>
    <w:p>
      <w:pPr>
        <w:spacing w:after="60" w:before="0"/>
        <w:jc w:val="center"/>
      </w:pPr>
      <w:r>
        <w:rPr>
          <w:rFonts w:ascii="Arial" w:cs="Arial" w:eastAsia="Arial" w:hAnsi="Arial"/>
          <w:b/>
          <w:bCs/>
          <w:caps/>
          <w:color w:val="CC0000"/>
          <w:sz w:val="20"/>
          <w:szCs w:val="20"/>
        </w:rPr>
        <w:t xml:space="preserve">REZUMAT DETALIAT</w:t>
      </w:r>
    </w:p>
    <w:p>
      <w:pPr>
        <w:pBdr>
          <w:bottom w:val="single" w:color="CC0000" w:sz="12" w:space="6"/>
        </w:pBdr>
        <w:spacing w:after="200" w:before="0"/>
        <w:jc w:val="center"/>
      </w:pPr>
      <w:r>
        <w:rPr>
          <w:rFonts w:ascii="Arial" w:cs="Arial" w:eastAsia="Arial" w:hAnsi="Arial"/>
          <w:b/>
          <w:bCs/>
          <w:color w:val="003399"/>
          <w:sz w:val="40"/>
          <w:szCs w:val="40"/>
        </w:rPr>
        <w:t xml:space="preserve">ENISA Threat Landscape for Ransomware Attacks</w:t>
      </w:r>
    </w:p>
    <w:p>
      <w:pPr>
        <w:spacing w:after="80" w:before="120"/>
        <w:jc w:val="center"/>
      </w:pPr>
      <w:r>
        <w:rPr>
          <w:rFonts w:ascii="Arial" w:cs="Arial" w:eastAsia="Arial" w:hAnsi="Arial"/>
          <w:color w:val="666666"/>
          <w:sz w:val="22"/>
          <w:szCs w:val="22"/>
        </w:rPr>
        <w:t xml:space="preserve">Iulie 2022  •  ISBN: 978-92-9204-580-7</w:t>
      </w:r>
    </w:p>
    <w:p>
      <w:pPr>
        <w:spacing w:after="80" w:before="0"/>
        <w:jc w:val="center"/>
      </w:pPr>
      <w:r>
        <w:rPr>
          <w:rFonts w:ascii="Arial" w:cs="Arial" w:eastAsia="Arial" w:hAnsi="Arial"/>
          <w:i/>
          <w:iCs/>
          <w:color w:val="666666"/>
          <w:sz w:val="20"/>
          <w:szCs w:val="20"/>
        </w:rPr>
        <w:t xml:space="preserve">Ifigeneia Lella, Eleni Tsekmezoglou, Rossen Naydenov, Apostolos Malatras (ENISA)</w:t>
      </w:r>
    </w:p>
    <w:p>
      <w:pPr>
        <w:spacing w:after="80" w:before="0"/>
        <w:jc w:val="center"/>
      </w:pPr>
      <w:r>
        <w:rPr>
          <w:rFonts w:ascii="Arial" w:cs="Arial" w:eastAsia="Arial" w:hAnsi="Arial"/>
          <w:i/>
          <w:iCs/>
          <w:color w:val="666666"/>
          <w:sz w:val="20"/>
          <w:szCs w:val="20"/>
        </w:rPr>
        <w:t xml:space="preserve">Sebastian Garcia, Veronica Valeros, Alya Gomaa (Czech Technical University in Prague)</w:t>
      </w:r>
    </w:p>
    <w:p>
      <w:pPr>
        <w:spacing w:after="0" w:before="200"/>
      </w:pPr>
    </w:p>
    <w:p>
      <w:r>
        <w:br w:type="page"/>
      </w:r>
    </w:p>
    <w:p>
      <w:pPr>
        <w:pStyle w:val="Heading1"/>
        <w:pBdr>
          <w:bottom w:val="single" w:color="CC0000" w:sz="8" w:space="4"/>
        </w:pBdr>
        <w:spacing w:after="120" w:before="360"/>
      </w:pPr>
      <w:r>
        <w:rPr>
          <w:rFonts w:ascii="Arial" w:cs="Arial" w:eastAsia="Arial" w:hAnsi="Arial"/>
          <w:b/>
          <w:bCs/>
          <w:color w:val="003399"/>
          <w:sz w:val="30"/>
          <w:szCs w:val="30"/>
        </w:rPr>
        <w:t xml:space="preserve">1. Context și Obiective</w:t>
      </w:r>
    </w:p>
    <w:p>
      <w:pPr>
        <w:spacing w:after="100" w:before="80"/>
        <w:jc w:val="both"/>
      </w:pPr>
      <w:r>
        <w:rPr>
          <w:rFonts w:ascii="Arial" w:cs="Arial" w:eastAsia="Arial" w:hAnsi="Arial"/>
          <w:sz w:val="22"/>
          <w:szCs w:val="22"/>
        </w:rPr>
        <w:t xml:space="preserve">Raportul ENISA Threat Landscape for Ransomware Attacks (iulie 2022) reprezintă primul document dedicat exclusiv analizei exhaustive a peisajului amenințărilor ransomware la nivel european și global, bazat pe metodologia ENISA Cybersecurity Threat Landscape. Publicat de Agenția Uniunii Europene pentru Securitate Cibernetică, documentul acoperă 623 de incidente ransomware reale din perioada mai 2021 – iunie 2022, oferind o perspectivă bazată pe date empirice asupra unui fenomen care în 2021 a fost evaluat drept amenințarea cibernetică principală la nivelul UE.</w:t>
      </w:r>
    </w:p>
    <w:p>
      <w:pPr>
        <w:spacing w:after="100" w:before="80"/>
        <w:jc w:val="both"/>
      </w:pPr>
      <w:r>
        <w:rPr>
          <w:rFonts w:ascii="Arial" w:cs="Arial" w:eastAsia="Arial" w:hAnsi="Arial"/>
          <w:sz w:val="22"/>
          <w:szCs w:val="22"/>
        </w:rPr>
        <w:t xml:space="preserve">Motivația centrală a raportului este dublă: pe de o parte, nevoia de a înțelege realitatea ransomware-ului dincolo de capacitățile teoretice ale malware-ului, concentrându-se pe atacurile care au avut efectiv loc; pe de altă parte, necesitatea de a combate lipsa cronică de date fiabile cauzată de reticența organizațiilor de a raporta public incidentele. Costul global al ransomware-ului este estimat la depășirea pragului de 10 trilioane de dolari anual până în 2025.</w:t>
      </w:r>
    </w:p>
    <w:p>
      <w:pPr>
        <w:spacing w:after="0" w:before="160"/>
      </w:pPr>
    </w:p>
    <w:p>
      <w:pPr>
        <w:pStyle w:val="Heading1"/>
        <w:pBdr>
          <w:bottom w:val="single" w:color="CC0000" w:sz="8" w:space="4"/>
        </w:pBdr>
        <w:spacing w:after="120" w:before="360"/>
      </w:pPr>
      <w:r>
        <w:rPr>
          <w:rFonts w:ascii="Arial" w:cs="Arial" w:eastAsia="Arial" w:hAnsi="Arial"/>
          <w:b/>
          <w:bCs/>
          <w:color w:val="003399"/>
          <w:sz w:val="30"/>
          <w:szCs w:val="30"/>
        </w:rPr>
        <w:t xml:space="preserve">2. Definirea Ransomware-ului și Matricea LEDS</w:t>
      </w:r>
    </w:p>
    <w:p>
      <w:pPr>
        <w:spacing w:after="100" w:before="80"/>
        <w:jc w:val="both"/>
      </w:pPr>
      <w:r>
        <w:rPr>
          <w:rFonts w:ascii="Arial" w:cs="Arial" w:eastAsia="Arial" w:hAnsi="Arial"/>
          <w:sz w:val="22"/>
          <w:szCs w:val="22"/>
        </w:rPr>
        <w:t xml:space="preserve">Una dintre contribuțiile conceptuale majore ale raportului este propunerea unei definiții generice și a unui cadru de clasificare nou, rupând cu categoriile tradiționale ("encryption ransomware", "lock screen ransomware") care au devenit insuficiente în contextul evoluției amenințărilor.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99" w:sz="1"/>
              <w:left w:val="single" w:color="003399" w:sz="1"/>
              <w:bottom w:val="single" w:color="003399" w:sz="1"/>
              <w:right w:val="single" w:color="003399" w:sz="1"/>
            </w:tcBorders>
            <w:shd w:fill="003399" w:val="clear"/>
            <w:tcMar>
              <w:top w:type="dxa" w:w="80"/>
              <w:left w:type="dxa" w:w="160"/>
              <w:bottom w:type="dxa" w:w="80"/>
              <w:right w:type="dxa" w:w="160"/>
            </w:tcMar>
          </w:tcPr>
          <w:p>
            <w:r>
              <w:rPr>
                <w:rFonts w:ascii="Arial" w:cs="Arial" w:eastAsia="Arial" w:hAnsi="Arial"/>
                <w:b/>
                <w:bCs/>
                <w:color w:val="FFFFFF"/>
                <w:sz w:val="22"/>
                <w:szCs w:val="22"/>
              </w:rPr>
              <w:t xml:space="preserve">Definiție oficială ENISA</w:t>
            </w:r>
          </w:p>
        </w:tc>
      </w:tr>
      <w:tr>
        <w:tc>
          <w:tcPr>
            <w:tcBorders>
              <w:top w:val="single" w:color="003399" w:sz="1"/>
              <w:left w:val="single" w:color="003399" w:sz="1"/>
              <w:bottom w:val="single" w:color="003399" w:sz="1"/>
              <w:right w:val="single" w:color="003399" w:sz="1"/>
            </w:tcBorders>
            <w:shd w:fill="D5E8F0" w:val="clear"/>
            <w:tcMar>
              <w:top w:type="dxa" w:w="100"/>
              <w:left w:type="dxa" w:w="160"/>
              <w:bottom w:type="dxa" w:w="100"/>
              <w:right w:type="dxa" w:w="160"/>
            </w:tcMar>
          </w:tcPr>
          <w:p>
            <w:pPr>
              <w:spacing w:after="60" w:before="60"/>
              <w:jc w:val="both"/>
            </w:pPr>
            <w:r>
              <w:rPr>
                <w:rFonts w:ascii="Arial" w:cs="Arial" w:eastAsia="Arial" w:hAnsi="Arial"/>
                <w:i/>
                <w:iCs/>
                <w:sz w:val="22"/>
                <w:szCs w:val="22"/>
              </w:rPr>
              <w:t xml:space="preserve">Ransomware este un tip de atac în care actorii de amenințare preiau controlul asupra activelor unei ținte și cer o răscumpărare în schimbul restabilirii disponibilității și confidențialității acestor active.</w:t>
            </w:r>
          </w:p>
        </w:tc>
      </w:tr>
    </w:tbl>
    <w:p>
      <w:pPr>
        <w:spacing w:after="0" w:before="160"/>
      </w:pPr>
    </w:p>
    <w:p>
      <w:pPr>
        <w:spacing w:after="100" w:before="80"/>
        <w:jc w:val="both"/>
      </w:pPr>
      <w:r>
        <w:rPr>
          <w:rFonts w:ascii="Arial" w:cs="Arial" w:eastAsia="Arial" w:hAnsi="Arial"/>
          <w:sz w:val="22"/>
          <w:szCs w:val="22"/>
        </w:rPr>
        <w:t xml:space="preserve">Definiția identifică trei elemente fundamentale prezente în orice atac ransomware: activele vizate (assets), acțiunile executate și șantajul (blackmail). ENISA propune înlocuirea clasificării pe tipuri cu clasificarea pe acțiuni și active, introducând matricea LEDS:</w:t>
      </w:r>
    </w:p>
    <w:p>
      <w:pPr>
        <w:spacing w:after="0" w:before="80"/>
      </w:pPr>
    </w:p>
    <w:p>
      <w:pPr>
        <w:pStyle w:val="Heading2"/>
        <w:spacing w:after="80" w:before="240"/>
      </w:pPr>
      <w:r>
        <w:rPr>
          <w:rFonts w:ascii="Arial" w:cs="Arial" w:eastAsia="Arial" w:hAnsi="Arial"/>
          <w:b/>
          <w:bCs/>
          <w:color w:val="CC0000"/>
          <w:sz w:val="26"/>
          <w:szCs w:val="26"/>
        </w:rPr>
        <w:t xml:space="preserve">2.1 Matricea LEDS -  Cele Patru Acțiuni Fundamentale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c>
          <w:tcPr>
            <w:tcW w:type="dxa" w:w="1600"/>
            <w:tcBorders>
              <w:top w:val="single" w:color="003399" w:sz="1"/>
              <w:left w:val="single" w:color="003399" w:sz="1"/>
              <w:bottom w:val="single" w:color="003399" w:sz="1"/>
              <w:right w:val="single" w:color="003399" w:sz="1"/>
            </w:tcBorders>
            <w:shd w:fill="003399" w:val="clear"/>
            <w:tcMar>
              <w:top w:type="dxa" w:w="80"/>
              <w:left w:type="dxa" w:w="120"/>
              <w:bottom w:type="dxa" w:w="80"/>
              <w:right w:type="dxa" w:w="120"/>
            </w:tcMar>
          </w:tcPr>
          <w:p>
            <w:r>
              <w:rPr>
                <w:rFonts w:ascii="Arial" w:cs="Arial" w:eastAsia="Arial" w:hAnsi="Arial"/>
                <w:b/>
                <w:bCs/>
                <w:color w:val="FFFFFF"/>
                <w:sz w:val="20"/>
                <w:szCs w:val="20"/>
              </w:rPr>
              <w:t xml:space="preserve">Acțiune</w:t>
            </w:r>
          </w:p>
        </w:tc>
        <w:tc>
          <w:tcPr>
            <w:tcW w:type="dxa" w:w="4360"/>
            <w:tcBorders>
              <w:top w:val="single" w:color="003399" w:sz="1"/>
              <w:left w:val="single" w:color="003399" w:sz="1"/>
              <w:bottom w:val="single" w:color="003399" w:sz="1"/>
              <w:right w:val="single" w:color="003399" w:sz="1"/>
            </w:tcBorders>
            <w:shd w:fill="003399" w:val="clear"/>
            <w:tcMar>
              <w:top w:type="dxa" w:w="80"/>
              <w:left w:type="dxa" w:w="120"/>
              <w:bottom w:type="dxa" w:w="80"/>
              <w:right w:type="dxa" w:w="120"/>
            </w:tcMar>
          </w:tcPr>
          <w:p>
            <w:r>
              <w:rPr>
                <w:rFonts w:ascii="Arial" w:cs="Arial" w:eastAsia="Arial" w:hAnsi="Arial"/>
                <w:b/>
                <w:bCs/>
                <w:color w:val="FFFFFF"/>
                <w:sz w:val="20"/>
                <w:szCs w:val="20"/>
              </w:rPr>
              <w:t xml:space="preserve">Descriere</w:t>
            </w:r>
          </w:p>
        </w:tc>
        <w:tc>
          <w:tcPr>
            <w:tcW w:type="dxa" w:w="3400"/>
            <w:tcBorders>
              <w:top w:val="single" w:color="003399" w:sz="1"/>
              <w:left w:val="single" w:color="003399" w:sz="1"/>
              <w:bottom w:val="single" w:color="003399" w:sz="1"/>
              <w:right w:val="single" w:color="003399" w:sz="1"/>
            </w:tcBorders>
            <w:shd w:fill="003399" w:val="clear"/>
            <w:tcMar>
              <w:top w:type="dxa" w:w="80"/>
              <w:left w:type="dxa" w:w="120"/>
              <w:bottom w:type="dxa" w:w="80"/>
              <w:right w:type="dxa" w:w="120"/>
            </w:tcMar>
          </w:tcPr>
          <w:p>
            <w:r>
              <w:rPr>
                <w:rFonts w:ascii="Arial" w:cs="Arial" w:eastAsia="Arial" w:hAnsi="Arial"/>
                <w:b/>
                <w:bCs/>
                <w:color w:val="FFFFFF"/>
                <w:sz w:val="20"/>
                <w:szCs w:val="20"/>
              </w:rPr>
              <w:t xml:space="preserve">Active tipice vizate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Lock (Blocare)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Modificarea acreditărilor sau blocarea accesului la interfața sistemului, aplicație sau dispozitiv fizic. Criptarea nu este considerată blocare.</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Ecran, aplicații, hardware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Encrypt (Criptare)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Aplicarea unui algoritm de criptare pentru a face conținutul fișierelor, folderelor sau textului inaccesibil fără cheia de decriptare. Poate fi parțială sau totală, pe client sau client+server.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Fișiere, foldere, baze de date, cloud, CMS, memorie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Delete (Ștergere)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Ordonarea sistemului de operare să șteargă un fișier prin procedura oficială sau prin rescrierea bytes-ilor. Poate viza și mașini virtuale în cloud. Ștergerea nu implică criptarea sau furtul.</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Fișiere, MFT, MBR, baze de date în memorie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Steal (Furt)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Copierea activului în controlul atacatorului -  prin exfiltrare pe Internet sau copiere într-un folder local secret. Furtul nu implică ștergerea sau criptarea.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Fișiere, foldere, baze de date, conținut cloud</w:t>
            </w:r>
          </w:p>
        </w:tc>
      </w:tr>
    </w:tbl>
    <w:p>
      <w:pPr>
        <w:spacing w:after="0" w:before="160"/>
      </w:pPr>
    </w:p>
    <w:p>
      <w:pPr>
        <w:pStyle w:val="Heading2"/>
        <w:spacing w:after="80" w:before="240"/>
      </w:pPr>
      <w:r>
        <w:rPr>
          <w:rFonts w:ascii="Arial" w:cs="Arial" w:eastAsia="Arial" w:hAnsi="Arial"/>
          <w:b/>
          <w:bCs/>
          <w:color w:val="CC0000"/>
          <w:sz w:val="26"/>
          <w:szCs w:val="26"/>
        </w:rPr>
        <w:t xml:space="preserve">2.2 Active Vizate de Ransomware</w:t>
      </w:r>
    </w:p>
    <w:p>
      <w:pPr>
        <w:spacing w:after="100" w:before="80"/>
        <w:jc w:val="both"/>
      </w:pPr>
      <w:r>
        <w:rPr>
          <w:rFonts w:ascii="Arial" w:cs="Arial" w:eastAsia="Arial" w:hAnsi="Arial"/>
          <w:sz w:val="22"/>
          <w:szCs w:val="22"/>
        </w:rPr>
        <w:t xml:space="preserve">ENISA identifică nouă categorii principale de active: fișiere (căutate după extensii valoroase sau fișiere de sistem cu configurații), foldere (utilizator și sistem), memorie (unele variante folosesc I/O mapat în memorie pentru a cripta documente din cache), conținut de baze de date (rânduri și tabele, uneori parțial), ecran (crearea unui ecran special care dezactivează orice altă interfață), Master File Table (MFT -  indexul tuturor fișierelor și folderelor din volum), Master Boot Record (MBR -  partiția specială folosită la boot), cloud (active de la furnizori third-party folosiți în operațiunile țintei) și Content Management Systems (CMS -  serverul web și fișierele serviciului web).</w:t>
      </w:r>
    </w:p>
    <w:p>
      <w:pPr>
        <w:spacing w:after="0" w:before="160"/>
      </w:pPr>
    </w:p>
    <w:p>
      <w:pPr>
        <w:pStyle w:val="Heading1"/>
        <w:pBdr>
          <w:bottom w:val="single" w:color="CC0000" w:sz="8" w:space="4"/>
        </w:pBdr>
        <w:spacing w:after="120" w:before="360"/>
      </w:pPr>
      <w:r>
        <w:rPr>
          <w:rFonts w:ascii="Arial" w:cs="Arial" w:eastAsia="Arial" w:hAnsi="Arial"/>
          <w:b/>
          <w:bCs/>
          <w:color w:val="003399"/>
          <w:sz w:val="30"/>
          <w:szCs w:val="30"/>
        </w:rPr>
        <w:t xml:space="preserve">3. Ciclul de Viață al Ransomware-ului</w:t>
      </w:r>
    </w:p>
    <w:p>
      <w:pPr>
        <w:spacing w:after="100" w:before="80"/>
        <w:jc w:val="both"/>
      </w:pPr>
      <w:r>
        <w:rPr>
          <w:rFonts w:ascii="Arial" w:cs="Arial" w:eastAsia="Arial" w:hAnsi="Arial"/>
          <w:sz w:val="22"/>
          <w:szCs w:val="22"/>
        </w:rPr>
        <w:t xml:space="preserve">Ciclul de viață al ransomware-ului a rămas relativ constant până în 2018, când atacatorii au început să adauge funcționalități suplimentare și tehnicile de șantaj s-au maturizat. ENISA identifică cinci etape care nu urmează neapărat o ordine strict secvențială, cu mențiunea explicită că negocierea răscumpărării nu este o recomandare -  contactarea autorităților de securitate cibernetică rămâne abordarea recomandată.</w:t>
      </w:r>
    </w:p>
    <w:p>
      <w:pPr>
        <w:pStyle w:val="Heading2"/>
        <w:spacing w:after="80" w:before="240"/>
      </w:pPr>
      <w:r>
        <w:rPr>
          <w:rFonts w:ascii="Arial" w:cs="Arial" w:eastAsia="Arial" w:hAnsi="Arial"/>
          <w:b/>
          <w:bCs/>
          <w:color w:val="CC0000"/>
          <w:sz w:val="26"/>
          <w:szCs w:val="26"/>
        </w:rPr>
        <w:t xml:space="preserve">3.1 Accesul Inițial (Initial Access)</w:t>
      </w:r>
    </w:p>
    <w:p>
      <w:pPr>
        <w:spacing w:after="100" w:before="80"/>
        <w:jc w:val="both"/>
      </w:pPr>
      <w:r>
        <w:rPr>
          <w:rFonts w:ascii="Arial" w:cs="Arial" w:eastAsia="Arial" w:hAnsi="Arial"/>
          <w:sz w:val="22"/>
          <w:szCs w:val="22"/>
        </w:rPr>
        <w:t xml:space="preserve">Ransomware-ul utilizează aceleași tehnici de acces ca alte tipuri de atacuri: exploatarea vulnerabilităților software, credențiale furate, phishing și altele. Principala problemă identificată de ENISA este lipsa masivă de transparență: în 95,3% dintre cele 623 de incidente analizate nu s-a putut determina cum au obținut atacatorii accesul inițial. Organizațiile nu divulgă aceste informații fie din motive de securitate, fie pentru a evita daune reputaționale. Din cele 29 de incidente în care accesul inițial a fost cunoscut, distribuția conform MITRE ATT&amp;CK a fost: T1133 External Remote Services (12 cazuri), T1566 Phishing (8 cazuri), T1195 Supply Chain Compromise (4 cazuri), T1078 Valid Accounts (4 cazuri) și T1068 Exploitation for Privilege Escalation (1 caz).</w:t>
      </w:r>
    </w:p>
    <w:p>
      <w:pPr>
        <w:pStyle w:val="Heading2"/>
        <w:spacing w:after="80" w:before="240"/>
      </w:pPr>
      <w:r>
        <w:rPr>
          <w:rFonts w:ascii="Arial" w:cs="Arial" w:eastAsia="Arial" w:hAnsi="Arial"/>
          <w:b/>
          <w:bCs/>
          <w:color w:val="CC0000"/>
          <w:sz w:val="26"/>
          <w:szCs w:val="26"/>
        </w:rPr>
        <w:t xml:space="preserve">3.2 Execuția (Execution)</w:t>
      </w:r>
    </w:p>
    <w:p>
      <w:pPr>
        <w:spacing w:after="100" w:before="80"/>
        <w:jc w:val="both"/>
      </w:pPr>
      <w:r>
        <w:rPr>
          <w:rFonts w:ascii="Arial" w:cs="Arial" w:eastAsia="Arial" w:hAnsi="Arial"/>
          <w:sz w:val="22"/>
          <w:szCs w:val="22"/>
        </w:rPr>
        <w:t xml:space="preserve">După accesul inițial, actorii de amenințare studiază ținta, se deplasează lateral pe alte sisteme și aplică tehnici de atac pentru a identifica mai multe active exploatabile. Această activitate poate dura săptămâni în funcție de complexitatea rețelei. Înainte de executarea efectivă a ransomware-ului, se desfășoară o etapă de curățare: dezactivarea software-ului de securitate, oprirea programelor care pot interfera (baze de date), ștergerea shadow copies și a log-urilor, dezactivarea funcțiilor de recuperare ale sistemului. Ransomware-ul poate fi desfășurat direct sau prin terți -  Ryuk, de exemplu, a utilizat TrickBot și Emotet ca mecanisme de livrare.</w:t>
      </w:r>
    </w:p>
    <w:p>
      <w:pPr>
        <w:pStyle w:val="Heading2"/>
        <w:spacing w:after="80" w:before="240"/>
      </w:pPr>
      <w:r>
        <w:rPr>
          <w:rFonts w:ascii="Arial" w:cs="Arial" w:eastAsia="Arial" w:hAnsi="Arial"/>
          <w:b/>
          <w:bCs/>
          <w:color w:val="CC0000"/>
          <w:sz w:val="26"/>
          <w:szCs w:val="26"/>
        </w:rPr>
        <w:t xml:space="preserve">3.3 Acțiunea pe Obiective (Action on Objectives)</w:t>
      </w:r>
    </w:p>
    <w:p>
      <w:pPr>
        <w:spacing w:after="100" w:before="80"/>
        <w:jc w:val="both"/>
      </w:pPr>
      <w:r>
        <w:rPr>
          <w:rFonts w:ascii="Arial" w:cs="Arial" w:eastAsia="Arial" w:hAnsi="Arial"/>
          <w:sz w:val="22"/>
          <w:szCs w:val="22"/>
        </w:rPr>
        <w:t xml:space="preserve">Odată desfășurat, ransomware-ul atacă disponibilitatea și/sau confidențialitatea activelor vizate prin acțiunile LEDS. Acțiunile nu sunt imediate și pot avea loc la săptămâni după infecția inițială, oferind atacatorilor timp suplimentar pentru a accesa mai multe sisteme interne. Un aspect critic subliniat de ENISA: nu există nicio garanție că criptarea a fost realizată corect și că fișierele pot fi decriptate după plată -  un argument suplimentar împotriva plății răscumpărării.</w:t>
      </w:r>
    </w:p>
    <w:p>
      <w:pPr>
        <w:pStyle w:val="Heading2"/>
        <w:spacing w:after="80" w:before="240"/>
      </w:pPr>
      <w:r>
        <w:rPr>
          <w:rFonts w:ascii="Arial" w:cs="Arial" w:eastAsia="Arial" w:hAnsi="Arial"/>
          <w:b/>
          <w:bCs/>
          <w:color w:val="CC0000"/>
          <w:sz w:val="26"/>
          <w:szCs w:val="26"/>
        </w:rPr>
        <w:t xml:space="preserve">3.4 Șantajul (Blackmail)</w:t>
      </w:r>
    </w:p>
    <w:p>
      <w:pPr>
        <w:spacing w:after="100" w:before="80"/>
        <w:jc w:val="both"/>
      </w:pPr>
      <w:r>
        <w:rPr>
          <w:rFonts w:ascii="Arial" w:cs="Arial" w:eastAsia="Arial" w:hAnsi="Arial"/>
          <w:sz w:val="22"/>
          <w:szCs w:val="22"/>
        </w:rPr>
        <w:t xml:space="preserve">Componentele șantajului includ comunicarea (informarea țintei despre situație), amenințarea (dauna care va surveni dacă cererea nu este îndeplinită) și cererea (ceea ce actorul de amenințare urmărește să obțină). Comunicarea a evoluat de la private (nota de răscumpărare pe sistemele afectate) la publică -  actorii publică acum incidentele pe site-urile lor proprii, discreditând public țintele și exercitând presiune și asupra clienților, partenerilor și terților interesați. Amenințările au evoluat: scurgeri parțiale sau totale de date, ștergerea activelor, revânzarea datelor la cel mai mare ofertant, atacuri DDoS. Cererile rămân predominant monetare (criptomonede), dar există precedente pentru cereri de schimbări de politici corporative, funcționalități software sau infectarea altor persoane în schimbul decriptării gratuite.</w:t>
      </w:r>
    </w:p>
    <w:p>
      <w:pPr>
        <w:pStyle w:val="Heading2"/>
        <w:spacing w:after="80" w:before="240"/>
      </w:pPr>
      <w:r>
        <w:rPr>
          <w:rFonts w:ascii="Arial" w:cs="Arial" w:eastAsia="Arial" w:hAnsi="Arial"/>
          <w:b/>
          <w:bCs/>
          <w:color w:val="CC0000"/>
          <w:sz w:val="26"/>
          <w:szCs w:val="26"/>
        </w:rPr>
        <w:t xml:space="preserve">3.5 Negocierea Răscumpărării (Ransom Negotiation)</w:t>
      </w:r>
    </w:p>
    <w:p>
      <w:pPr>
        <w:spacing w:after="100" w:before="80"/>
        <w:jc w:val="both"/>
      </w:pPr>
      <w:r>
        <w:rPr>
          <w:rFonts w:ascii="Arial" w:cs="Arial" w:eastAsia="Arial" w:hAnsi="Arial"/>
          <w:sz w:val="22"/>
          <w:szCs w:val="22"/>
        </w:rPr>
        <w:t xml:space="preserve">Negocierea este în general o comunicare privată între țintă și atacatori, cu două rezultate posibile: plata sau neplata răscumpărării. ENISA subliniază că aceasta nu este o abordare recomandată. Cuantificarea plăților este extrem de dificilă deoarece informațiile nu sunt publice. Unii actori de amenințare elimină numele țintelor de pe site-urile lor după plată, dar această practică nu poate fi generalizată deoarece site-urile ransomware sunt adesea instabile. Raportul Sophos (2022) a constatat că doar 4% din companiile care au plătit și-au recuperat toate datele, iar majoritatea a recuperat aproximativ 60%.</w:t>
      </w:r>
    </w:p>
    <w:p>
      <w:pPr>
        <w:spacing w:after="0" w:before="160"/>
      </w:pPr>
    </w:p>
    <w:p>
      <w:pPr>
        <w:pStyle w:val="Heading1"/>
        <w:pBdr>
          <w:bottom w:val="single" w:color="CC0000" w:sz="8" w:space="4"/>
        </w:pBdr>
        <w:spacing w:after="120" w:before="360"/>
      </w:pPr>
      <w:r>
        <w:rPr>
          <w:rFonts w:ascii="Arial" w:cs="Arial" w:eastAsia="Arial" w:hAnsi="Arial"/>
          <w:b/>
          <w:bCs/>
          <w:color w:val="003399"/>
          <w:sz w:val="30"/>
          <w:szCs w:val="30"/>
        </w:rPr>
        <w:t xml:space="preserve">4. Modelele de Business ale Ransomware-ului</w:t>
      </w:r>
    </w:p>
    <w:p>
      <w:pPr>
        <w:spacing w:after="100" w:before="80"/>
        <w:jc w:val="both"/>
      </w:pPr>
      <w:r>
        <w:rPr>
          <w:rFonts w:ascii="Arial" w:cs="Arial" w:eastAsia="Arial" w:hAnsi="Arial"/>
          <w:sz w:val="22"/>
          <w:szCs w:val="22"/>
        </w:rPr>
        <w:t xml:space="preserve">Ransomware-ul a evoluat semnificativ atât tehnic, cât și organizațional din 1989 până în prezent. Piața s-a maturizat până la punctul în care ransomware-ul a devenit o marfă (commodity). ENISA descrie patru modele principale:</w:t>
      </w:r>
    </w:p>
    <w:p>
      <w:pPr>
        <w:pStyle w:val="Heading2"/>
        <w:spacing w:after="80" w:before="240"/>
      </w:pPr>
      <w:r>
        <w:rPr>
          <w:rFonts w:ascii="Arial" w:cs="Arial" w:eastAsia="Arial" w:hAnsi="Arial"/>
          <w:b/>
          <w:bCs/>
          <w:color w:val="CC0000"/>
          <w:sz w:val="26"/>
          <w:szCs w:val="26"/>
        </w:rPr>
        <w:t xml:space="preserve">4.1 Atacatori Individuali</w:t>
      </w:r>
    </w:p>
    <w:p>
      <w:pPr>
        <w:spacing w:after="100" w:before="80"/>
        <w:jc w:val="both"/>
      </w:pPr>
      <w:r>
        <w:rPr>
          <w:rFonts w:ascii="Arial" w:cs="Arial" w:eastAsia="Arial" w:hAnsi="Arial"/>
          <w:sz w:val="22"/>
          <w:szCs w:val="22"/>
        </w:rPr>
        <w:t xml:space="preserve">Atacuri mai puțin complexe, efectuate de persoane singure sau grupuri foarte mici, concentrându-se pe criptarea automată fără coordonare operațională. Probabil toate grupurile au început ca mici echipe dat fiind volumul mare de muncă și coordonare necesare.</w:t>
      </w:r>
    </w:p>
    <w:p>
      <w:pPr>
        <w:pStyle w:val="Heading2"/>
        <w:spacing w:after="80" w:before="240"/>
      </w:pPr>
      <w:r>
        <w:rPr>
          <w:rFonts w:ascii="Arial" w:cs="Arial" w:eastAsia="Arial" w:hAnsi="Arial"/>
          <w:b/>
          <w:bCs/>
          <w:color w:val="CC0000"/>
          <w:sz w:val="26"/>
          <w:szCs w:val="26"/>
        </w:rPr>
        <w:t xml:space="preserve">4.2 Grupuri de Actori de Amenințare (Group Threat Actors)</w:t>
      </w:r>
    </w:p>
    <w:p>
      <w:pPr>
        <w:spacing w:after="100" w:before="80"/>
        <w:jc w:val="both"/>
      </w:pPr>
      <w:r>
        <w:rPr>
          <w:rFonts w:ascii="Arial" w:cs="Arial" w:eastAsia="Arial" w:hAnsi="Arial"/>
          <w:sz w:val="22"/>
          <w:szCs w:val="22"/>
        </w:rPr>
        <w:t xml:space="preserve">Modelul tradițional: un singur grup coordonează toate etapele -  selectarea țintei, analiza vulnerabilităților, efectuarea atacului, producerea malware-ului, coordonarea cheilor de criptare, negocierea plății și colectarea veniturilor. Grupul dezvoltă și propriile instrumente și sisteme de plată. Rămâne alegerea organizatorică principală.</w:t>
      </w:r>
    </w:p>
    <w:p>
      <w:pPr>
        <w:pStyle w:val="Heading2"/>
        <w:spacing w:after="80" w:before="240"/>
      </w:pPr>
      <w:r>
        <w:rPr>
          <w:rFonts w:ascii="Arial" w:cs="Arial" w:eastAsia="Arial" w:hAnsi="Arial"/>
          <w:b/>
          <w:bCs/>
          <w:color w:val="CC0000"/>
          <w:sz w:val="26"/>
          <w:szCs w:val="26"/>
        </w:rPr>
        <w:t xml:space="preserve">4.3 Ransomware-as-a-Service (RaaS)</w:t>
      </w:r>
    </w:p>
    <w:p>
      <w:pPr>
        <w:spacing w:after="100" w:before="80"/>
        <w:jc w:val="both"/>
      </w:pPr>
      <w:r>
        <w:rPr>
          <w:rFonts w:ascii="Arial" w:cs="Arial" w:eastAsia="Arial" w:hAnsi="Arial"/>
          <w:sz w:val="22"/>
          <w:szCs w:val="22"/>
        </w:rPr>
        <w:t xml:space="preserve">Modelul RaaS a revoluționat ecosistemul: operatorii RaaS dezvoltă ransomware-ul și platforma software, pe care o oferă afiliaților externi care efectuează atacurile. Operatorii primesc 10-20% sau mai mult din plata răscumpărării. Alte surse de venit: vânzarea datelor despre ținte, abonamente lunare pentru accesul la platformă, consultanță pentru alți actori de amenințare. RaaS a redus drastic bariera de intrare -  un afiliat nu trebuie să știe să scrie ransomware, ci doar să execute atacul. Introduce și un nivel suplimentar de anonimitate în operațiunile infracționale.</w:t>
      </w:r>
    </w:p>
    <w:p>
      <w:pPr>
        <w:pStyle w:val="Heading2"/>
        <w:spacing w:after="80" w:before="240"/>
      </w:pPr>
      <w:r>
        <w:rPr>
          <w:rFonts w:ascii="Arial" w:cs="Arial" w:eastAsia="Arial" w:hAnsi="Arial"/>
          <w:b/>
          <w:bCs/>
          <w:color w:val="CC0000"/>
          <w:sz w:val="26"/>
          <w:szCs w:val="26"/>
        </w:rPr>
        <w:t xml:space="preserve">4.4 Data Brokerage (Intermedierea Datelor)</w:t>
      </w:r>
    </w:p>
    <w:p>
      <w:pPr>
        <w:spacing w:after="100" w:before="80"/>
        <w:jc w:val="both"/>
      </w:pPr>
      <w:r>
        <w:rPr>
          <w:rFonts w:ascii="Arial" w:cs="Arial" w:eastAsia="Arial" w:hAnsi="Arial"/>
          <w:sz w:val="22"/>
          <w:szCs w:val="22"/>
        </w:rPr>
        <w:t xml:space="preserve">Model emergent: actorii de amenințare valorifică suplimentar datele furate vânzându-le celui mai mare ofertant. Include și revânzarea accesului obținut la țintă altor actori de amenințare pentru exploatare suplimentară.</w:t>
      </w:r>
    </w:p>
    <w:p>
      <w:pPr>
        <w:pStyle w:val="Heading2"/>
        <w:spacing w:after="80" w:before="240"/>
      </w:pPr>
      <w:r>
        <w:rPr>
          <w:rFonts w:ascii="Arial" w:cs="Arial" w:eastAsia="Arial" w:hAnsi="Arial"/>
          <w:b/>
          <w:bCs/>
          <w:color w:val="CC0000"/>
          <w:sz w:val="26"/>
          <w:szCs w:val="26"/>
        </w:rPr>
        <w:t xml:space="preserve">4.5 Notorietatea ca Factor Cheie</w:t>
      </w:r>
    </w:p>
    <w:p>
      <w:pPr>
        <w:spacing w:after="100" w:before="80"/>
        <w:jc w:val="both"/>
      </w:pPr>
      <w:r>
        <w:rPr>
          <w:rFonts w:ascii="Arial" w:cs="Arial" w:eastAsia="Arial" w:hAnsi="Arial"/>
          <w:sz w:val="22"/>
          <w:szCs w:val="22"/>
        </w:rPr>
        <w:t xml:space="preserve">Ransomware-ul funcționează pe baza unui sistem de reputație. Operatorii trebuie să demonstreze că decriptarea funcționează (de obicei prin decriptarea unor fișiere eșantion) pentru ca victimele să aibă incentiv să plătească. Un raport a arătat că în 18% din cazuri companiile care au plătit au avut datele scurse oricum, și 35% nu și-au putut recupera datele. Instabilitatea infrastructurii -  site-uri nefuncționale, linkuri expirate, date indisponibile -  generează incertitudine și subliniază importanța contactării autorităților în loc de negocierea cu infractorii.</w:t>
      </w:r>
    </w:p>
    <w:p>
      <w:pPr>
        <w:spacing w:after="0" w:before="160"/>
      </w:pPr>
    </w:p>
    <w:p>
      <w:pPr>
        <w:pStyle w:val="Heading1"/>
        <w:pBdr>
          <w:bottom w:val="single" w:color="CC0000" w:sz="8" w:space="4"/>
        </w:pBdr>
        <w:spacing w:after="120" w:before="360"/>
      </w:pPr>
      <w:r>
        <w:rPr>
          <w:rFonts w:ascii="Arial" w:cs="Arial" w:eastAsia="Arial" w:hAnsi="Arial"/>
          <w:b/>
          <w:bCs/>
          <w:color w:val="003399"/>
          <w:sz w:val="30"/>
          <w:szCs w:val="30"/>
        </w:rPr>
        <w:t xml:space="preserve">5. Analiza Incidentelor Ransomware (Mai 2021 – Iunie 2022)</w:t>
      </w:r>
    </w:p>
    <w:p>
      <w:pPr>
        <w:spacing w:after="100" w:before="80"/>
        <w:jc w:val="both"/>
      </w:pPr>
      <w:r>
        <w:rPr>
          <w:rFonts w:ascii="Arial" w:cs="Arial" w:eastAsia="Arial" w:hAnsi="Arial"/>
          <w:sz w:val="22"/>
          <w:szCs w:val="22"/>
        </w:rPr>
        <w:t xml:space="preserve">Analiza acoperă 623 de incidente ransomware confirm din surse diverse: rapoarte guvernamentale, rapoarte ale companiilor de securitate, știri media, dark web și bloguri verificate. Fiecare incident a fost confirmat din surse multiple. ENISA estimează că numărul total al incidentelor din perioada analizată a fost de aproximativ 3.640, ceea ce înseamnă că raportul acoperă 17,11% din totalul estimat -  restul rămânând sub nivelul vizibilității publice.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3399" w:sz="1"/>
              <w:left w:val="single" w:color="003399" w:sz="1"/>
              <w:bottom w:val="single" w:color="003399" w:sz="1"/>
              <w:right w:val="single" w:color="003399" w:sz="1"/>
            </w:tcBorders>
            <w:shd w:fill="003399"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623</w:t>
            </w:r>
          </w:p>
          <w:p>
            <w:pPr>
              <w:jc w:val="center"/>
            </w:pPr>
            <w:r>
              <w:rPr>
                <w:rFonts w:ascii="Arial" w:cs="Arial" w:eastAsia="Arial" w:hAnsi="Arial"/>
                <w:color w:val="FFFFFF"/>
                <w:sz w:val="18"/>
                <w:szCs w:val="18"/>
              </w:rPr>
              <w:t xml:space="preserve">Incidente analizate</w:t>
            </w:r>
          </w:p>
        </w:tc>
        <w:tc>
          <w:tcPr>
            <w:tcW w:type="dxa" w:w="2340"/>
            <w:tcBorders>
              <w:top w:val="single" w:color="003399" w:sz="1"/>
              <w:left w:val="single" w:color="003399" w:sz="1"/>
              <w:bottom w:val="single" w:color="003399" w:sz="1"/>
              <w:right w:val="single" w:color="003399" w:sz="1"/>
            </w:tcBorders>
            <w:shd w:fill="CC0000"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136,3</w:t>
            </w:r>
          </w:p>
          <w:p>
            <w:pPr>
              <w:jc w:val="center"/>
            </w:pPr>
            <w:r>
              <w:rPr>
                <w:rFonts w:ascii="Arial" w:cs="Arial" w:eastAsia="Arial" w:hAnsi="Arial"/>
                <w:color w:val="FFFFFF"/>
                <w:sz w:val="18"/>
                <w:szCs w:val="18"/>
              </w:rPr>
              <w:t xml:space="preserve">TB date furate total</w:t>
            </w:r>
          </w:p>
        </w:tc>
        <w:tc>
          <w:tcPr>
            <w:tcW w:type="dxa" w:w="2340"/>
            <w:tcBorders>
              <w:top w:val="single" w:color="003399" w:sz="1"/>
              <w:left w:val="single" w:color="003399" w:sz="1"/>
              <w:bottom w:val="single" w:color="003399" w:sz="1"/>
              <w:right w:val="single" w:color="003399" w:sz="1"/>
            </w:tcBorders>
            <w:shd w:fill="C00000"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&gt;10</w:t>
            </w:r>
          </w:p>
          <w:p>
            <w:pPr>
              <w:jc w:val="center"/>
            </w:pPr>
            <w:r>
              <w:rPr>
                <w:rFonts w:ascii="Arial" w:cs="Arial" w:eastAsia="Arial" w:hAnsi="Arial"/>
                <w:color w:val="FFFFFF"/>
                <w:sz w:val="18"/>
                <w:szCs w:val="18"/>
              </w:rPr>
              <w:t xml:space="preserve">TB furate/lună (medie)</w:t>
            </w:r>
          </w:p>
        </w:tc>
        <w:tc>
          <w:tcPr>
            <w:tcW w:type="dxa" w:w="2340"/>
            <w:tcBorders>
              <w:top w:val="single" w:color="003399" w:sz="1"/>
              <w:left w:val="single" w:color="003399" w:sz="1"/>
              <w:bottom w:val="single" w:color="003399" w:sz="1"/>
              <w:right w:val="single" w:color="003399" w:sz="1"/>
            </w:tcBorders>
            <w:shd w:fill="1F4E79"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47</w:t>
            </w:r>
          </w:p>
          <w:p>
            <w:pPr>
              <w:jc w:val="center"/>
            </w:pPr>
            <w:r>
              <w:rPr>
                <w:rFonts w:ascii="Arial" w:cs="Arial" w:eastAsia="Arial" w:hAnsi="Arial"/>
                <w:color w:val="FFFFFF"/>
                <w:sz w:val="18"/>
                <w:szCs w:val="18"/>
              </w:rPr>
              <w:t xml:space="preserve">Actori unici identificați</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3399" w:sz="1"/>
              <w:left w:val="single" w:color="003399" w:sz="1"/>
              <w:bottom w:val="single" w:color="003399" w:sz="1"/>
              <w:right w:val="single" w:color="003399" w:sz="1"/>
            </w:tcBorders>
            <w:shd w:fill="003399"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58,2%</w:t>
            </w:r>
          </w:p>
          <w:p>
            <w:pPr>
              <w:jc w:val="center"/>
            </w:pPr>
            <w:r>
              <w:rPr>
                <w:rFonts w:ascii="Arial" w:cs="Arial" w:eastAsia="Arial" w:hAnsi="Arial"/>
                <w:color w:val="FFFFFF"/>
                <w:sz w:val="18"/>
                <w:szCs w:val="18"/>
              </w:rPr>
              <w:t xml:space="preserve">Date GDPR personale din total furat</w:t>
            </w:r>
          </w:p>
        </w:tc>
        <w:tc>
          <w:tcPr>
            <w:tcW w:type="dxa" w:w="2340"/>
            <w:tcBorders>
              <w:top w:val="single" w:color="003399" w:sz="1"/>
              <w:left w:val="single" w:color="003399" w:sz="1"/>
              <w:bottom w:val="single" w:color="003399" w:sz="1"/>
              <w:right w:val="single" w:color="003399" w:sz="1"/>
            </w:tcBorders>
            <w:shd w:fill="CC0000"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95,3%</w:t>
            </w:r>
          </w:p>
          <w:p>
            <w:pPr>
              <w:jc w:val="center"/>
            </w:pPr>
            <w:r>
              <w:rPr>
                <w:rFonts w:ascii="Arial" w:cs="Arial" w:eastAsia="Arial" w:hAnsi="Arial"/>
                <w:color w:val="FFFFFF"/>
                <w:sz w:val="18"/>
                <w:szCs w:val="18"/>
              </w:rPr>
              <w:t xml:space="preserve">Incidente cu acces inițial necunoscut</w:t>
            </w:r>
          </w:p>
        </w:tc>
        <w:tc>
          <w:tcPr>
            <w:tcW w:type="dxa" w:w="2340"/>
            <w:tcBorders>
              <w:top w:val="single" w:color="003399" w:sz="1"/>
              <w:left w:val="single" w:color="003399" w:sz="1"/>
              <w:bottom w:val="single" w:color="003399" w:sz="1"/>
              <w:right w:val="single" w:color="003399" w:sz="1"/>
            </w:tcBorders>
            <w:shd w:fill="7B2D8B"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47,83%</w:t>
            </w:r>
          </w:p>
          <w:p>
            <w:pPr>
              <w:jc w:val="center"/>
            </w:pPr>
            <w:r>
              <w:rPr>
                <w:rFonts w:ascii="Arial" w:cs="Arial" w:eastAsia="Arial" w:hAnsi="Arial"/>
                <w:color w:val="FFFFFF"/>
                <w:sz w:val="18"/>
                <w:szCs w:val="18"/>
              </w:rPr>
              <w:t xml:space="preserve">Incidente cu date scurse parțial/total</w:t>
            </w:r>
          </w:p>
        </w:tc>
        <w:tc>
          <w:tcPr>
            <w:tcW w:type="dxa" w:w="2340"/>
            <w:tcBorders>
              <w:top w:val="single" w:color="003399" w:sz="1"/>
              <w:left w:val="single" w:color="003399" w:sz="1"/>
              <w:bottom w:val="single" w:color="003399" w:sz="1"/>
              <w:right w:val="single" w:color="003399" w:sz="1"/>
            </w:tcBorders>
            <w:shd w:fill="375623"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~62%</w:t>
            </w:r>
          </w:p>
          <w:p>
            <w:pPr>
              <w:jc w:val="center"/>
            </w:pPr>
            <w:r>
              <w:rPr>
                <w:rFonts w:ascii="Arial" w:cs="Arial" w:eastAsia="Arial" w:hAnsi="Arial"/>
                <w:color w:val="FFFFFF"/>
                <w:sz w:val="18"/>
                <w:szCs w:val="18"/>
              </w:rPr>
              <w:t xml:space="preserve">Organizații care au plătit (estimat)</w:t>
            </w:r>
          </w:p>
        </w:tc>
      </w:tr>
    </w:tbl>
    <w:p>
      <w:pPr>
        <w:spacing w:after="0" w:before="160"/>
      </w:pPr>
    </w:p>
    <w:p>
      <w:pPr>
        <w:pStyle w:val="Heading2"/>
        <w:spacing w:after="80" w:before="240"/>
      </w:pPr>
      <w:r>
        <w:rPr>
          <w:rFonts w:ascii="Arial" w:cs="Arial" w:eastAsia="Arial" w:hAnsi="Arial"/>
          <w:b/>
          <w:bCs/>
          <w:color w:val="CC0000"/>
          <w:sz w:val="26"/>
          <w:szCs w:val="26"/>
        </w:rPr>
        <w:t xml:space="preserve">5.1 Volumul și Tipul Datelor Furate</w:t>
      </w:r>
    </w:p>
    <w:p>
      <w:pPr>
        <w:spacing w:after="100" w:before="80"/>
        <w:jc w:val="both"/>
      </w:pPr>
      <w:r>
        <w:rPr>
          <w:rFonts w:ascii="Arial" w:cs="Arial" w:eastAsia="Arial" w:hAnsi="Arial"/>
          <w:sz w:val="22"/>
          <w:szCs w:val="22"/>
        </w:rPr>
        <w:t xml:space="preserve">Din cele 623 de incidente, dovezi ale scurgerilor de date au fost găsite în 288 (46,2%). Totalul acumulat de date furate este de 136,3 TB, cu o medie de 518 GB pe incident. Volumul maxim de date furate într-un singur incident: 50 TB -  furtul din Ministerul Sănătății din Brazilia de către actorul Lapsus$. Datele parțial scurse au fost identificate în 62 incidente (9,95%), iar datele complet scurse în 236 incidente (37,88%).</w:t>
      </w:r>
    </w:p>
    <w:p>
      <w:pPr>
        <w:spacing w:after="100" w:before="80"/>
        <w:jc w:val="both"/>
      </w:pPr>
      <w:r>
        <w:rPr>
          <w:rFonts w:ascii="Arial" w:cs="Arial" w:eastAsia="Arial" w:hAnsi="Arial"/>
          <w:sz w:val="22"/>
          <w:szCs w:val="22"/>
        </w:rPr>
        <w:t xml:space="preserve">Din datele furate, 58,2% conțin date personale GDPR -  informații de sănătate protejate (PHI), numere de pașaport și vize, adrese, statut COVID. La nivel de PII, 33% din datele furate includ PII al angajaților și 18,3% PII al clienților. Datele non-personale reprezintă 41,7%, incluzând informații financiare (19%) și informații de afaceri (&gt;24%) -  bugete, documente administrative, fișiere legale, NDA-uri.</w:t>
      </w:r>
    </w:p>
    <w:p>
      <w:pPr>
        <w:pStyle w:val="Heading2"/>
        <w:spacing w:after="80" w:before="240"/>
      </w:pPr>
      <w:r>
        <w:rPr>
          <w:rFonts w:ascii="Arial" w:cs="Arial" w:eastAsia="Arial" w:hAnsi="Arial"/>
          <w:b/>
          <w:bCs/>
          <w:color w:val="CC0000"/>
          <w:sz w:val="26"/>
          <w:szCs w:val="26"/>
        </w:rPr>
        <w:t xml:space="preserve">5.2 Distribuția Geografică</w:t>
      </w:r>
    </w:p>
    <w:p>
      <w:pPr>
        <w:spacing w:after="100" w:before="80"/>
        <w:jc w:val="both"/>
      </w:pPr>
      <w:r>
        <w:rPr>
          <w:rFonts w:ascii="Arial" w:cs="Arial" w:eastAsia="Arial" w:hAnsi="Arial"/>
          <w:sz w:val="22"/>
          <w:szCs w:val="22"/>
        </w:rPr>
        <w:t xml:space="preserve">Top 3 țări atacate din cele 623 de incidente: Statele Unite (112 incidente), Germania (96 incidente) și Franța (78 incidente). Urmează Spania, Italia, Regatul Unit, Elveția și Țările de Jos. Această distribuție este parțial condiționată de focusul raportului pe Europa, SUA și UK, și nu reprezintă o imagine complet reprezentativă la nivel global.</w:t>
      </w:r>
    </w:p>
    <w:p>
      <w:pPr>
        <w:pStyle w:val="Heading2"/>
        <w:spacing w:after="80" w:before="240"/>
      </w:pPr>
      <w:r>
        <w:rPr>
          <w:rFonts w:ascii="Arial" w:cs="Arial" w:eastAsia="Arial" w:hAnsi="Arial"/>
          <w:b/>
          <w:bCs/>
          <w:color w:val="CC0000"/>
          <w:sz w:val="26"/>
          <w:szCs w:val="26"/>
        </w:rPr>
        <w:t xml:space="preserve">5.3 Sectoarele Afectate</w:t>
      </w:r>
    </w:p>
    <w:p>
      <w:pPr>
        <w:spacing w:after="100" w:before="80"/>
        <w:jc w:val="both"/>
      </w:pPr>
      <w:r>
        <w:rPr>
          <w:rFonts w:ascii="Arial" w:cs="Arial" w:eastAsia="Arial" w:hAnsi="Arial"/>
          <w:sz w:val="22"/>
          <w:szCs w:val="22"/>
        </w:rPr>
        <w:t xml:space="preserve">Analiza distribuției pe sectoare confirmă că ransomware-ul vizează toate sectoarele fără discriminare. Industria grea conduce topul, urmată de servicii de informații, guvern, sănătate, alimentar, finanțe și transporturi. Educația, serviciile, media și energia sunt de asemenea afectate. Concluzia ENISA este clară: niciun sector industrial nu este în siguranță.</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003399" w:sz="1"/>
              <w:left w:val="single" w:color="003399" w:sz="1"/>
              <w:bottom w:val="single" w:color="003399" w:sz="1"/>
              <w:right w:val="single" w:color="003399" w:sz="1"/>
            </w:tcBorders>
            <w:shd w:fill="003399"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4360"/>
            <w:tcBorders>
              <w:top w:val="single" w:color="003399" w:sz="1"/>
              <w:left w:val="single" w:color="003399" w:sz="1"/>
              <w:bottom w:val="single" w:color="003399" w:sz="1"/>
              <w:right w:val="single" w:color="003399" w:sz="1"/>
            </w:tcBorders>
            <w:shd w:fill="003399" w:val="clear"/>
            <w:tcMar>
              <w:top w:type="dxa" w:w="80"/>
              <w:left w:type="dxa" w:w="120"/>
              <w:bottom w:type="dxa" w:w="80"/>
              <w:right w:type="dxa" w:w="120"/>
            </w:tcMar>
          </w:tcPr>
          <w:p>
            <w:r>
              <w:rPr>
                <w:rFonts w:ascii="Arial" w:cs="Arial" w:eastAsia="Arial" w:hAnsi="Arial"/>
                <w:b/>
                <w:bCs/>
                <w:color w:val="FFFFFF"/>
                <w:sz w:val="20"/>
                <w:szCs w:val="20"/>
              </w:rPr>
              <w:t xml:space="preserve">Poziție relativă în top</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Heavy Industry (Industrie grea)</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1 -  Cel mai afectat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Information Service (Servicii IT)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Government (Guvern)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Health (Sănătate)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Food (Alimentar)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Finance (Finanțe)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Transportation (Transport)</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7</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Retail and Fashion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Automotive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9</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Education (Educație)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r>
    </w:tbl>
    <w:p>
      <w:pPr>
        <w:spacing w:after="0" w:before="160"/>
      </w:pPr>
    </w:p>
    <w:p>
      <w:pPr>
        <w:pStyle w:val="Heading2"/>
        <w:spacing w:after="80" w:before="240"/>
      </w:pPr>
      <w:r>
        <w:rPr>
          <w:rFonts w:ascii="Arial" w:cs="Arial" w:eastAsia="Arial" w:hAnsi="Arial"/>
          <w:b/>
          <w:bCs/>
          <w:color w:val="CC0000"/>
          <w:sz w:val="26"/>
          <w:szCs w:val="26"/>
        </w:rPr>
        <w:t xml:space="preserve">5.4 Actorii de Amenințare</w:t>
      </w:r>
    </w:p>
    <w:p>
      <w:pPr>
        <w:spacing w:after="100" w:before="80"/>
        <w:jc w:val="both"/>
      </w:pPr>
      <w:r>
        <w:rPr>
          <w:rFonts w:ascii="Arial" w:cs="Arial" w:eastAsia="Arial" w:hAnsi="Arial"/>
          <w:sz w:val="22"/>
          <w:szCs w:val="22"/>
        </w:rPr>
        <w:t xml:space="preserve">Un aspect remarcabil al ecosistemului ransomware față de alte amenințări cibernetice: actorii de amenințare revendică public atacurile pentru a-și construi reputația. Actorul de amenințare era cunoscut în 96,5% din cazuri (doar 22 incidente fără confirmare). Din cele 623 de incidente, au fost identificați 47 de actori unici. Top 3 atacatori: Conti, LockBit și Hive -  cei mai prolifici din perioada analizată.</w:t>
      </w:r>
    </w:p>
    <w:p>
      <w:pPr>
        <w:pStyle w:val="Heading2"/>
        <w:spacing w:after="80" w:before="240"/>
      </w:pPr>
      <w:r>
        <w:rPr>
          <w:rFonts w:ascii="Arial" w:cs="Arial" w:eastAsia="Arial" w:hAnsi="Arial"/>
          <w:b/>
          <w:bCs/>
          <w:color w:val="CC0000"/>
          <w:sz w:val="26"/>
          <w:szCs w:val="26"/>
        </w:rPr>
        <w:t xml:space="preserve">5.5 Evoluția Temporală</w:t>
      </w:r>
    </w:p>
    <w:p>
      <w:pPr>
        <w:spacing w:after="100" w:before="80"/>
        <w:jc w:val="both"/>
      </w:pPr>
      <w:r>
        <w:rPr>
          <w:rFonts w:ascii="Arial" w:cs="Arial" w:eastAsia="Arial" w:hAnsi="Arial"/>
          <w:sz w:val="22"/>
          <w:szCs w:val="22"/>
        </w:rPr>
        <w:t xml:space="preserve">Timeline-ul incidentelor arată o tendință clară de accelerare: de la 53 incidente în mai 2021, cu fluctuații de 25-48 pe lună în vara și toamna 2021, la un salt dramatic în 2022 -  54 incidente în ianuarie, 92 în februarie, 113 în martie și 92 în aprilie 2022. Volumul cumulat de date furate a crescut de la 8 TB (mai 2021) la 90 TB în noiembrie 2021, atingând 136 TB până în mai 2022. Accelerarea din 2022 reflectă maturizarea modelelor RaaS și creșterea numărului de afiliați.</w:t>
      </w:r>
    </w:p>
    <w:p>
      <w:pPr>
        <w:spacing w:after="0" w:before="160"/>
      </w:pPr>
    </w:p>
    <w:p>
      <w:pPr>
        <w:pStyle w:val="Heading1"/>
        <w:pBdr>
          <w:bottom w:val="single" w:color="CC0000" w:sz="8" w:space="4"/>
        </w:pBdr>
        <w:spacing w:after="120" w:before="360"/>
      </w:pPr>
      <w:r>
        <w:rPr>
          <w:rFonts w:ascii="Arial" w:cs="Arial" w:eastAsia="Arial" w:hAnsi="Arial"/>
          <w:b/>
          <w:bCs/>
          <w:color w:val="003399"/>
          <w:sz w:val="30"/>
          <w:szCs w:val="30"/>
        </w:rPr>
        <w:t xml:space="preserve">6. Recomandări ENISA</w:t>
      </w:r>
    </w:p>
    <w:p>
      <w:pPr>
        <w:pStyle w:val="Heading2"/>
        <w:spacing w:after="80" w:before="240"/>
      </w:pPr>
      <w:r>
        <w:rPr>
          <w:rFonts w:ascii="Arial" w:cs="Arial" w:eastAsia="Arial" w:hAnsi="Arial"/>
          <w:b/>
          <w:bCs/>
          <w:color w:val="CC0000"/>
          <w:sz w:val="26"/>
          <w:szCs w:val="26"/>
        </w:rPr>
        <w:t xml:space="preserve">6.1 Reziliență împotriva Ransomware-ului (Pre-incident)</w:t>
      </w:r>
    </w:p>
    <w:p>
      <w:pPr>
        <w:spacing w:after="100" w:before="80"/>
        <w:jc w:val="both"/>
      </w:pPr>
      <w:r>
        <w:rPr>
          <w:rFonts w:ascii="Arial" w:cs="Arial" w:eastAsia="Arial" w:hAnsi="Arial"/>
          <w:sz w:val="22"/>
          <w:szCs w:val="22"/>
        </w:rPr>
        <w:t xml:space="preserve">ENISA subliniază că organizațiile nu trebuie să se întrebe dacă vor suferi un atac ransomware, ci când. Recomandările pentru faza de pregătire:</w:t>
      </w:r>
    </w:p>
    <w:p>
      <w:pPr>
        <w:pStyle w:val="ListParagraph"/>
        <w:numPr>
          <w:ilvl w:val="0"/>
          <w:numId w:val="2"/>
        </w:numPr>
        <w:spacing w:after="40" w:before="40"/>
      </w:pPr>
      <w:r>
        <w:rPr>
          <w:rFonts w:ascii="Arial" w:cs="Arial" w:eastAsia="Arial" w:hAnsi="Arial"/>
          <w:sz w:val="22"/>
          <w:szCs w:val="22"/>
        </w:rPr>
        <w:t xml:space="preserve">Backup verificat al tuturor fișierelor critice de business și datelor personale, menținut actualizat și izolat de rețea.</w:t>
      </w:r>
    </w:p>
    <w:p>
      <w:pPr>
        <w:pStyle w:val="ListParagraph"/>
        <w:numPr>
          <w:ilvl w:val="0"/>
          <w:numId w:val="2"/>
        </w:numPr>
        <w:spacing w:after="40" w:before="40"/>
      </w:pPr>
      <w:r>
        <w:rPr>
          <w:rFonts w:ascii="Arial" w:cs="Arial" w:eastAsia="Arial" w:hAnsi="Arial"/>
          <w:sz w:val="22"/>
          <w:szCs w:val="22"/>
        </w:rPr>
        <w:t xml:space="preserve">Aplicarea regulii 3-2-1: 3 copii ale datelor, pe 2 medii de stocare diferite, cu 1 copie off-site.</w:t>
      </w:r>
    </w:p>
    <w:p>
      <w:pPr>
        <w:pStyle w:val="ListParagraph"/>
        <w:numPr>
          <w:ilvl w:val="0"/>
          <w:numId w:val="2"/>
        </w:numPr>
        <w:spacing w:after="40" w:before="40"/>
      </w:pPr>
      <w:r>
        <w:rPr>
          <w:rFonts w:ascii="Arial" w:cs="Arial" w:eastAsia="Arial" w:hAnsi="Arial"/>
          <w:sz w:val="22"/>
          <w:szCs w:val="22"/>
        </w:rPr>
        <w:t xml:space="preserve">Criptarea datelor personale conform GDPR cu controale bazate pe risc.</w:t>
      </w:r>
    </w:p>
    <w:p>
      <w:pPr>
        <w:pStyle w:val="ListParagraph"/>
        <w:numPr>
          <w:ilvl w:val="0"/>
          <w:numId w:val="2"/>
        </w:numPr>
        <w:spacing w:after="40" w:before="40"/>
      </w:pPr>
      <w:r>
        <w:rPr>
          <w:rFonts w:ascii="Arial" w:cs="Arial" w:eastAsia="Arial" w:hAnsi="Arial"/>
          <w:sz w:val="22"/>
          <w:szCs w:val="22"/>
        </w:rPr>
        <w:t xml:space="preserve">Rularea software-ului de securitate pe dispozitivele endpoint capabil să detecteze ransomware.</w:t>
      </w:r>
    </w:p>
    <w:p>
      <w:pPr>
        <w:pStyle w:val="ListParagraph"/>
        <w:numPr>
          <w:ilvl w:val="0"/>
          <w:numId w:val="2"/>
        </w:numPr>
        <w:spacing w:after="40" w:before="40"/>
      </w:pPr>
      <w:r>
        <w:rPr>
          <w:rFonts w:ascii="Arial" w:cs="Arial" w:eastAsia="Arial" w:hAnsi="Arial"/>
          <w:sz w:val="22"/>
          <w:szCs w:val="22"/>
        </w:rPr>
        <w:t xml:space="preserve">Menținerea igienei de securitate: segmentarea rețelei, patch-uri actualizate, backup-uri regulate, Identity, Credential and Access Management (ICAM) cu suport MFA.</w:t>
      </w:r>
    </w:p>
    <w:p>
      <w:pPr>
        <w:pStyle w:val="ListParagraph"/>
        <w:numPr>
          <w:ilvl w:val="0"/>
          <w:numId w:val="2"/>
        </w:numPr>
        <w:spacing w:after="40" w:before="40"/>
      </w:pPr>
      <w:r>
        <w:rPr>
          <w:rFonts w:ascii="Arial" w:cs="Arial" w:eastAsia="Arial" w:hAnsi="Arial"/>
          <w:sz w:val="22"/>
          <w:szCs w:val="22"/>
        </w:rPr>
        <w:t xml:space="preserve">Evaluare periodică a riscurilor și considerarea asigurării ransomware.</w:t>
      </w:r>
    </w:p>
    <w:p>
      <w:pPr>
        <w:pStyle w:val="ListParagraph"/>
        <w:numPr>
          <w:ilvl w:val="0"/>
          <w:numId w:val="2"/>
        </w:numPr>
        <w:spacing w:after="40" w:before="40"/>
      </w:pPr>
      <w:r>
        <w:rPr>
          <w:rFonts w:ascii="Arial" w:cs="Arial" w:eastAsia="Arial" w:hAnsi="Arial"/>
          <w:sz w:val="22"/>
          <w:szCs w:val="22"/>
        </w:rPr>
        <w:t xml:space="preserve">Restricționarea privilegiilor administrative -  aplicarea Principiului Least Privilege (PLOP) pentru orice tip de acces.</w:t>
      </w:r>
    </w:p>
    <w:p>
      <w:pPr>
        <w:pStyle w:val="ListParagraph"/>
        <w:numPr>
          <w:ilvl w:val="0"/>
          <w:numId w:val="2"/>
        </w:numPr>
        <w:spacing w:after="40" w:before="40"/>
      </w:pPr>
      <w:r>
        <w:rPr>
          <w:rFonts w:ascii="Arial" w:cs="Arial" w:eastAsia="Arial" w:hAnsi="Arial"/>
          <w:sz w:val="22"/>
          <w:szCs w:val="22"/>
        </w:rPr>
        <w:t xml:space="preserve">Familiarizarea cu agențiile guvernamentale locale care oferă asistență în incidente ransomware.</w:t>
      </w:r>
    </w:p>
    <w:p>
      <w:pPr>
        <w:pStyle w:val="Heading2"/>
        <w:spacing w:after="80" w:before="240"/>
      </w:pPr>
      <w:r>
        <w:rPr>
          <w:rFonts w:ascii="Arial" w:cs="Arial" w:eastAsia="Arial" w:hAnsi="Arial"/>
          <w:b/>
          <w:bCs/>
          <w:color w:val="CC0000"/>
          <w:sz w:val="26"/>
          <w:szCs w:val="26"/>
        </w:rPr>
        <w:t xml:space="preserve">6.2 Răspuns la Ransomware (Post-incident)</w:t>
      </w:r>
    </w:p>
    <w:p>
      <w:pPr>
        <w:spacing w:after="100" w:before="80"/>
        <w:jc w:val="both"/>
      </w:pPr>
      <w:r>
        <w:rPr>
          <w:rFonts w:ascii="Arial" w:cs="Arial" w:eastAsia="Arial" w:hAnsi="Arial"/>
          <w:sz w:val="22"/>
          <w:szCs w:val="22"/>
        </w:rPr>
        <w:t xml:space="preserve">Cea mai importantă recomandare este prima: contactarea autorităților. Nu plata răscumpărării.</w:t>
      </w:r>
    </w:p>
    <w:p>
      <w:pPr>
        <w:pStyle w:val="ListParagraph"/>
        <w:numPr>
          <w:ilvl w:val="0"/>
          <w:numId w:val="2"/>
        </w:numPr>
        <w:spacing w:after="40" w:before="40"/>
      </w:pPr>
      <w:r>
        <w:rPr>
          <w:rFonts w:ascii="Arial" w:cs="Arial" w:eastAsia="Arial" w:hAnsi="Arial"/>
          <w:sz w:val="22"/>
          <w:szCs w:val="22"/>
        </w:rPr>
        <w:t xml:space="preserve">Contactarea autorităților naționale de securitate cibernetică sau a forțelor de ordine.</w:t>
      </w:r>
    </w:p>
    <w:p>
      <w:pPr>
        <w:pStyle w:val="ListParagraph"/>
        <w:numPr>
          <w:ilvl w:val="0"/>
          <w:numId w:val="2"/>
        </w:numPr>
        <w:spacing w:after="40" w:before="40"/>
      </w:pPr>
      <w:r>
        <w:rPr>
          <w:rFonts w:ascii="Arial" w:cs="Arial" w:eastAsia="Arial" w:hAnsi="Arial"/>
          <w:sz w:val="22"/>
          <w:szCs w:val="22"/>
        </w:rPr>
        <w:t xml:space="preserve">Nu plătiți răscumpărarea și nu negociați cu actorii de amenințare.</w:t>
      </w:r>
    </w:p>
    <w:p>
      <w:pPr>
        <w:pStyle w:val="ListParagraph"/>
        <w:numPr>
          <w:ilvl w:val="0"/>
          <w:numId w:val="2"/>
        </w:numPr>
        <w:spacing w:after="40" w:before="40"/>
      </w:pPr>
      <w:r>
        <w:rPr>
          <w:rFonts w:ascii="Arial" w:cs="Arial" w:eastAsia="Arial" w:hAnsi="Arial"/>
          <w:sz w:val="22"/>
          <w:szCs w:val="22"/>
        </w:rPr>
        <w:t xml:space="preserve">Carantinarea sistemelor afectate: deconectarea de la rețea pentru a conține infecția.</w:t>
      </w:r>
    </w:p>
    <w:p>
      <w:pPr>
        <w:pStyle w:val="ListParagraph"/>
        <w:numPr>
          <w:ilvl w:val="0"/>
          <w:numId w:val="2"/>
        </w:numPr>
        <w:spacing w:after="40" w:before="40"/>
      </w:pPr>
      <w:r>
        <w:rPr>
          <w:rFonts w:ascii="Arial" w:cs="Arial" w:eastAsia="Arial" w:hAnsi="Arial"/>
          <w:sz w:val="22"/>
          <w:szCs w:val="22"/>
        </w:rPr>
        <w:t xml:space="preserve">Accesarea proiectului No More Ransom (inițiativă Europol) care poate decripta 162 de variante ransomware.</w:t>
      </w:r>
    </w:p>
    <w:p>
      <w:pPr>
        <w:pStyle w:val="ListParagraph"/>
        <w:numPr>
          <w:ilvl w:val="0"/>
          <w:numId w:val="2"/>
        </w:numPr>
        <w:spacing w:after="40" w:before="40"/>
      </w:pPr>
      <w:r>
        <w:rPr>
          <w:rFonts w:ascii="Arial" w:cs="Arial" w:eastAsia="Arial" w:hAnsi="Arial"/>
          <w:sz w:val="22"/>
          <w:szCs w:val="22"/>
        </w:rPr>
        <w:t xml:space="preserve">Blocarea accesului la sistemele de backup până la eliminarea infecției.</w:t>
      </w:r>
    </w:p>
    <w:p>
      <w:pPr>
        <w:pStyle w:val="ListParagraph"/>
        <w:numPr>
          <w:ilvl w:val="0"/>
          <w:numId w:val="2"/>
        </w:numPr>
        <w:spacing w:after="40" w:before="40"/>
      </w:pPr>
      <w:r>
        <w:rPr>
          <w:rFonts w:ascii="Arial" w:cs="Arial" w:eastAsia="Arial" w:hAnsi="Arial"/>
          <w:sz w:val="22"/>
          <w:szCs w:val="22"/>
        </w:rPr>
        <w:t xml:space="preserve">Partajarea informațiilor cu autoritățile -  schimbul de informații este unul dintre pilonii fundamentali ai securității cibernetice.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1"/>
              <w:left w:val="single" w:color="CC0000" w:sz="1"/>
              <w:bottom w:val="single" w:color="CC0000" w:sz="1"/>
              <w:right w:val="single" w:color="CC0000" w:sz="1"/>
            </w:tcBorders>
            <w:shd w:fill="CC0000" w:val="clear"/>
            <w:tcMar>
              <w:top w:type="dxa" w:w="80"/>
              <w:left w:type="dxa" w:w="160"/>
              <w:bottom w:type="dxa" w:w="80"/>
              <w:right w:type="dxa" w:w="160"/>
            </w:tcMar>
          </w:tcPr>
          <w:p>
            <w:r>
              <w:rPr>
                <w:rFonts w:ascii="Arial" w:cs="Arial" w:eastAsia="Arial" w:hAnsi="Arial"/>
                <w:b/>
                <w:bCs/>
                <w:color w:val="FFFFFF"/>
                <w:sz w:val="22"/>
                <w:szCs w:val="22"/>
              </w:rPr>
              <w:t xml:space="preserve">De ce să nu plătești răscumpărarea -  perspectiva ENISA</w:t>
            </w:r>
          </w:p>
        </w:tc>
      </w:tr>
      <w:tr>
        <w:tc>
          <w:tcPr>
            <w:tcBorders>
              <w:top w:val="single" w:color="CC0000" w:sz="1"/>
              <w:left w:val="single" w:color="CC0000" w:sz="1"/>
              <w:bottom w:val="single" w:color="CC0000" w:sz="1"/>
              <w:right w:val="single" w:color="CC0000" w:sz="1"/>
            </w:tcBorders>
            <w:shd w:fill="FDECEA" w:val="clear"/>
            <w:tcMar>
              <w:top w:type="dxa" w:w="100"/>
              <w:left w:type="dxa" w:w="160"/>
              <w:bottom w:type="dxa" w:w="100"/>
              <w:right w:type="dxa" w:w="160"/>
            </w:tcMar>
          </w:tcPr>
          <w:p>
            <w:pPr>
              <w:spacing w:after="40" w:before="60"/>
              <w:jc w:val="both"/>
            </w:pPr>
            <w:r>
              <w:rPr>
                <w:rFonts w:ascii="Arial" w:cs="Arial" w:eastAsia="Arial" w:hAnsi="Arial"/>
                <w:b/>
                <w:bCs/>
                <w:sz w:val="22"/>
                <w:szCs w:val="22"/>
              </w:rPr>
              <w:t xml:space="preserve">Legal: </w:t>
            </w:r>
            <w:r>
              <w:rPr>
                <w:rFonts w:ascii="Arial" w:cs="Arial" w:eastAsia="Arial" w:hAnsi="Arial"/>
                <w:sz w:val="22"/>
                <w:szCs w:val="22"/>
              </w:rPr>
              <w:t xml:space="preserve">În unele țări, plata este ilegală. Consultați echipa juridică și autoritățile locale.</w:t>
            </w:r>
          </w:p>
          <w:p>
            <w:pPr>
              <w:spacing w:after="40" w:before="40"/>
              <w:jc w:val="both"/>
            </w:pPr>
            <w:r>
              <w:rPr>
                <w:rFonts w:ascii="Arial" w:cs="Arial" w:eastAsia="Arial" w:hAnsi="Arial"/>
                <w:b/>
                <w:bCs/>
                <w:sz w:val="22"/>
                <w:szCs w:val="22"/>
              </w:rPr>
              <w:t xml:space="preserve">Tehnic: </w:t>
            </w:r>
            <w:r>
              <w:rPr>
                <w:rFonts w:ascii="Arial" w:cs="Arial" w:eastAsia="Arial" w:hAnsi="Arial"/>
                <w:sz w:val="22"/>
                <w:szCs w:val="22"/>
              </w:rPr>
              <w:t xml:space="preserve">Plata nu garantează recuperarea activelor. Sophos (2022): doar 4% au recuperat toate datele, majoritatea ~60%.</w:t>
            </w:r>
          </w:p>
          <w:p>
            <w:pPr>
              <w:spacing w:after="40" w:before="40"/>
              <w:jc w:val="both"/>
            </w:pPr>
            <w:r>
              <w:rPr>
                <w:rFonts w:ascii="Arial" w:cs="Arial" w:eastAsia="Arial" w:hAnsi="Arial"/>
                <w:b/>
                <w:bCs/>
                <w:sz w:val="22"/>
                <w:szCs w:val="22"/>
              </w:rPr>
              <w:t xml:space="preserve">Business: </w:t>
            </w:r>
            <w:r>
              <w:rPr>
                <w:rFonts w:ascii="Arial" w:cs="Arial" w:eastAsia="Arial" w:hAnsi="Arial"/>
                <w:sz w:val="22"/>
                <w:szCs w:val="22"/>
              </w:rPr>
              <w:t xml:space="preserve">Evaluați costul recuperării fără active compromise față de plata răscumpărării și riscul scurgerii datelor oricum.</w:t>
            </w:r>
          </w:p>
          <w:p>
            <w:pPr>
              <w:spacing w:after="60" w:before="40"/>
              <w:jc w:val="both"/>
            </w:pPr>
            <w:r>
              <w:rPr>
                <w:rFonts w:ascii="Arial" w:cs="Arial" w:eastAsia="Arial" w:hAnsi="Arial"/>
                <w:b/>
                <w:bCs/>
                <w:sz w:val="22"/>
                <w:szCs w:val="22"/>
              </w:rPr>
              <w:t xml:space="preserve">Etic: </w:t>
            </w:r>
            <w:r>
              <w:rPr>
                <w:rFonts w:ascii="Arial" w:cs="Arial" w:eastAsia="Arial" w:hAnsi="Arial"/>
                <w:sz w:val="22"/>
                <w:szCs w:val="22"/>
              </w:rPr>
              <w:t xml:space="preserve">Plata finanțează operațiunile ransomware și alimentează creșterea rapidă a amenințării la nivel global.</w:t>
            </w:r>
          </w:p>
        </w:tc>
      </w:tr>
    </w:tbl>
    <w:p>
      <w:pPr>
        <w:spacing w:after="0" w:before="160"/>
      </w:pPr>
    </w:p>
    <w:p>
      <w:pPr>
        <w:pStyle w:val="Heading1"/>
        <w:pBdr>
          <w:bottom w:val="single" w:color="CC0000" w:sz="8" w:space="4"/>
        </w:pBdr>
        <w:spacing w:after="120" w:before="360"/>
      </w:pPr>
      <w:r>
        <w:rPr>
          <w:rFonts w:ascii="Arial" w:cs="Arial" w:eastAsia="Arial" w:hAnsi="Arial"/>
          <w:b/>
          <w:bCs/>
          <w:color w:val="003399"/>
          <w:sz w:val="30"/>
          <w:szCs w:val="30"/>
        </w:rPr>
        <w:t xml:space="preserve">7. Concluzii</w:t>
      </w:r>
    </w:p>
    <w:p>
      <w:pPr>
        <w:pStyle w:val="Heading2"/>
        <w:spacing w:after="80" w:before="240"/>
      </w:pPr>
      <w:r>
        <w:rPr>
          <w:rFonts w:ascii="Arial" w:cs="Arial" w:eastAsia="Arial" w:hAnsi="Arial"/>
          <w:b/>
          <w:bCs/>
          <w:color w:val="CC0000"/>
          <w:sz w:val="26"/>
          <w:szCs w:val="26"/>
        </w:rPr>
        <w:t xml:space="preserve">7.1 Lipsa Datelor Fiabile</w:t>
      </w:r>
    </w:p>
    <w:p>
      <w:pPr>
        <w:spacing w:after="100" w:before="80"/>
        <w:jc w:val="both"/>
      </w:pPr>
      <w:r>
        <w:rPr>
          <w:rFonts w:ascii="Arial" w:cs="Arial" w:eastAsia="Arial" w:hAnsi="Arial"/>
          <w:sz w:val="22"/>
          <w:szCs w:val="22"/>
        </w:rPr>
        <w:t xml:space="preserve">Incidentele ransomware sunt rareori raportate. Majoritatea organizațiilor preferă să gestioneze problema intern pentru a evita publicitate negativă. Cea mai fiabilă sursă pentru identificarea organizațiilor infectate rămâne, paradoxal, paginile web ale actorilor de amenințare -  o sursă în mod evident nesigură. Informația critică lipsă este explicația tehnică a modului în care atacatorii au obținut accesul -  date private despre postura de securitate a țintei care nu sunt niciodată publice. Tendința RaaS complică și mai mult atribuirea, deoarece instrumentul ransomware și serverul de comandă-control sunt partajate între mulți afiliați.</w:t>
      </w:r>
    </w:p>
    <w:p>
      <w:pPr>
        <w:spacing w:after="100" w:before="80"/>
        <w:jc w:val="both"/>
      </w:pPr>
      <w:r>
        <w:rPr>
          <w:rFonts w:ascii="Arial" w:cs="Arial" w:eastAsia="Arial" w:hAnsi="Arial"/>
          <w:sz w:val="22"/>
          <w:szCs w:val="22"/>
        </w:rPr>
        <w:t xml:space="preserve">La nivel legislativ, SUA a introdus cerința raportării obligatorii a incidentelor la CISA. În UE, Directiva NIS2 și noile prevederi de notificare a incidentelor sunt așteptate să îmbunătățească înțelegerea peisajului amenințărilor.</w:t>
      </w:r>
    </w:p>
    <w:p>
      <w:pPr>
        <w:pStyle w:val="Heading2"/>
        <w:spacing w:after="80" w:before="240"/>
      </w:pPr>
      <w:r>
        <w:rPr>
          <w:rFonts w:ascii="Arial" w:cs="Arial" w:eastAsia="Arial" w:hAnsi="Arial"/>
          <w:b/>
          <w:bCs/>
          <w:color w:val="CC0000"/>
          <w:sz w:val="26"/>
          <w:szCs w:val="26"/>
        </w:rPr>
        <w:t xml:space="preserve">7.2 Peisajul Amenințărilor -  Concluzii Cheie</w:t>
      </w:r>
    </w:p>
    <w:p>
      <w:pPr>
        <w:spacing w:after="100" w:before="80"/>
        <w:jc w:val="both"/>
      </w:pPr>
      <w:r>
        <w:rPr>
          <w:rFonts w:ascii="Arial" w:cs="Arial" w:eastAsia="Arial" w:hAnsi="Arial"/>
          <w:sz w:val="22"/>
          <w:szCs w:val="22"/>
        </w:rPr>
        <w:t xml:space="preserve">Analiza din mai 2021 până în iunie 2022 demonstrează că ransomware-ul prosperă și atacurile sunt nediscriminatorii -  companiile de orice dimensiune din orice sector sunt afectate. Principalele concluzii: peste 10 TB de date furate lunar; 58,2% din date conțin informații personale GDPR; metoda de acces inițial este necunoscută în 95,3% din cazuri; aproximativ 62% din organizații ar fi plătit răscumpărarea; 47,83% din incidente au avut date scurse parțial sau total.</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6B0A" w:sz="1"/>
              <w:left w:val="single" w:color="E26B0A" w:sz="1"/>
              <w:bottom w:val="single" w:color="E26B0A" w:sz="1"/>
              <w:right w:val="single" w:color="E26B0A" w:sz="1"/>
            </w:tcBorders>
            <w:shd w:fill="E26B0A" w:val="clear"/>
            <w:tcMar>
              <w:top w:type="dxa" w:w="80"/>
              <w:left w:type="dxa" w:w="160"/>
              <w:bottom w:type="dxa" w:w="80"/>
              <w:right w:type="dxa" w:w="160"/>
            </w:tcMar>
          </w:tcPr>
          <w:p>
            <w:r>
              <w:rPr>
                <w:rFonts w:ascii="Arial" w:cs="Arial" w:eastAsia="Arial" w:hAnsi="Arial"/>
                <w:b/>
                <w:bCs/>
                <w:color w:val="FFFFFF"/>
                <w:sz w:val="22"/>
                <w:szCs w:val="22"/>
              </w:rPr>
              <w:t xml:space="preserve">Mesajul central al raportului ENISA</w:t>
            </w:r>
          </w:p>
        </w:tc>
      </w:tr>
      <w:tr>
        <w:tc>
          <w:tcPr>
            <w:tcBorders>
              <w:top w:val="single" w:color="E26B0A" w:sz="1"/>
              <w:left w:val="single" w:color="E26B0A" w:sz="1"/>
              <w:bottom w:val="single" w:color="E26B0A" w:sz="1"/>
              <w:right w:val="single" w:color="E26B0A" w:sz="1"/>
            </w:tcBorders>
            <w:shd w:fill="FFF9E6" w:val="clear"/>
            <w:tcMar>
              <w:top w:type="dxa" w:w="100"/>
              <w:left w:type="dxa" w:w="160"/>
              <w:bottom w:type="dxa" w:w="100"/>
              <w:right w:type="dxa" w:w="160"/>
            </w:tcMar>
          </w:tcPr>
          <w:p>
            <w:pPr>
              <w:spacing w:after="60" w:before="60"/>
              <w:jc w:val="both"/>
            </w:pPr>
            <w:r>
              <w:rPr>
                <w:rFonts w:ascii="Arial" w:cs="Arial" w:eastAsia="Arial" w:hAnsi="Arial"/>
                <w:sz w:val="22"/>
                <w:szCs w:val="22"/>
              </w:rPr>
              <w:t xml:space="preserve">Incidentele ransomware raportate public reprezintă doar vârful aisbergului. Impactul real este mult mai mare decât cel perceput. Organizațiile trebuie să se pregătească proactiv pentru atacuri ransomware și să contacteze autoritățile -  nu să negocieze cu atacatorii.</w:t>
            </w:r>
          </w:p>
        </w:tc>
      </w:tr>
    </w:tbl>
    <w:p>
      <w:pPr>
        <w:spacing w:after="0" w:before="160"/>
      </w:pPr>
    </w:p>
    <w:p>
      <w:pPr>
        <w:pStyle w:val="Heading1"/>
        <w:pBdr>
          <w:bottom w:val="single" w:color="CC0000" w:sz="8" w:space="4"/>
        </w:pBdr>
        <w:spacing w:after="120" w:before="360"/>
      </w:pPr>
      <w:r>
        <w:rPr>
          <w:rFonts w:ascii="Arial" w:cs="Arial" w:eastAsia="Arial" w:hAnsi="Arial"/>
          <w:b/>
          <w:bCs/>
          <w:color w:val="003399"/>
          <w:sz w:val="30"/>
          <w:szCs w:val="30"/>
        </w:rPr>
        <w:t xml:space="preserve">8. Incidente Notabile -  Studii de Caz</w:t>
      </w:r>
    </w:p>
    <w:p>
      <w:pPr>
        <w:pStyle w:val="Heading2"/>
        <w:spacing w:after="80" w:before="240"/>
      </w:pPr>
      <w:r>
        <w:rPr>
          <w:rFonts w:ascii="Arial" w:cs="Arial" w:eastAsia="Arial" w:hAnsi="Arial"/>
          <w:b/>
          <w:bCs/>
          <w:color w:val="CC0000"/>
          <w:sz w:val="26"/>
          <w:szCs w:val="26"/>
        </w:rPr>
        <w:t xml:space="preserve">8.1 Colonial Pipeline (Mai 2021)</w:t>
      </w:r>
    </w:p>
    <w:p>
      <w:pPr>
        <w:spacing w:after="100" w:before="80"/>
        <w:jc w:val="both"/>
      </w:pPr>
      <w:r>
        <w:rPr>
          <w:rFonts w:ascii="Arial" w:cs="Arial" w:eastAsia="Arial" w:hAnsi="Arial"/>
          <w:sz w:val="22"/>
          <w:szCs w:val="22"/>
        </w:rPr>
        <w:t xml:space="preserve">Colonial Pipeline este cel mai mare sistem de conducte pentru produse petroliere rafinate din Statele Unite, furnizând aproximativ 45% din combustibilul Coastei de Est (benzină, motorină, kerosen și aprovizionare militară). Pe 7 mai 2021, atacatorii au obținut accesul inițial prin credențiale VPN expuse (T1078 -  Valid Accounts). Execuția a constat în desfășurarea ransomware-ului DarkSide. Ransomware-ul a furat și criptat fișiere și foldere; aproximativ 100 GB de date corporative au fost furate. Cererea: 75 Bitcoin (~4,4 milioane USD) în schimbul unui decriptor. Colonial Pipeline a plătit răscumpărarea, a primit decriptorul, dar acesta era atât de lent încât compania nu și-a putut relua operațiunile suficient de rapid. A forțat oprirea operațiunilor, provocând penurii de combustibil la benzinării și perturbări ale programelor aeriene. Departamentul de Justiție al SUA a confiscat ulterior 63,7 Bitcoin (~2,3 milioane USD) din plata originală.</w:t>
      </w:r>
    </w:p>
    <w:p>
      <w:pPr>
        <w:pStyle w:val="Heading2"/>
        <w:spacing w:after="80" w:before="240"/>
      </w:pPr>
      <w:r>
        <w:rPr>
          <w:rFonts w:ascii="Arial" w:cs="Arial" w:eastAsia="Arial" w:hAnsi="Arial"/>
          <w:b/>
          <w:bCs/>
          <w:color w:val="CC0000"/>
          <w:sz w:val="26"/>
          <w:szCs w:val="26"/>
        </w:rPr>
        <w:t xml:space="preserve">8.2 Kaseya (Iulie 2021)</w:t>
      </w:r>
    </w:p>
    <w:p>
      <w:pPr>
        <w:spacing w:after="100" w:before="80"/>
        <w:jc w:val="both"/>
      </w:pPr>
      <w:r>
        <w:rPr>
          <w:rFonts w:ascii="Arial" w:cs="Arial" w:eastAsia="Arial" w:hAnsi="Arial"/>
          <w:sz w:val="22"/>
          <w:szCs w:val="22"/>
        </w:rPr>
        <w:t xml:space="preserve">Kaseya VSA este o platformă de Remote Monitoring and Management (RMM) utilizată de Managed Service Providers (MSP). Pe 3 iulie 2021, atacatorii au obținut accesul inițial la serverele Kaseya VSA prin exploatarea unui SQL injection (T1190 -  CVE-2021-30116). Payload-ul malițios REvil a fost distribuit clienților Kaseya ca un hotfix aparent legitim. Accesul la clienții MSP a fost obținut prin exploatarea relației de încredere (T1199). Ransomware-ul REvil a criptat fișierele și folderele. Cererea inițială: 70 milioane USD pentru un decriptor universal. Cereri individuale: 5 milioane USD per MSP, 50.000 USD per client MSP, 40.000-45.000 USD per extensie de fișier. Nici Kaseya, nici clienții nu au plătit. Un decriptor a fost obținut pe căi necunoscute. Impactul: &gt;50 MSP și între 800 și 1.500 de companii compromise, reprezentând 37.000 de clienți Kaseya. Cererea de 70 milioane USD a fost cea mai mare cerere ransomware înregistrată la acea dată.</w:t>
      </w:r>
    </w:p>
    <w:p>
      <w:pPr>
        <w:spacing w:after="0" w:before="200"/>
      </w:pPr>
    </w:p>
    <w:p>
      <w:pPr>
        <w:pBdr>
          <w:top w:val="single" w:color="CC0000" w:sz="4" w:space="6"/>
        </w:pBdr>
        <w:spacing w:after="60" w:before="200"/>
        <w:jc w:val="center"/>
      </w:pPr>
      <w:r>
        <w:rPr>
          <w:rFonts w:ascii="Arial" w:cs="Arial" w:eastAsia="Arial" w:hAnsi="Arial"/>
          <w:i/>
          <w:iCs/>
          <w:color w:val="666666"/>
          <w:sz w:val="18"/>
          <w:szCs w:val="18"/>
        </w:rPr>
        <w:t xml:space="preserve">Rezumat generat pentru proiectul RansomGuard – Cosmin / cozel6</w:t>
      </w:r>
    </w:p>
    <w:p>
      <w:pPr>
        <w:spacing w:after="0" w:before="0"/>
        <w:jc w:val="center"/>
      </w:pPr>
      <w:r>
        <w:rPr>
          <w:rFonts w:ascii="Arial" w:cs="Arial" w:eastAsia="Arial" w:hAnsi="Arial"/>
          <w:color w:val="666666"/>
          <w:sz w:val="18"/>
          <w:szCs w:val="18"/>
        </w:rPr>
        <w:t xml:space="preserve">Sursă: ENISA Threat Landscape for Ransomware Attacks, iulie 2022 -  ISBN 978-92-9204-580-7</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00" w:sz="4" w:space="4"/>
      </w:pBdr>
      <w:spacing w:after="0" w:before="80"/>
    </w:pPr>
    <w:r>
      <w:rPr>
        <w:rFonts w:ascii="Arial" w:cs="Arial" w:eastAsia="Arial" w:hAnsi="Arial"/>
        <w:color w:val="666666"/>
        <w:sz w:val="18"/>
        <w:szCs w:val="18"/>
      </w:rPr>
      <w:t xml:space="preserve">ENISA, iulie 2022  |  Pagina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din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4"/>
      </w:pBdr>
      <w:spacing w:after="80" w:before="0"/>
    </w:pPr>
    <w:r>
      <w:rPr>
        <w:rFonts w:ascii="Arial" w:cs="Arial" w:eastAsia="Arial" w:hAnsi="Arial"/>
        <w:color w:val="666666"/>
        <w:sz w:val="18"/>
        <w:szCs w:val="18"/>
      </w:rPr>
      <w:t xml:space="preserve">Rezumat -  ENISA Threat Landscape for Ransomware Attacks (2022)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99"/>
      <w:sz w:val="30"/>
      <w:szCs w:val="30"/>
    </w:rPr>
  </w:style>
  <w:style w:type="paragraph" w:styleId="Heading2">
    <w:name w:val="Heading 2"/>
    <w:basedOn w:val="Normal"/>
    <w:next w:val="Normal"/>
    <w:qFormat/>
    <w:pPr>
      <w:spacing w:after="80" w:before="240"/>
      <w:outlineLvl w:val="1"/>
    </w:pPr>
    <w:rPr>
      <w:rFonts w:ascii="Arial" w:cs="Arial" w:eastAsia="Arial" w:hAnsi="Arial"/>
      <w:b/>
      <w:bCs/>
      <w:color w:val="CC0000"/>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2026-05-03T10:26:14.791Z</dcterms:created>
  <dcterms:modified xsi:type="dcterms:W3CDTF">2026-05-03T10:26:14.792Z</dcterms:modified>
</cp:coreProperties>
</file>

<file path=docProps/custom.xml><?xml version="1.0" encoding="utf-8"?>
<Properties xmlns="http://schemas.openxmlformats.org/officeDocument/2006/custom-properties" xmlns:vt="http://schemas.openxmlformats.org/officeDocument/2006/docPropsVTypes"/>
</file>