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caps/>
          <w:color w:val="5D6D7E"/>
          <w:sz w:val="18"/>
          <w:szCs w:val="18"/>
        </w:rPr>
        <w:t xml:space="preserve">IEEE ACCESS  |  REZUMAT DETALIAT</w:t>
      </w:r>
    </w:p>
    <w:p>
      <w:pPr>
        <w:spacing w:after="80" w:before="0"/>
        <w:jc w:val="center"/>
      </w:pPr>
      <w:r>
        <w:rPr>
          <w:rFonts w:ascii="Arial" w:cs="Arial" w:eastAsia="Arial" w:hAnsi="Arial"/>
          <w:color w:val="5D6D7E"/>
          <w:sz w:val="18"/>
          <w:szCs w:val="18"/>
        </w:rPr>
        <w:t xml:space="preserve">DOI: 10.1109/ACCESS.2023.3268535</w:t>
      </w:r>
    </w:p>
    <w:p>
      <w:pPr>
        <w:pBdr>
          <w:bottom w:val="single" w:color="E67E22" w:sz="12" w:space="6"/>
        </w:pBdr>
        <w:spacing w:after="200" w:before="0"/>
        <w:jc w:val="center"/>
      </w:pPr>
      <w:r>
        <w:rPr>
          <w:rFonts w:ascii="Arial" w:cs="Arial" w:eastAsia="Arial" w:hAnsi="Arial"/>
          <w:b/>
          <w:bCs/>
          <w:color w:val="00629B"/>
          <w:sz w:val="40"/>
          <w:szCs w:val="40"/>
        </w:rPr>
        <w:t xml:space="preserve">The Age of Ransomware:</w:t>
      </w:r>
    </w:p>
    <w:p>
      <w:pPr>
        <w:spacing w:after="80" w:before="120"/>
        <w:jc w:val="center"/>
      </w:pPr>
      <w:r>
        <w:rPr>
          <w:rFonts w:ascii="Arial" w:cs="Arial" w:eastAsia="Arial" w:hAnsi="Arial"/>
          <w:b/>
          <w:bCs/>
          <w:color w:val="0085CA"/>
          <w:sz w:val="32"/>
          <w:szCs w:val="32"/>
        </w:rPr>
        <w:t xml:space="preserve">A Survey on the Evolution, Taxonomy,</w:t>
      </w:r>
    </w:p>
    <w:p>
      <w:pPr>
        <w:spacing w:after="300" w:before="0"/>
        <w:jc w:val="center"/>
      </w:pPr>
      <w:r>
        <w:rPr>
          <w:rFonts w:ascii="Arial" w:cs="Arial" w:eastAsia="Arial" w:hAnsi="Arial"/>
          <w:b/>
          <w:bCs/>
          <w:color w:val="0085CA"/>
          <w:sz w:val="32"/>
          <w:szCs w:val="32"/>
        </w:rPr>
        <w:t xml:space="preserve">and Research Directions</w:t>
      </w:r>
    </w:p>
    <w:p>
      <w:pPr>
        <w:spacing w:after="80" w:before="0"/>
        <w:jc w:val="center"/>
      </w:pPr>
      <w:r>
        <w:rPr>
          <w:rFonts w:ascii="Arial" w:cs="Arial" w:eastAsia="Arial" w:hAnsi="Arial"/>
          <w:i/>
          <w:iCs/>
          <w:color w:val="2C3E50"/>
          <w:sz w:val="22"/>
          <w:szCs w:val="22"/>
        </w:rPr>
        <w:t xml:space="preserve">Razaulla, Fachkha, Markarian, Gawanmeh, Mansoor, Fung, Assi</w:t>
      </w:r>
    </w:p>
    <w:p>
      <w:pPr>
        <w:spacing w:after="60" w:before="0"/>
        <w:jc w:val="center"/>
      </w:pPr>
      <w:r>
        <w:rPr>
          <w:rFonts w:ascii="Arial" w:cs="Arial" w:eastAsia="Arial" w:hAnsi="Arial"/>
          <w:color w:val="5D6D7E"/>
          <w:sz w:val="20"/>
          <w:szCs w:val="20"/>
        </w:rPr>
        <w:t xml:space="preserve">University of Dubai (UAE)  |  McGill University (Canada)  |  Concordia University (Canada)</w:t>
      </w:r>
    </w:p>
    <w:p>
      <w:pPr>
        <w:spacing w:after="60" w:before="0"/>
        <w:jc w:val="center"/>
      </w:pPr>
      <w:r>
        <w:rPr>
          <w:rFonts w:ascii="Arial" w:cs="Arial" w:eastAsia="Arial" w:hAnsi="Arial"/>
          <w:color w:val="5D6D7E"/>
          <w:sz w:val="20"/>
          <w:szCs w:val="20"/>
        </w:rPr>
        <w:t xml:space="preserve">Publicat: februarie 2023  |  Revista: IEEE Access (Open Access)</w:t>
      </w:r>
    </w:p>
    <w:p>
      <w:pPr>
        <w:spacing w:after="0" w:before="200"/>
      </w:pPr>
    </w:p>
    <w:p>
      <w:r>
        <w:br w:type="page"/>
      </w:r>
    </w:p>
    <w:p>
      <w:pPr>
        <w:pStyle w:val="Heading1"/>
        <w:pBdr>
          <w:bottom w:val="single" w:color="E67E22" w:sz="8" w:space="4"/>
        </w:pBdr>
        <w:spacing w:after="120" w:before="360"/>
      </w:pPr>
      <w:r>
        <w:rPr>
          <w:rFonts w:ascii="Arial" w:cs="Arial" w:eastAsia="Arial" w:hAnsi="Arial"/>
          <w:b/>
          <w:bCs/>
          <w:color w:val="00629B"/>
          <w:sz w:val="30"/>
          <w:szCs w:val="30"/>
        </w:rPr>
        <w:t xml:space="preserve">1. Context si Obiective</w:t>
      </w:r>
    </w:p>
    <w:p>
      <w:pPr>
        <w:spacing w:after="100" w:before="80"/>
        <w:jc w:val="both"/>
      </w:pPr>
      <w:r>
        <w:rPr>
          <w:rFonts w:ascii="Arial" w:cs="Arial" w:eastAsia="Arial" w:hAnsi="Arial"/>
          <w:sz w:val="22"/>
          <w:szCs w:val="22"/>
        </w:rPr>
        <w:t xml:space="preserve">Lucrarea reprezinta primul studiu care ofera o comparatie in profunzime a cercetarilor in domeniul ransomware cu detalii de nivel tehnic: niveluri de acuratete, numar de esantioane malware analizate si detalii despre seturile de date utilizate. Bazata pe analiza a peste 150 de referinte si 125 de publicatii selectate din perioada 2016-2022, lucrarea acopera un spectru larg: detectie, clasificare, prevenire, mitigare si predictie a atacurilor ransomware.</w:t>
      </w:r>
    </w:p>
    <w:p>
      <w:pPr>
        <w:spacing w:after="100" w:before="80"/>
        <w:jc w:val="both"/>
      </w:pPr>
      <w:r>
        <w:rPr>
          <w:rFonts w:ascii="Arial" w:cs="Arial" w:eastAsia="Arial" w:hAnsi="Arial"/>
          <w:sz w:val="22"/>
          <w:szCs w:val="22"/>
        </w:rPr>
        <w:t xml:space="preserve">Motivatia principala o constituie explozia ransomware-ului in contextul pandemic COVID-19: migrarea masiva la lucrul de la distanta a creat breseuri semnificative de securitate prin cresterea vulnerabilitatii angajatilor la atacuri de tip phishing. Cybersecurity Ventures estimeaza ca daunele globale provocate de ransomware vor depasi 265 de miliarde de dolari pana in 2031, cu un atac nou la fiecare 2 secunde.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629B" w:sz="1"/>
              <w:left w:val="single" w:color="00629B" w:sz="1"/>
              <w:bottom w:val="single" w:color="00629B" w:sz="1"/>
              <w:right w:val="single" w:color="00629B" w:sz="1"/>
            </w:tcBorders>
            <w:shd w:fill="00629B"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&gt;150</w:t>
            </w:r>
          </w:p>
          <w:p>
            <w:pPr>
              <w:jc w:val="center"/>
            </w:pPr>
            <w:r>
              <w:rPr>
                <w:rFonts w:ascii="Arial" w:cs="Arial" w:eastAsia="Arial" w:hAnsi="Arial"/>
                <w:color w:val="FFFFFF"/>
                <w:sz w:val="18"/>
                <w:szCs w:val="18"/>
              </w:rPr>
              <w:t xml:space="preserve">Referinte analizate</w:t>
            </w:r>
          </w:p>
        </w:tc>
        <w:tc>
          <w:tcPr>
            <w:tcW w:type="dxa" w:w="2340"/>
            <w:tcBorders>
              <w:top w:val="single" w:color="0085CA" w:sz="1"/>
              <w:left w:val="single" w:color="0085CA" w:sz="1"/>
              <w:bottom w:val="single" w:color="0085CA" w:sz="1"/>
              <w:right w:val="single" w:color="0085CA" w:sz="1"/>
            </w:tcBorders>
            <w:shd w:fill="0085CA"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125</w:t>
            </w:r>
          </w:p>
          <w:p>
            <w:pPr>
              <w:jc w:val="center"/>
            </w:pPr>
            <w:r>
              <w:rPr>
                <w:rFonts w:ascii="Arial" w:cs="Arial" w:eastAsia="Arial" w:hAnsi="Arial"/>
                <w:color w:val="FFFFFF"/>
                <w:sz w:val="18"/>
                <w:szCs w:val="18"/>
              </w:rPr>
              <w:t xml:space="preserve">Publicatii selectate</w:t>
            </w:r>
          </w:p>
        </w:tc>
        <w:tc>
          <w:tcPr>
            <w:tcW w:type="dxa" w:w="2340"/>
            <w:tcBorders>
              <w:top w:val="single" w:color="E67E22" w:sz="1"/>
              <w:left w:val="single" w:color="E67E22" w:sz="1"/>
              <w:bottom w:val="single" w:color="E67E22" w:sz="1"/>
              <w:right w:val="single" w:color="E67E22" w:sz="1"/>
            </w:tcBorders>
            <w:shd w:fill="E67E22"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7</w:t>
            </w:r>
          </w:p>
          <w:p>
            <w:pPr>
              <w:jc w:val="center"/>
            </w:pPr>
            <w:r>
              <w:rPr>
                <w:rFonts w:ascii="Arial" w:cs="Arial" w:eastAsia="Arial" w:hAnsi="Arial"/>
                <w:color w:val="FFFFFF"/>
                <w:sz w:val="18"/>
                <w:szCs w:val="18"/>
              </w:rPr>
              <w:t xml:space="preserve">Ani acoperiti</w:t>
            </w:r>
          </w:p>
        </w:tc>
        <w:tc>
          <w:tcPr>
            <w:tcW w:type="dxa" w:w="2340"/>
            <w:tcBorders>
              <w:top w:val="single" w:color="922B21" w:sz="1"/>
              <w:left w:val="single" w:color="922B21" w:sz="1"/>
              <w:bottom w:val="single" w:color="922B21" w:sz="1"/>
              <w:right w:val="single" w:color="922B21" w:sz="1"/>
            </w:tcBorders>
            <w:shd w:fill="922B21"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$265B</w:t>
            </w:r>
          </w:p>
          <w:p>
            <w:pPr>
              <w:jc w:val="center"/>
            </w:pPr>
            <w:r>
              <w:rPr>
                <w:rFonts w:ascii="Arial" w:cs="Arial" w:eastAsia="Arial" w:hAnsi="Arial"/>
                <w:color w:val="FFFFFF"/>
                <w:sz w:val="18"/>
                <w:szCs w:val="18"/>
              </w:rPr>
              <w:t xml:space="preserve">Daune globale est. 2031</w:t>
            </w:r>
          </w:p>
        </w:tc>
      </w:tr>
    </w:tbl>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2. Tipuri de Ransomware si Taxonomie</w:t>
      </w:r>
    </w:p>
    <w:p>
      <w:pPr>
        <w:spacing w:after="100" w:before="80"/>
        <w:jc w:val="both"/>
      </w:pPr>
      <w:r>
        <w:rPr>
          <w:rFonts w:ascii="Arial" w:cs="Arial" w:eastAsia="Arial" w:hAnsi="Arial"/>
          <w:sz w:val="22"/>
          <w:szCs w:val="22"/>
        </w:rPr>
        <w:t xml:space="preserve">Autorii identifica patru tipuri principale, plus modelul de distributie Ransomware-as-a-Service (RaaS) care a redefinit peisajul amenintarilor:</w:t>
      </w:r>
    </w:p>
    <w:p>
      <w:pPr>
        <w:pStyle w:val="Heading2"/>
        <w:spacing w:after="80" w:before="240"/>
      </w:pPr>
      <w:r>
        <w:rPr>
          <w:rFonts w:ascii="Arial" w:cs="Arial" w:eastAsia="Arial" w:hAnsi="Arial"/>
          <w:b/>
          <w:bCs/>
          <w:color w:val="0085CA"/>
          <w:sz w:val="26"/>
          <w:szCs w:val="26"/>
        </w:rPr>
        <w:t xml:space="preserve">2.1 Crypto Ransomware</w:t>
      </w:r>
    </w:p>
    <w:p>
      <w:pPr>
        <w:spacing w:after="100" w:before="80"/>
        <w:jc w:val="both"/>
      </w:pPr>
      <w:r>
        <w:rPr>
          <w:rFonts w:ascii="Arial" w:cs="Arial" w:eastAsia="Arial" w:hAnsi="Arial"/>
          <w:sz w:val="22"/>
          <w:szCs w:val="22"/>
        </w:rPr>
        <w:t xml:space="preserve">Cel mai comun tip. Cripteaza fisiere importante pentru victime (documente, fotografii, videoclipuri), dar nu interfereaza cu functiile de baza ale sistemului. Victimele pot vedea lista fisierelor criptate si pot folosi sistemul, dar nu pot accesa continutul. Algoritmii moderni utilizati (AES, RSA) fac datele practic irecuperabile fara cheia de decriptare. Variante notabile: CryptoLocker, WannaCry.</w:t>
      </w:r>
    </w:p>
    <w:p>
      <w:pPr>
        <w:pStyle w:val="Heading2"/>
        <w:spacing w:after="80" w:before="240"/>
      </w:pPr>
      <w:r>
        <w:rPr>
          <w:rFonts w:ascii="Arial" w:cs="Arial" w:eastAsia="Arial" w:hAnsi="Arial"/>
          <w:b/>
          <w:bCs/>
          <w:color w:val="0085CA"/>
          <w:sz w:val="26"/>
          <w:szCs w:val="26"/>
        </w:rPr>
        <w:t xml:space="preserve">2.2 Locker Ransomware</w:t>
      </w:r>
    </w:p>
    <w:p>
      <w:pPr>
        <w:spacing w:after="100" w:before="80"/>
        <w:jc w:val="both"/>
      </w:pPr>
      <w:r>
        <w:rPr>
          <w:rFonts w:ascii="Arial" w:cs="Arial" w:eastAsia="Arial" w:hAnsi="Arial"/>
          <w:sz w:val="22"/>
          <w:szCs w:val="22"/>
        </w:rPr>
        <w:t xml:space="preserve">Blocheaza victimele din sistemele lor, afisand exclusiv ecranul de blocare cu instructiunile de plata. Spre deosebire de crypto, nu cripteaza fisierele, ci restrictioneaza accesul la interfata. Relativ mai usor de rezolvat - repornirea in safe mode sau un scanner antivirus on-demand poate fi suficient. Variante notabile: WinLock (2011), Reveton (2012).</w:t>
      </w:r>
    </w:p>
    <w:p>
      <w:pPr>
        <w:pStyle w:val="Heading2"/>
        <w:spacing w:after="80" w:before="240"/>
      </w:pPr>
      <w:r>
        <w:rPr>
          <w:rFonts w:ascii="Arial" w:cs="Arial" w:eastAsia="Arial" w:hAnsi="Arial"/>
          <w:b/>
          <w:bCs/>
          <w:color w:val="0085CA"/>
          <w:sz w:val="26"/>
          <w:szCs w:val="26"/>
        </w:rPr>
        <w:t xml:space="preserve">2.3 Scareware</w:t>
      </w:r>
    </w:p>
    <w:p>
      <w:pPr>
        <w:spacing w:after="100" w:before="80"/>
        <w:jc w:val="both"/>
      </w:pPr>
      <w:r>
        <w:rPr>
          <w:rFonts w:ascii="Arial" w:cs="Arial" w:eastAsia="Arial" w:hAnsi="Arial"/>
          <w:sz w:val="22"/>
          <w:szCs w:val="22"/>
        </w:rPr>
        <w:t xml:space="preserve">Pacaleste utilizatorii sa descarce sau sa cumpere software malitios sau inutil prin afisarea de mesaje alarmante (pop-up-uri). Nu constituie neaparat o amenintare reala, dar ii determina pe utilizatori sa instaleze inadvertent ransomware. Exploateaza frica si urgenta psihologica fara a compromite cu adevarat sistemul.</w:t>
      </w:r>
    </w:p>
    <w:p>
      <w:pPr>
        <w:pStyle w:val="Heading2"/>
        <w:spacing w:after="80" w:before="240"/>
      </w:pPr>
      <w:r>
        <w:rPr>
          <w:rFonts w:ascii="Arial" w:cs="Arial" w:eastAsia="Arial" w:hAnsi="Arial"/>
          <w:b/>
          <w:bCs/>
          <w:color w:val="0085CA"/>
          <w:sz w:val="26"/>
          <w:szCs w:val="26"/>
        </w:rPr>
        <w:t xml:space="preserve">2.4 Leakware (Doxware)</w:t>
      </w:r>
    </w:p>
    <w:p>
      <w:pPr>
        <w:spacing w:after="100" w:before="80"/>
        <w:jc w:val="both"/>
      </w:pPr>
      <w:r>
        <w:rPr>
          <w:rFonts w:ascii="Arial" w:cs="Arial" w:eastAsia="Arial" w:hAnsi="Arial"/>
          <w:sz w:val="22"/>
          <w:szCs w:val="22"/>
        </w:rPr>
        <w:t xml:space="preserve">Forma noua si periculoasa care ameninta sa faca datele utilizatorului publice daca nu se plateste rascumpararea. Daunele sunt ireversibile: odata ce datele sunt facute publice, oricine le poate accesa. Bancile si organizatiile care gestioneaza informatii confidentiale sunt tinte prioritare. Conceptul a fost introdus de Maze ransomware prin tactica 'double extortion'.</w:t>
      </w:r>
    </w:p>
    <w:p>
      <w:pPr>
        <w:pStyle w:val="Heading2"/>
        <w:spacing w:after="80" w:before="240"/>
      </w:pPr>
      <w:r>
        <w:rPr>
          <w:rFonts w:ascii="Arial" w:cs="Arial" w:eastAsia="Arial" w:hAnsi="Arial"/>
          <w:b/>
          <w:bCs/>
          <w:color w:val="0085CA"/>
          <w:sz w:val="26"/>
          <w:szCs w:val="26"/>
        </w:rPr>
        <w:t xml:space="preserve">2.5 Ransomware-as-a-Service (RaaS)</w:t>
      </w:r>
    </w:p>
    <w:p>
      <w:pPr>
        <w:spacing w:after="100" w:before="80"/>
        <w:jc w:val="both"/>
      </w:pPr>
      <w:r>
        <w:rPr>
          <w:rFonts w:ascii="Arial" w:cs="Arial" w:eastAsia="Arial" w:hAnsi="Arial"/>
          <w:sz w:val="22"/>
          <w:szCs w:val="22"/>
        </w:rPr>
        <w:t xml:space="preserve">Model de distributie similar cu Software-as-a-Service (SaaS): atacatorii inchiriaza atacuri ransomware altor infractori cibernetici. Serviciile oferite includ ransomware-ul compilat, instrumente de personalizare, infrastructura de mentenanta si instructiuni de utilizare. Modele de plata: achizitie unica, comision sau abonament lunar. RaaS a eliminat bariera tehnica de intrare, permitand persoanelor fara competente de programare sa lanseze atacuri sofisticate.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Varianta RaaS</w:t>
            </w:r>
          </w:p>
        </w:tc>
        <w:tc>
          <w:tcPr>
            <w:tcW w:type="dxa" w:w="416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Caracteristica principala</w:t>
            </w:r>
          </w:p>
        </w:tc>
        <w:tc>
          <w:tcPr>
            <w:tcW w:type="dxa" w:w="30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Impact estimat</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Ryuk</w:t>
            </w:r>
          </w:p>
        </w:tc>
        <w:tc>
          <w:tcPr>
            <w:tcW w:type="dxa" w:w="41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Atribuit grupului WIZARD SPIDER, unul dintre cele mai costisitoare variante</w:t>
            </w:r>
          </w:p>
        </w:tc>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~150 milioane USD profit pana in 2020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Maze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introdus conceptul de double extortion (furt + criptare 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Discontinuat; urmas activ: Egregor</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LockBit</w:t>
            </w:r>
          </w:p>
        </w:tc>
        <w:tc>
          <w:tcPr>
            <w:tcW w:type="dxa" w:w="41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Cripteaza rapid sisteme ale corporatiilor mari, reducand fereastra de detectie</w:t>
            </w:r>
          </w:p>
        </w:tc>
        <w:tc>
          <w:tcPr>
            <w:tcW w:type="dxa" w:w="30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Activ din 2019, una din cele mai prolific variante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REvil / Sodinokibi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 dintre cele mai mari cereri de rascumparare inregistrate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milioane USD cerere recorduri; Kaseya: 70M USD</w:t>
            </w:r>
          </w:p>
        </w:tc>
      </w:tr>
    </w:tbl>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3. Taxonomia Completa a Ransomware-ului</w:t>
      </w:r>
    </w:p>
    <w:p>
      <w:pPr>
        <w:spacing w:after="100" w:before="80"/>
        <w:jc w:val="both"/>
      </w:pPr>
      <w:r>
        <w:rPr>
          <w:rFonts w:ascii="Arial" w:cs="Arial" w:eastAsia="Arial" w:hAnsi="Arial"/>
          <w:sz w:val="22"/>
          <w:szCs w:val="22"/>
        </w:rPr>
        <w:t xml:space="preserve">Autorii propun o taxonomie multidimensionala care clasifica ransomware-ul dupa sase axe: tipuri (crypto, locker, scareware, leakware), tinte (platforme si industrii), vectori de infectie, metode de comunicare cu serverele C&amp;C, metode de acces la cheile de criptare si actiunile malitioase executate.</w:t>
      </w:r>
    </w:p>
    <w:p>
      <w:pPr>
        <w:pStyle w:val="Heading2"/>
        <w:spacing w:after="80" w:before="240"/>
      </w:pPr>
      <w:r>
        <w:rPr>
          <w:rFonts w:ascii="Arial" w:cs="Arial" w:eastAsia="Arial" w:hAnsi="Arial"/>
          <w:b/>
          <w:bCs/>
          <w:color w:val="0085CA"/>
          <w:sz w:val="26"/>
          <w:szCs w:val="26"/>
        </w:rPr>
        <w:t xml:space="preserve">3.1 Vectori de Infectie</w:t>
      </w:r>
    </w:p>
    <w:p>
      <w:pPr>
        <w:spacing w:after="100" w:before="80"/>
        <w:jc w:val="both"/>
      </w:pPr>
      <w:r>
        <w:rPr>
          <w:rFonts w:ascii="Arial" w:cs="Arial" w:eastAsia="Arial" w:hAnsi="Arial"/>
          <w:sz w:val="22"/>
          <w:szCs w:val="22"/>
        </w:rPr>
        <w:t xml:space="preserve">Phishing-ul domina ca cel mai utilizat vector de infectie ransomware. Un atac tipic incepe cu un email malitios care contine linkuri sau atasamente. Formatele comune (PDF, DOC, JPG) sunt utilizate pentru a convinge destinatarii sa ruleze fisierul executabil.</w:t>
      </w:r>
    </w:p>
    <w:p>
      <w:pPr>
        <w:spacing w:after="100" w:before="80"/>
        <w:jc w:val="both"/>
      </w:pPr>
      <w:r>
        <w:rPr>
          <w:rFonts w:ascii="Arial" w:cs="Arial" w:eastAsia="Arial" w:hAnsi="Arial"/>
          <w:sz w:val="22"/>
          <w:szCs w:val="22"/>
        </w:rPr>
        <w:t xml:space="preserve">Remote Desktop Protocol (RDP) este al doilea cel mai popular vector. Este considerat ideal deoarece atacatorii descopera zilnic noi vulnerabilitati: in 2020 singur, au fost descoperite 25 de noi vulnerabilitati in clientii RDP. Vulnerabilitatile software ocupa locul 3: software-ul neactualizat permite accesul la retele fara colectarea de credentiale. Paginile web compromise si pop-up-urile completeaza arsenalul de vectori.</w:t>
      </w:r>
    </w:p>
    <w:p>
      <w:pPr>
        <w:pStyle w:val="Heading2"/>
        <w:spacing w:after="80" w:before="240"/>
      </w:pPr>
      <w:r>
        <w:rPr>
          <w:rFonts w:ascii="Arial" w:cs="Arial" w:eastAsia="Arial" w:hAnsi="Arial"/>
          <w:b/>
          <w:bCs/>
          <w:color w:val="0085CA"/>
          <w:sz w:val="26"/>
          <w:szCs w:val="26"/>
        </w:rPr>
        <w:t xml:space="preserve">3.2 Comunicarea cu C&amp;C si Accesul la Cheile de Criptare</w:t>
      </w:r>
    </w:p>
    <w:p>
      <w:pPr>
        <w:spacing w:after="100" w:before="80"/>
        <w:jc w:val="both"/>
      </w:pPr>
      <w:r>
        <w:rPr>
          <w:rFonts w:ascii="Arial" w:cs="Arial" w:eastAsia="Arial" w:hAnsi="Arial"/>
          <w:sz w:val="22"/>
          <w:szCs w:val="22"/>
        </w:rPr>
        <w:t xml:space="preserve">Ransomware-ul comunica cu serverele de comanda si control (C&amp;C) prin doua metode principale: adrese IP hard-codate in binar sau Domain Generation Algorithms (DGA) pentru generarea dinamica de domenii. Cheile de criptare pot fi hard-codate direct in binar sau obtinute de la serverul C&amp;C dupa infectare. Aceasta distinctie este critica: ransomware-ul care obtine cheia de la C&amp;C poate fi blocat prin interceptarea comunicatiei de retea inainte de inceperea criptarii.</w:t>
      </w:r>
    </w:p>
    <w:p>
      <w:pPr>
        <w:pStyle w:val="Heading2"/>
        <w:spacing w:after="80" w:before="240"/>
      </w:pPr>
      <w:r>
        <w:rPr>
          <w:rFonts w:ascii="Arial" w:cs="Arial" w:eastAsia="Arial" w:hAnsi="Arial"/>
          <w:b/>
          <w:bCs/>
          <w:color w:val="0085CA"/>
          <w:sz w:val="26"/>
          <w:szCs w:val="26"/>
        </w:rPr>
        <w:t xml:space="preserve">3.3 Kill Chain-ul Ransomware</w:t>
      </w:r>
    </w:p>
    <w:p>
      <w:pPr>
        <w:spacing w:after="100" w:before="80"/>
        <w:jc w:val="both"/>
      </w:pPr>
      <w:r>
        <w:rPr>
          <w:rFonts w:ascii="Arial" w:cs="Arial" w:eastAsia="Arial" w:hAnsi="Arial"/>
          <w:sz w:val="22"/>
          <w:szCs w:val="22"/>
        </w:rPr>
        <w:t xml:space="preserve">Autorii descriu sase etape secventiale ale unui atac ransomware tipic: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80"/>
        <w:gridCol w:w="4380"/>
      </w:tblGrid>
      <w:tr>
        <w:tc>
          <w:tcPr>
            <w:tcW w:type="dxa" w:w="14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58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438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Tehnici comune</w:t>
            </w:r>
          </w:p>
        </w:tc>
      </w:tr>
      <w:tr>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1. Distribution</w:t>
            </w:r>
          </w:p>
        </w:tc>
        <w:tc>
          <w:tcPr>
            <w:tcW w:type="dxa" w:w="35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Raspandirea malware-ului pe dispozitivul tinta</w:t>
            </w:r>
          </w:p>
        </w:tc>
        <w:tc>
          <w:tcPr>
            <w:tcW w:type="dxa" w:w="43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Phishing, exploit kits, site-uri malitioase, vulnerabilitati RDP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Infection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Instalarea ransomware-ului pe masina si initierea procesului de infectare</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Executarea payload-ului malitios</w:t>
            </w:r>
          </w:p>
        </w:tc>
      </w:tr>
      <w:tr>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3. Staging</w:t>
            </w:r>
          </w:p>
        </w:tc>
        <w:tc>
          <w:tcPr>
            <w:tcW w:type="dxa" w:w="35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Incorporarea in sistem, stabilirea persistentei, initierea comunicatiei externe</w:t>
            </w:r>
          </w:p>
        </w:tc>
        <w:tc>
          <w:tcPr>
            <w:tcW w:type="dxa" w:w="43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Upload date victime, inregistrare domenii noi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Scanning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Scanarea computerelor locale si resurselor de retea pentru fisiere valoroase</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Scanare network drives, cloud (Box, Dropbox)</w:t>
            </w:r>
          </w:p>
        </w:tc>
      </w:tr>
      <w:tr>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5. Encryption</w:t>
            </w:r>
          </w:p>
        </w:tc>
        <w:tc>
          <w:tcPr>
            <w:tcW w:type="dxa" w:w="35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Criptarea fisierelor folosind cheile disponibile</w:t>
            </w:r>
          </w:p>
        </w:tc>
        <w:tc>
          <w:tcPr>
            <w:tcW w:type="dxa" w:w="43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AES, RSA, chei hard-codate sau de la C&amp;C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Payment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Afisarea notei de rascumparare si asteptarea platii</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Bitcoin, alte criptomonede pentru anonimitate</w:t>
            </w:r>
          </w:p>
        </w:tc>
      </w:tr>
    </w:tbl>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4. Evolutia Istorica a Ransomware-ului</w:t>
      </w:r>
    </w:p>
    <w:p>
      <w:pPr>
        <w:spacing w:after="100" w:before="80"/>
        <w:jc w:val="both"/>
      </w:pPr>
      <w:r>
        <w:rPr>
          <w:rFonts w:ascii="Arial" w:cs="Arial" w:eastAsia="Arial" w:hAnsi="Arial"/>
          <w:sz w:val="22"/>
          <w:szCs w:val="22"/>
        </w:rPr>
        <w:t xml:space="preserve">Autorii traseaza evolutia ransomware-ului in patru ere distincte, fiecare marcata de avansuri tehnologice si schimbari de strategie:</w:t>
      </w:r>
    </w:p>
    <w:p>
      <w:pPr>
        <w:pStyle w:val="Heading2"/>
        <w:spacing w:after="80" w:before="240"/>
      </w:pPr>
      <w:r>
        <w:rPr>
          <w:rFonts w:ascii="Arial" w:cs="Arial" w:eastAsia="Arial" w:hAnsi="Arial"/>
          <w:b/>
          <w:bCs/>
          <w:color w:val="0085CA"/>
          <w:sz w:val="26"/>
          <w:szCs w:val="26"/>
        </w:rPr>
        <w:t xml:space="preserve">4.1 Originea (1989) - AIDS Trojan</w:t>
      </w:r>
    </w:p>
    <w:p>
      <w:pPr>
        <w:spacing w:after="100" w:before="80"/>
        <w:jc w:val="both"/>
      </w:pPr>
      <w:r>
        <w:rPr>
          <w:rFonts w:ascii="Arial" w:cs="Arial" w:eastAsia="Arial" w:hAnsi="Arial"/>
          <w:sz w:val="22"/>
          <w:szCs w:val="22"/>
        </w:rPr>
        <w:t xml:space="preserve">Ransomware-ul a aparut in 1989 cand profesorul Dr. Popp a distribuit 20.000 de dischete infectate cu virusul la conferinta internationala SIDA. Virusul ascundea directoare, bloca fisiere si solicita 189 USD pentru restaurarea accesului. Ironic, Dr. Popp nu era informatician ci biolog. A fost arestat si acuzat de 10 capete de santaj. Ransomware-ul a luat o pauza de 15 ani pana la reemergenta sa.</w:t>
      </w:r>
    </w:p>
    <w:p>
      <w:pPr>
        <w:pStyle w:val="Heading2"/>
        <w:spacing w:after="80" w:before="240"/>
      </w:pPr>
      <w:r>
        <w:rPr>
          <w:rFonts w:ascii="Arial" w:cs="Arial" w:eastAsia="Arial" w:hAnsi="Arial"/>
          <w:b/>
          <w:bCs/>
          <w:color w:val="0085CA"/>
          <w:sz w:val="26"/>
          <w:szCs w:val="26"/>
        </w:rPr>
        <w:t xml:space="preserve">4.2 Era Internetului (2000s) - Criptare Asimetrica</w:t>
      </w:r>
    </w:p>
    <w:p>
      <w:pPr>
        <w:spacing w:after="100" w:before="80"/>
        <w:jc w:val="both"/>
      </w:pPr>
      <w:r>
        <w:rPr>
          <w:rFonts w:ascii="Arial" w:cs="Arial" w:eastAsia="Arial" w:hAnsi="Arial"/>
          <w:sz w:val="22"/>
          <w:szCs w:val="22"/>
        </w:rPr>
        <w:t xml:space="preserve">GPCode (2004) a folosit doi vectori de infectie: emailuri phishing si linkuri web malitioase. Archievus (2006) a marcat o schimbare majora: primul ransomware care a folosit criptarea RSA (Rivest-Shamir-Adleman). WinLock (2007) a inaugurat era locker ransomware, preluand controlul ecranului victimei si afisand imagini explicite, fortand plata prin SMS pentru a recupera accesul. CryptoLocker (2013) a impactat 250.000 de computere Windows si a demonstrat ca infractorii nu vizau exclusiv profesionistii, ci si utilizatorii casnici.</w:t>
      </w:r>
    </w:p>
    <w:p>
      <w:pPr>
        <w:pStyle w:val="Heading2"/>
        <w:spacing w:after="80" w:before="240"/>
      </w:pPr>
      <w:r>
        <w:rPr>
          <w:rFonts w:ascii="Arial" w:cs="Arial" w:eastAsia="Arial" w:hAnsi="Arial"/>
          <w:b/>
          <w:bCs/>
          <w:color w:val="0085CA"/>
          <w:sz w:val="26"/>
          <w:szCs w:val="26"/>
        </w:rPr>
        <w:t xml:space="preserve">4.3 Era Criptomonedelor (2010s) - RaaS si Globalizare</w:t>
      </w:r>
    </w:p>
    <w:p>
      <w:pPr>
        <w:spacing w:after="100" w:before="80"/>
        <w:jc w:val="both"/>
      </w:pPr>
      <w:r>
        <w:rPr>
          <w:rFonts w:ascii="Arial" w:cs="Arial" w:eastAsia="Arial" w:hAnsi="Arial"/>
          <w:sz w:val="22"/>
          <w:szCs w:val="22"/>
        </w:rPr>
        <w:t xml:space="preserve">WannaCry (2017) ramane probabil cel mai notoriuu atac ransomware din toate timpurile - un crypto-worm care ataca PC-urile Windows, inca activ astazi. Maze (2019) a introdus double extortion: nu doar cripteaza datele, ci le si exfiltreaza, amenintand sa le publice. Reveton (2012) a exploatat sute de mii de dolari lunar de la victime, pozandu-se ca agentie de aplicare a legii care cere amenzi pentru presupuse activitati ilegale. SimpleLocker (2014) a marcat un moment de cotitura: primul ransomware care a vizat dispozitivele Android, criptand imagini, documente si videoclipuri de pe carduri SD.</w:t>
      </w:r>
    </w:p>
    <w:p>
      <w:pPr>
        <w:pStyle w:val="Heading2"/>
        <w:spacing w:after="80" w:before="240"/>
      </w:pPr>
      <w:r>
        <w:rPr>
          <w:rFonts w:ascii="Arial" w:cs="Arial" w:eastAsia="Arial" w:hAnsi="Arial"/>
          <w:b/>
          <w:bCs/>
          <w:color w:val="0085CA"/>
          <w:sz w:val="26"/>
          <w:szCs w:val="26"/>
        </w:rPr>
        <w:t xml:space="preserve">4.4 Big Game Hunting (2020s) - Tinte de Inalta Valoare</w:t>
      </w:r>
    </w:p>
    <w:p>
      <w:pPr>
        <w:spacing w:after="100" w:before="80"/>
        <w:jc w:val="both"/>
      </w:pPr>
      <w:r>
        <w:rPr>
          <w:rFonts w:ascii="Arial" w:cs="Arial" w:eastAsia="Arial" w:hAnsi="Arial"/>
          <w:sz w:val="22"/>
          <w:szCs w:val="22"/>
        </w:rPr>
        <w:t xml:space="preserve">Egregor (2020) utilizeaza tehnici anti-analiza sofisticate (criptarea payload-ului, obfuscarea codului) pentru a evita detectia, avand legaturi cu Maze. Conti este deosebit de distructiv datorita vitezei sale rapide de criptare a datelor si capacitatii de raspandire. Grupul Conti instaleaza troienii TrickBot si BazarLoader prin atacuri phishing pentru acces de la distanta. DarkSide (2021) a atacat Colonial Pipeline, catalogat drept cel mai devastator atac cibernetic al anului 2021. Grupul tinteste exclusiv organizatii care pot plati sume mari de rascumparare. LockBit (2022) a castigat rapid proeminenta in spatiul RaaS prin capacitatea de a-si upgrada frecvent tehnicile de atac.</w:t>
      </w:r>
    </w:p>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5. Analiza Cercetarii: Machine Learning pentru Detectie</w:t>
      </w:r>
    </w:p>
    <w:p>
      <w:pPr>
        <w:spacing w:after="100" w:before="80"/>
        <w:jc w:val="both"/>
      </w:pPr>
      <w:r>
        <w:rPr>
          <w:rFonts w:ascii="Arial" w:cs="Arial" w:eastAsia="Arial" w:hAnsi="Arial"/>
          <w:sz w:val="22"/>
          <w:szCs w:val="22"/>
        </w:rPr>
        <w:t xml:space="preserve">Detectia ransomware domina covarsitor literatura de specialitate cu 72,8% din publicatii. Dintre studiile de detectie, 70% au utilizat metode de machine learning. Aceasta dominanta reflecta capacitatea ML de a invata din date istorice si de a identifica pattern-uri indicatoare ale prezentei ransomware, inclusiv variante noi si necunoscute.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629B" w:sz="1"/>
              <w:left w:val="single" w:color="00629B" w:sz="1"/>
              <w:bottom w:val="single" w:color="00629B" w:sz="1"/>
              <w:right w:val="single" w:color="00629B" w:sz="1"/>
            </w:tcBorders>
            <w:shd w:fill="00629B"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72.8%</w:t>
            </w:r>
          </w:p>
          <w:p>
            <w:pPr>
              <w:jc w:val="center"/>
            </w:pPr>
            <w:r>
              <w:rPr>
                <w:rFonts w:ascii="Arial" w:cs="Arial" w:eastAsia="Arial" w:hAnsi="Arial"/>
                <w:color w:val="FFFFFF"/>
                <w:sz w:val="18"/>
                <w:szCs w:val="18"/>
              </w:rPr>
              <w:t xml:space="preserve">Studii axate pe detectie</w:t>
            </w:r>
          </w:p>
        </w:tc>
        <w:tc>
          <w:tcPr>
            <w:tcW w:type="dxa" w:w="1560"/>
            <w:tcBorders>
              <w:top w:val="single" w:color="0085CA" w:sz="1"/>
              <w:left w:val="single" w:color="0085CA" w:sz="1"/>
              <w:bottom w:val="single" w:color="0085CA" w:sz="1"/>
              <w:right w:val="single" w:color="0085CA" w:sz="1"/>
            </w:tcBorders>
            <w:shd w:fill="0085CA"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70%</w:t>
            </w:r>
          </w:p>
          <w:p>
            <w:pPr>
              <w:jc w:val="center"/>
            </w:pPr>
            <w:r>
              <w:rPr>
                <w:rFonts w:ascii="Arial" w:cs="Arial" w:eastAsia="Arial" w:hAnsi="Arial"/>
                <w:color w:val="FFFFFF"/>
                <w:sz w:val="18"/>
                <w:szCs w:val="18"/>
              </w:rPr>
              <w:t xml:space="preserve">Detectie prin ML</w:t>
            </w:r>
          </w:p>
        </w:tc>
        <w:tc>
          <w:tcPr>
            <w:tcW w:type="dxa" w:w="1560"/>
            <w:tcBorders>
              <w:top w:val="single" w:color="E67E22" w:sz="1"/>
              <w:left w:val="single" w:color="E67E22" w:sz="1"/>
              <w:bottom w:val="single" w:color="E67E22" w:sz="1"/>
              <w:right w:val="single" w:color="E67E22" w:sz="1"/>
            </w:tcBorders>
            <w:shd w:fill="E67E22"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4.8%</w:t>
            </w:r>
          </w:p>
          <w:p>
            <w:pPr>
              <w:jc w:val="center"/>
            </w:pPr>
            <w:r>
              <w:rPr>
                <w:rFonts w:ascii="Arial" w:cs="Arial" w:eastAsia="Arial" w:hAnsi="Arial"/>
                <w:color w:val="FFFFFF"/>
                <w:sz w:val="18"/>
                <w:szCs w:val="18"/>
              </w:rPr>
              <w:t xml:space="preserve">Clasificare</w:t>
            </w:r>
          </w:p>
        </w:tc>
        <w:tc>
          <w:tcPr>
            <w:tcW w:type="dxa" w:w="1560"/>
            <w:tcBorders>
              <w:top w:val="single" w:color="1E8449" w:sz="1"/>
              <w:left w:val="single" w:color="1E8449" w:sz="1"/>
              <w:bottom w:val="single" w:color="1E8449" w:sz="1"/>
              <w:right w:val="single" w:color="1E8449" w:sz="1"/>
            </w:tcBorders>
            <w:shd w:fill="1E8449"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8.8%</w:t>
            </w:r>
          </w:p>
          <w:p>
            <w:pPr>
              <w:jc w:val="center"/>
            </w:pPr>
            <w:r>
              <w:rPr>
                <w:rFonts w:ascii="Arial" w:cs="Arial" w:eastAsia="Arial" w:hAnsi="Arial"/>
                <w:color w:val="FFFFFF"/>
                <w:sz w:val="18"/>
                <w:szCs w:val="18"/>
              </w:rPr>
              <w:t xml:space="preserve">Preventie</w:t>
            </w:r>
          </w:p>
        </w:tc>
        <w:tc>
          <w:tcPr>
            <w:tcW w:type="dxa" w:w="1560"/>
            <w:tcBorders>
              <w:top w:val="single" w:color="6C3483" w:sz="1"/>
              <w:left w:val="single" w:color="6C3483" w:sz="1"/>
              <w:bottom w:val="single" w:color="6C3483" w:sz="1"/>
              <w:right w:val="single" w:color="6C3483" w:sz="1"/>
            </w:tcBorders>
            <w:shd w:fill="6C3483"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8%</w:t>
            </w:r>
          </w:p>
          <w:p>
            <w:pPr>
              <w:jc w:val="center"/>
            </w:pPr>
            <w:r>
              <w:rPr>
                <w:rFonts w:ascii="Arial" w:cs="Arial" w:eastAsia="Arial" w:hAnsi="Arial"/>
                <w:color w:val="FFFFFF"/>
                <w:sz w:val="18"/>
                <w:szCs w:val="18"/>
              </w:rPr>
              <w:t xml:space="preserve">Mitigare</w:t>
            </w:r>
          </w:p>
        </w:tc>
        <w:tc>
          <w:tcPr>
            <w:tcW w:type="dxa" w:w="1560"/>
            <w:tcBorders>
              <w:top w:val="single" w:color="922B21" w:sz="1"/>
              <w:left w:val="single" w:color="922B21" w:sz="1"/>
              <w:bottom w:val="single" w:color="922B21" w:sz="1"/>
              <w:right w:val="single" w:color="922B21" w:sz="1"/>
            </w:tcBorders>
            <w:shd w:fill="922B21"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5.6%</w:t>
            </w:r>
          </w:p>
          <w:p>
            <w:pPr>
              <w:jc w:val="center"/>
            </w:pPr>
            <w:r>
              <w:rPr>
                <w:rFonts w:ascii="Arial" w:cs="Arial" w:eastAsia="Arial" w:hAnsi="Arial"/>
                <w:color w:val="FFFFFF"/>
                <w:sz w:val="18"/>
                <w:szCs w:val="18"/>
              </w:rPr>
              <w:t xml:space="preserve">Predictie</w:t>
            </w:r>
          </w:p>
        </w:tc>
      </w:tr>
    </w:tbl>
    <w:p>
      <w:pPr>
        <w:spacing w:after="0" w:before="160"/>
      </w:pPr>
    </w:p>
    <w:p>
      <w:pPr>
        <w:pStyle w:val="Heading2"/>
        <w:spacing w:after="80" w:before="240"/>
      </w:pPr>
      <w:r>
        <w:rPr>
          <w:rFonts w:ascii="Arial" w:cs="Arial" w:eastAsia="Arial" w:hAnsi="Arial"/>
          <w:b/>
          <w:bCs/>
          <w:color w:val="0085CA"/>
          <w:sz w:val="26"/>
          <w:szCs w:val="26"/>
        </w:rPr>
        <w:t xml:space="preserve">5.1 Tipuri de Analiza</w:t>
      </w:r>
    </w:p>
    <w:p>
      <w:pPr>
        <w:spacing w:after="100" w:before="80"/>
        <w:jc w:val="both"/>
      </w:pPr>
      <w:r>
        <w:rPr>
          <w:rFonts w:ascii="Arial" w:cs="Arial" w:eastAsia="Arial" w:hAnsi="Arial"/>
          <w:sz w:val="22"/>
          <w:szCs w:val="22"/>
        </w:rPr>
        <w:t xml:space="preserve">Analiza dinamica domina cu 62% din studii, urmata de analiza statica (21%), alte metode (11%) si analiza hibrida (6%). Analiza dinamica este preferata deoarece observa comportamentul real al malware-ului in executie, permitand detectarea variantelor care eludeaza analiza statica prin obfuscare.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680"/>
        <w:gridCol w:w="3380"/>
      </w:tblGrid>
      <w:tr>
        <w:tc>
          <w:tcPr>
            <w:tcW w:type="dxa" w:w="14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Tip analiza</w:t>
            </w:r>
          </w:p>
        </w:tc>
        <w:tc>
          <w:tcPr>
            <w:tcW w:type="dxa" w:w="9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Pondere</w:t>
            </w:r>
          </w:p>
        </w:tc>
        <w:tc>
          <w:tcPr>
            <w:tcW w:type="dxa" w:w="368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Avantaje principale</w:t>
            </w:r>
          </w:p>
        </w:tc>
        <w:tc>
          <w:tcPr>
            <w:tcW w:type="dxa" w:w="338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Limitari</w:t>
            </w:r>
          </w:p>
        </w:tc>
      </w:tr>
      <w:tr>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Dinamica</w:t>
            </w:r>
          </w:p>
        </w:tc>
        <w:tc>
          <w:tcPr>
            <w:tcW w:type="dxa" w:w="9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62%</w:t>
            </w:r>
          </w:p>
        </w:tc>
        <w:tc>
          <w:tcPr>
            <w:tcW w:type="dxa" w:w="36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Observa comportamentul real; eficienta contra obfuscare</w:t>
            </w:r>
          </w:p>
        </w:tc>
        <w:tc>
          <w:tcPr>
            <w:tcW w:type="dxa" w:w="33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Overhead computationale; necesita mediu izolat (sandbox)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Viteza mare; fara executie; analiza hash-uri, stringuri, opcodes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Ineficienta contra obfuscare avansata si cod polimorfic</w:t>
            </w:r>
          </w:p>
        </w:tc>
      </w:tr>
      <w:tr>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Hibrida</w:t>
            </w:r>
          </w:p>
        </w:tc>
        <w:tc>
          <w:tcPr>
            <w:tcW w:type="dxa" w:w="9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6%</w:t>
            </w:r>
          </w:p>
        </w:tc>
        <w:tc>
          <w:tcPr>
            <w:tcW w:type="dxa" w:w="36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Viziune completa; combina avantajele ambelor tipuri</w:t>
            </w:r>
          </w:p>
        </w:tc>
        <w:tc>
          <w:tcPr>
            <w:tcW w:type="dxa" w:w="338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Complexitate si resurse ridicate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Altele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Abordari inovatoare (energie, side-channel, BGP)</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Aplicabilitate limitata sau necesita hardware specific</w:t>
            </w:r>
          </w:p>
        </w:tc>
      </w:tr>
    </w:tbl>
    <w:p>
      <w:pPr>
        <w:spacing w:after="0" w:before="160"/>
      </w:pPr>
    </w:p>
    <w:p>
      <w:pPr>
        <w:pStyle w:val="Heading2"/>
        <w:spacing w:after="80" w:before="240"/>
      </w:pPr>
      <w:r>
        <w:rPr>
          <w:rFonts w:ascii="Arial" w:cs="Arial" w:eastAsia="Arial" w:hAnsi="Arial"/>
          <w:b/>
          <w:bCs/>
          <w:color w:val="0085CA"/>
          <w:sz w:val="26"/>
          <w:szCs w:val="26"/>
        </w:rPr>
        <w:t xml:space="preserve">5.2 Algoritmi ML Predominanti</w:t>
      </w:r>
    </w:p>
    <w:p>
      <w:pPr>
        <w:spacing w:after="100" w:before="80"/>
        <w:jc w:val="both"/>
      </w:pPr>
      <w:r>
        <w:rPr>
          <w:rFonts w:ascii="Arial" w:cs="Arial" w:eastAsia="Arial" w:hAnsi="Arial"/>
          <w:sz w:val="22"/>
          <w:szCs w:val="22"/>
        </w:rPr>
        <w:t xml:space="preserve">Dintre clasificatorii ML traditionali, SVM (Support Vector Machine) si Random Forest (RF) au fost cei mai preferati de cercetatori. SVM este eficient pentru ransomware datorita capacitatii de a gestiona seturi de caracteristici de dimensionalitate mare si separabile neliniar. RF este robust la overfitting si mai putin afectat de outlieri sau zgomot in date. Dintre tehnicile Deep Learning, LSTM si CNN sunt frecvent utilizate pentru analiza secventelor de apeluri API si recunoasterea pattern-urilor.</w:t>
      </w:r>
    </w:p>
    <w:p>
      <w:pPr>
        <w:pStyle w:val="Heading2"/>
        <w:spacing w:after="80" w:before="240"/>
      </w:pPr>
      <w:r>
        <w:rPr>
          <w:rFonts w:ascii="Arial" w:cs="Arial" w:eastAsia="Arial" w:hAnsi="Arial"/>
          <w:b/>
          <w:bCs/>
          <w:color w:val="0085CA"/>
          <w:sz w:val="26"/>
          <w:szCs w:val="26"/>
        </w:rPr>
        <w:t xml:space="preserve">5.3 Caracteristici (Features) Utilizate</w:t>
      </w:r>
    </w:p>
    <w:p>
      <w:pPr>
        <w:spacing w:after="100" w:before="80"/>
        <w:jc w:val="both"/>
      </w:pPr>
      <w:r>
        <w:rPr>
          <w:rFonts w:ascii="Arial" w:cs="Arial" w:eastAsia="Arial" w:hAnsi="Arial"/>
          <w:sz w:val="22"/>
          <w:szCs w:val="22"/>
        </w:rPr>
        <w:t xml:space="preserve">API calls reprezinta cea mai folosita caracteristica in studiile de detectie, oferind informatii bogate despre comportamentul software-ului, fiabilitate, utilizare in analiza dinamica si usurinta de extractie si analiza. Traficul de retea (adrese IP, headere TCP, dimensiunea pachetelor, protocoale, continut payload, informatii despre domenii) este al doilea cel mai important set de caracteristici. Activitatile de fisiere (creare, stergere, modificare, entropie, dimensiune, similaritate) completeaza tabloul, impreuna cu secventele de opcodes, apeluri de sistem, activitati DLL si inregistri de registry.</w:t>
      </w:r>
    </w:p>
    <w:p>
      <w:pPr>
        <w:pStyle w:val="Heading2"/>
        <w:spacing w:after="80" w:before="240"/>
      </w:pPr>
      <w:r>
        <w:rPr>
          <w:rFonts w:ascii="Arial" w:cs="Arial" w:eastAsia="Arial" w:hAnsi="Arial"/>
          <w:b/>
          <w:bCs/>
          <w:color w:val="0085CA"/>
          <w:sz w:val="26"/>
          <w:szCs w:val="26"/>
        </w:rPr>
        <w:t xml:space="preserve">5.4 Platforme Vizate in Cercetare</w:t>
      </w:r>
    </w:p>
    <w:p>
      <w:pPr>
        <w:spacing w:after="100" w:before="80"/>
        <w:jc w:val="both"/>
      </w:pPr>
      <w:r>
        <w:rPr>
          <w:rFonts w:ascii="Arial" w:cs="Arial" w:eastAsia="Arial" w:hAnsi="Arial"/>
          <w:sz w:val="22"/>
          <w:szCs w:val="22"/>
        </w:rPr>
        <w:t xml:space="preserve">Windows domina cu 67% din studii, reflectand realitatea ca Windows OS este tinta principala a atacurilor ransomware, fiind utilizat pe peste un miliard de PC-uri personale. Android urmeaza cu 19%, reflectand cresterea amenintarilor mobile. Categoria 'Altele' (11%) acopera Cloud, IoT, SCADA. Linux (3%) ramane slab acoperit in cercetare, un gap semnificativ.</w:t>
      </w:r>
    </w:p>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6. Taxonomia Cercetarii in Domeniu</w:t>
      </w:r>
    </w:p>
    <w:p>
      <w:pPr>
        <w:spacing w:after="100" w:before="80"/>
        <w:jc w:val="both"/>
      </w:pPr>
      <w:r>
        <w:rPr>
          <w:rFonts w:ascii="Arial" w:cs="Arial" w:eastAsia="Arial" w:hAnsi="Arial"/>
          <w:sz w:val="22"/>
          <w:szCs w:val="22"/>
        </w:rPr>
        <w:t xml:space="preserve">Autorii propun o taxonomie originala care organizeaza 125 de contributii de cercetare dupa: obiectiv (detectie, clasificare, preventie, mitigare, predictie), tipul de analiza (statica, dinamica, hibrida), abordarea (ML-based, rule-based, decoy-based, SDN-based, FSM-based, hibrida), tehnica (analiza software, analiza centrica pe date, analiza informatii sistem) si caracteristicile utilizate.</w:t>
      </w:r>
    </w:p>
    <w:p>
      <w:pPr>
        <w:pStyle w:val="Heading2"/>
        <w:spacing w:after="80" w:before="240"/>
      </w:pPr>
      <w:r>
        <w:rPr>
          <w:rFonts w:ascii="Arial" w:cs="Arial" w:eastAsia="Arial" w:hAnsi="Arial"/>
          <w:b/>
          <w:bCs/>
          <w:color w:val="0085CA"/>
          <w:sz w:val="26"/>
          <w:szCs w:val="26"/>
        </w:rPr>
        <w:t xml:space="preserve">6.1 Detectia (72.8% din studii)</w:t>
      </w:r>
    </w:p>
    <w:p>
      <w:pPr>
        <w:spacing w:after="100" w:before="80"/>
        <w:jc w:val="both"/>
      </w:pPr>
      <w:r>
        <w:rPr>
          <w:rFonts w:ascii="Arial" w:cs="Arial" w:eastAsia="Arial" w:hAnsi="Arial"/>
          <w:sz w:val="22"/>
          <w:szCs w:val="22"/>
        </w:rPr>
        <w:t xml:space="preserve">Detectia ML utilizeaza preponderent analiza dinamica pentru a captura apeluri API, jurnale de sistem si trafic de retea. Sisteme notabile includ: SSD-Insider (detectie si recuperare in secunde folosind Block I/O Request headers si tehnica delayed erase a SSD-urilor NAND flash), DeepRan (sistem bazat pe BiLSTM alimentat cu volume considerabile de host logs de pe servere bare metal), CryptoDrop (sistem de detectie timpurie cu indicatori comportamentali, false positives reduse), UNVEIL (detectie zero-day prin monitorizarea modificarilor fisierelor intr-un mediu de utilizator artificial). Detectia non-ML include abordari decoy-based (honeypots), SDN-based si rule-based.</w:t>
      </w:r>
    </w:p>
    <w:p>
      <w:pPr>
        <w:pStyle w:val="Heading2"/>
        <w:spacing w:after="80" w:before="240"/>
      </w:pPr>
      <w:r>
        <w:rPr>
          <w:rFonts w:ascii="Arial" w:cs="Arial" w:eastAsia="Arial" w:hAnsi="Arial"/>
          <w:b/>
          <w:bCs/>
          <w:color w:val="0085CA"/>
          <w:sz w:val="26"/>
          <w:szCs w:val="26"/>
        </w:rPr>
        <w:t xml:space="preserve">6.2 Clasificarea (4.8% din studii)</w:t>
      </w:r>
    </w:p>
    <w:p>
      <w:pPr>
        <w:spacing w:after="100" w:before="80"/>
        <w:jc w:val="both"/>
      </w:pPr>
      <w:r>
        <w:rPr>
          <w:rFonts w:ascii="Arial" w:cs="Arial" w:eastAsia="Arial" w:hAnsi="Arial"/>
          <w:sz w:val="22"/>
          <w:szCs w:val="22"/>
        </w:rPr>
        <w:t xml:space="preserve">Clasificarea identifica si categorizeaza esantioanele malware pe baza caracteristicilor si comportamentului. Toate studiile de clasificare au folosit abordari ML, datorita capacitatii de a analiza automat volume mari de date. Exista doua categorii principale: clasificarea ca ransomware vs. benign si clasificarea in variante/familii specifice. Sistemul DRTHIS (Deep Ransomware Threat Hunting and Intelligence System), bazat pe CNN si LSTM, atinge un F-measure de 99.6% cu o rata pozitiva de 97.2%.</w:t>
      </w:r>
    </w:p>
    <w:p>
      <w:pPr>
        <w:pStyle w:val="Heading2"/>
        <w:spacing w:after="80" w:before="240"/>
      </w:pPr>
      <w:r>
        <w:rPr>
          <w:rFonts w:ascii="Arial" w:cs="Arial" w:eastAsia="Arial" w:hAnsi="Arial"/>
          <w:b/>
          <w:bCs/>
          <w:color w:val="0085CA"/>
          <w:sz w:val="26"/>
          <w:szCs w:val="26"/>
        </w:rPr>
        <w:t xml:space="preserve">6.3 Preventia (8.8% din studii)</w:t>
      </w:r>
    </w:p>
    <w:p>
      <w:pPr>
        <w:spacing w:after="100" w:before="80"/>
        <w:jc w:val="both"/>
      </w:pPr>
      <w:r>
        <w:rPr>
          <w:rFonts w:ascii="Arial" w:cs="Arial" w:eastAsia="Arial" w:hAnsi="Arial"/>
          <w:sz w:val="22"/>
          <w:szCs w:val="22"/>
        </w:rPr>
        <w:t xml:space="preserve">Preventia acopera o varietate de tehnici: politici de control al accesului la fisiere (Antibiotics - autentificare biometrica si CAPTCHA), backup-ul cheilor de criptare intr-un repositoriu securizat, Moving Target Defense (MTD) prin schimbarea aleatorie si continua a extensiilor fisierelor, Scarecrow (motor de deceptie care dezactiveaza malware-ul evasiv folosind propria sa logica de detectie a mediului), SDN gateway pentru monitorizarea traficului IoT. Preventia este dominata de Windows OS si analiza dinamica.</w:t>
      </w:r>
    </w:p>
    <w:p>
      <w:pPr>
        <w:pStyle w:val="Heading2"/>
        <w:spacing w:after="80" w:before="240"/>
      </w:pPr>
      <w:r>
        <w:rPr>
          <w:rFonts w:ascii="Arial" w:cs="Arial" w:eastAsia="Arial" w:hAnsi="Arial"/>
          <w:b/>
          <w:bCs/>
          <w:color w:val="0085CA"/>
          <w:sz w:val="26"/>
          <w:szCs w:val="26"/>
        </w:rPr>
        <w:t xml:space="preserve">6.4 Mitigarea (8% din studii)</w:t>
      </w:r>
    </w:p>
    <w:p>
      <w:pPr>
        <w:spacing w:after="100" w:before="80"/>
        <w:jc w:val="both"/>
      </w:pPr>
      <w:r>
        <w:rPr>
          <w:rFonts w:ascii="Arial" w:cs="Arial" w:eastAsia="Arial" w:hAnsi="Arial"/>
          <w:sz w:val="22"/>
          <w:szCs w:val="22"/>
        </w:rPr>
        <w:t xml:space="preserve">Mitigarea abordeaza reducerea impactului post-infectare. SDN (Software-Defined Networking) domina cu majoritatae contributiilor, datorita managementului centralizat al retelei si vizibilitatii crescute. PayBreak retine cheile de criptare in escrow, permitand recuperarea fara plata. Ransomcare realizeaza detectie si recuperare in timp real prin analiza hibrida si backup-uri. Tehnicile forensic-based examineaza memoria sistemelor infectate pentru decriptarea fisierelor. WannaCry, Locky, Sodinokibi, ExPetr, NotPetya si Bad Rabbit sunt printre cazurile de studiu principale.</w:t>
      </w:r>
    </w:p>
    <w:p>
      <w:pPr>
        <w:pStyle w:val="Heading2"/>
        <w:spacing w:after="80" w:before="240"/>
      </w:pPr>
      <w:r>
        <w:rPr>
          <w:rFonts w:ascii="Arial" w:cs="Arial" w:eastAsia="Arial" w:hAnsi="Arial"/>
          <w:b/>
          <w:bCs/>
          <w:color w:val="0085CA"/>
          <w:sz w:val="26"/>
          <w:szCs w:val="26"/>
        </w:rPr>
        <w:t xml:space="preserve">6.5 Predictia (5.6% din studii - categoria cea mai subreprezentata)</w:t>
      </w:r>
    </w:p>
    <w:p>
      <w:pPr>
        <w:spacing w:after="100" w:before="80"/>
        <w:jc w:val="both"/>
      </w:pPr>
      <w:r>
        <w:rPr>
          <w:rFonts w:ascii="Arial" w:cs="Arial" w:eastAsia="Arial" w:hAnsi="Arial"/>
          <w:sz w:val="22"/>
          <w:szCs w:val="22"/>
        </w:rPr>
        <w:t xml:space="preserve">Predictia ransomware detecteaza potentialul unui atac inainte sa se produca. 86% din studii folosesc abordari ML. Clasificatorii ML traditionali sunt preferati fata de retelele neuronale pentru predictie, datorita eficientei computationale superioare si capacitatii de a lucra cu seturi de date mai mici. Abordari inovatoare: Topological Data Analysis (TDA) pe tranzactii Bitcoin pentru detectia ransomware financiar, time series forecasting pentru predictia activitatilor viitoare, k-NN pentru detectia traficului de retea ransomware inainte de criptare, RNN pentru predictia malware in primele 5 secunde de executie.</w:t>
      </w:r>
    </w:p>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7. Sistemele de Detectie cu Cele Mai Bune Rezultate</w:t>
      </w:r>
    </w:p>
    <w:p>
      <w:pPr>
        <w:spacing w:after="100" w:before="80"/>
        <w:jc w:val="both"/>
      </w:pPr>
      <w:r>
        <w:rPr>
          <w:rFonts w:ascii="Arial" w:cs="Arial" w:eastAsia="Arial" w:hAnsi="Arial"/>
          <w:sz w:val="22"/>
          <w:szCs w:val="22"/>
        </w:rPr>
        <w:t xml:space="preserve">Din analiza celor 125 de publicatii, autorii evidentiaza o serie de sisteme cu performante remarcabile. Prezentam o selectie reprezentativa: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100"/>
        <w:gridCol w:w="1760"/>
      </w:tblGrid>
      <w:tr>
        <w:tc>
          <w:tcPr>
            <w:tcW w:type="dxa" w:w="22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Sistem / Publicatie</w:t>
            </w:r>
          </w:p>
        </w:tc>
        <w:tc>
          <w:tcPr>
            <w:tcW w:type="dxa" w:w="25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Caracteristici</w:t>
            </w:r>
          </w:p>
        </w:tc>
        <w:tc>
          <w:tcPr>
            <w:tcW w:type="dxa" w:w="18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Algoritmul ML</w:t>
            </w:r>
          </w:p>
        </w:tc>
        <w:tc>
          <w:tcPr>
            <w:tcW w:type="dxa" w:w="110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Acuratete</w:t>
            </w:r>
          </w:p>
        </w:tc>
        <w:tc>
          <w:tcPr>
            <w:tcW w:type="dxa" w:w="1760"/>
            <w:tcBorders>
              <w:top w:val="single" w:color="00629B" w:sz="1"/>
              <w:left w:val="single" w:color="00629B" w:sz="1"/>
              <w:bottom w:val="single" w:color="00629B" w:sz="1"/>
              <w:right w:val="single" w:color="00629B" w:sz="1"/>
            </w:tcBorders>
            <w:shd w:fill="00629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SSD-Insider [48]</w:t>
            </w:r>
          </w:p>
        </w:tc>
        <w:tc>
          <w:tcPr>
            <w:tcW w:type="dxa" w:w="25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I/O request headers (Block I/O)</w:t>
            </w:r>
          </w:p>
        </w:tc>
        <w:tc>
          <w:tcPr>
            <w:tcW w:type="dxa" w:w="18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Decision Tree</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100%</w:t>
            </w:r>
          </w:p>
        </w:tc>
        <w:tc>
          <w:tcPr>
            <w:tcW w:type="dxa" w:w="17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Windows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BiLSTM DeepRan [72]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Host logs (bare metal servers)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BiLSTM</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ANN IRP-driven [73]</w:t>
            </w:r>
          </w:p>
        </w:tc>
        <w:tc>
          <w:tcPr>
            <w:tcW w:type="dxa" w:w="25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IRP logs extrase din sandbox</w:t>
            </w:r>
          </w:p>
        </w:tc>
        <w:tc>
          <w:tcPr>
            <w:tcW w:type="dxa" w:w="18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Artificial Neural Network</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99.8%</w:t>
            </w:r>
          </w:p>
        </w:tc>
        <w:tc>
          <w:tcPr>
            <w:tcW w:type="dxa" w:w="17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Windows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ELM Modified [87]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Secvente malware (dependente)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Extreme Learning Machine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Multiple</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Peeler [96]</w:t>
            </w:r>
          </w:p>
        </w:tc>
        <w:tc>
          <w:tcPr>
            <w:tcW w:type="dxa" w:w="25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Kernel events (67 familii ransomware)</w:t>
            </w:r>
          </w:p>
        </w:tc>
        <w:tc>
          <w:tcPr>
            <w:tcW w:type="dxa" w:w="18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SVM + NLP BERT</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99.5%</w:t>
            </w:r>
          </w:p>
        </w:tc>
        <w:tc>
          <w:tcPr>
            <w:tcW w:type="dxa" w:w="17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Windows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FSM Ramesh [114]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Resurse sistem, persistenta, fisiere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FSM-based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99.5%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 7</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PEDA [48]</w:t>
            </w:r>
          </w:p>
        </w:tc>
        <w:tc>
          <w:tcPr>
            <w:tcW w:type="dxa" w:w="25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API calls + I/O headers NAND flash</w:t>
            </w:r>
          </w:p>
        </w:tc>
        <w:tc>
          <w:tcPr>
            <w:tcW w:type="dxa" w:w="18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Decision Tree</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100%</w:t>
            </w:r>
          </w:p>
        </w:tc>
        <w:tc>
          <w:tcPr>
            <w:tcW w:type="dxa" w:w="17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Windows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Bae et al. [64]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sequences (ransomware vs malware)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RF, LogR, NB, SGD, kNN, SVM</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98.7%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w:t>
            </w:r>
          </w:p>
        </w:tc>
      </w:tr>
    </w:tbl>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8. Discutie: Lacune si Directii Viitoare de Cercetare</w:t>
      </w:r>
    </w:p>
    <w:p>
      <w:pPr>
        <w:pStyle w:val="Heading2"/>
        <w:spacing w:after="80" w:before="240"/>
      </w:pPr>
      <w:r>
        <w:rPr>
          <w:rFonts w:ascii="Arial" w:cs="Arial" w:eastAsia="Arial" w:hAnsi="Arial"/>
          <w:b/>
          <w:bCs/>
          <w:color w:val="0085CA"/>
          <w:sz w:val="26"/>
          <w:szCs w:val="26"/>
        </w:rPr>
        <w:t xml:space="preserve">8.1 Tendinte in Cercetare si Lipsa Contributiilor de Varf</w:t>
      </w:r>
    </w:p>
    <w:p>
      <w:pPr>
        <w:spacing w:after="100" w:before="80"/>
        <w:jc w:val="both"/>
      </w:pPr>
      <w:r>
        <w:rPr>
          <w:rFonts w:ascii="Arial" w:cs="Arial" w:eastAsia="Arial" w:hAnsi="Arial"/>
          <w:sz w:val="22"/>
          <w:szCs w:val="22"/>
        </w:rPr>
        <w:t xml:space="preserve">Autorii identifica o tendinta ingrijoratoare: majoritatea contributiilor de cercetare in detectia ML sunt mai teoretice decat practice. Multi autori propun modele si abordari fara a specifica rata de detectie, critica pentru preventia ransomware. Detectia fara preventie in timp real este inutila daca interventia survine dupa infectare.</w:t>
      </w:r>
    </w:p>
    <w:p>
      <w:pPr>
        <w:spacing w:after="100" w:before="80"/>
        <w:jc w:val="both"/>
      </w:pPr>
      <w:r>
        <w:rPr>
          <w:rFonts w:ascii="Arial" w:cs="Arial" w:eastAsia="Arial" w:hAnsi="Arial"/>
          <w:sz w:val="22"/>
          <w:szCs w:val="22"/>
        </w:rPr>
        <w:t xml:space="preserve">Un gap semnificativ identificat este numarul redus de contributii care utilizeaza tehnici de reverse engineering pe cele mai impactante variante ransomware din ultimii ani: Conti, Hive, REvil, LockBit 3.0 si Egregor nu au fost investigate suficient in ciuda impactului lor financiar masiv din 2020 incoace. Complexitatea acestor malware-uri este probabil motivul pentru care raman active ani la rand.</w:t>
      </w:r>
    </w:p>
    <w:p>
      <w:pPr>
        <w:spacing w:after="100" w:before="80"/>
        <w:jc w:val="both"/>
      </w:pPr>
      <w:r>
        <w:rPr>
          <w:rFonts w:ascii="Arial" w:cs="Arial" w:eastAsia="Arial" w:hAnsi="Arial"/>
          <w:sz w:val="22"/>
          <w:szCs w:val="22"/>
        </w:rPr>
        <w:t xml:space="preserve">Cercetarea pentru detectia in timp real si identificarea/preventia zero-day ransomware ramane subdezvoltata. Proliferarea dispozitivelor IoT si SCADA complica si mai mult peisajul, deoarece expertii de securitate se confrunta cu provocari crescande in protectia eficienta impotriva amenintarilor ransomware in aceste medii resursa-limitate.</w:t>
      </w:r>
    </w:p>
    <w:p>
      <w:pPr>
        <w:pStyle w:val="Heading2"/>
        <w:spacing w:after="80" w:before="240"/>
      </w:pPr>
      <w:r>
        <w:rPr>
          <w:rFonts w:ascii="Arial" w:cs="Arial" w:eastAsia="Arial" w:hAnsi="Arial"/>
          <w:b/>
          <w:bCs/>
          <w:color w:val="0085CA"/>
          <w:sz w:val="26"/>
          <w:szCs w:val="26"/>
        </w:rPr>
        <w:t xml:space="preserve">8.2 Adversarial Machine Learning - Domeniu Neexplorat</w:t>
      </w:r>
    </w:p>
    <w:p>
      <w:pPr>
        <w:spacing w:after="100" w:before="80"/>
        <w:jc w:val="both"/>
      </w:pPr>
      <w:r>
        <w:rPr>
          <w:rFonts w:ascii="Arial" w:cs="Arial" w:eastAsia="Arial" w:hAnsi="Arial"/>
          <w:sz w:val="22"/>
          <w:szCs w:val="22"/>
        </w:rPr>
        <w:t xml:space="preserve">Adversarial Machine Learning (AML) se refera la atacurile care manipuleaza procesul decizional al modelelor ML prin introducerea de inputuri inselatoare, dar si la sub-domeniul AI care proiecteaza modele robuste contra acestor atacuri. Autorii identifica doua tipuri principale de atacuri AML: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80"/>
              <w:left w:type="dxa" w:w="160"/>
              <w:bottom w:type="dxa" w:w="80"/>
              <w:right w:type="dxa" w:w="160"/>
            </w:tcMar>
          </w:tcPr>
          <w:p>
            <w:r>
              <w:rPr>
                <w:rFonts w:ascii="Arial" w:cs="Arial" w:eastAsia="Arial" w:hAnsi="Arial"/>
                <w:b/>
                <w:bCs/>
                <w:color w:val="FFFFFF"/>
                <w:sz w:val="22"/>
                <w:szCs w:val="22"/>
              </w:rPr>
              <w:t xml:space="preserve">Tipuri de atacuri Adversarial ML</w:t>
            </w:r>
          </w:p>
        </w:tc>
      </w:tr>
      <w:tr>
        <w:tc>
          <w:tcPr>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pPr>
              <w:spacing w:after="60" w:before="60"/>
              <w:jc w:val="both"/>
            </w:pPr>
            <w:r>
              <w:rPr>
                <w:rFonts w:ascii="Arial" w:cs="Arial" w:eastAsia="Arial" w:hAnsi="Arial"/>
                <w:b/>
                <w:bCs/>
                <w:sz w:val="22"/>
                <w:szCs w:val="22"/>
              </w:rPr>
              <w:t xml:space="preserve">Evasion Attacks: </w:t>
            </w:r>
            <w:r>
              <w:rPr>
                <w:rFonts w:ascii="Arial" w:cs="Arial" w:eastAsia="Arial" w:hAnsi="Arial"/>
                <w:sz w:val="22"/>
                <w:szCs w:val="22"/>
              </w:rPr>
              <w:t xml:space="preserve">Modifica inputul (structura codului, atributele fisierului) pentru a determina modelul sa clasifice incorect, eludand detectia. Vizeaza modele deja antrenate.</w:t>
            </w:r>
          </w:p>
          <w:p>
            <w:pPr>
              <w:spacing w:after="60" w:before="60"/>
              <w:jc w:val="both"/>
            </w:pPr>
            <w:r>
              <w:rPr>
                <w:rFonts w:ascii="Arial" w:cs="Arial" w:eastAsia="Arial" w:hAnsi="Arial"/>
                <w:b/>
                <w:bCs/>
                <w:sz w:val="22"/>
                <w:szCs w:val="22"/>
              </w:rPr>
              <w:t xml:space="preserve">Poisoning Attacks: </w:t>
            </w:r>
            <w:r>
              <w:rPr>
                <w:rFonts w:ascii="Arial" w:cs="Arial" w:eastAsia="Arial" w:hAnsi="Arial"/>
                <w:sz w:val="22"/>
                <w:szCs w:val="22"/>
              </w:rPr>
              <w:t xml:space="preserve">Manipuleaza setul de date de antrenare utilizat pentru a antrena modelul ML. Spre deosebire de evasion, actioneaza inainte de antrenare, corupand fundamentul detectiei.</w:t>
            </w:r>
          </w:p>
        </w:tc>
      </w:tr>
    </w:tbl>
    <w:p>
      <w:pPr>
        <w:spacing w:after="0" w:before="160"/>
      </w:pPr>
    </w:p>
    <w:p>
      <w:pPr>
        <w:spacing w:after="100" w:before="80"/>
        <w:jc w:val="both"/>
      </w:pPr>
      <w:r>
        <w:rPr>
          <w:rFonts w:ascii="Arial" w:cs="Arial" w:eastAsia="Arial" w:hAnsi="Arial"/>
          <w:sz w:val="22"/>
          <w:szCs w:val="22"/>
        </w:rPr>
        <w:t xml:space="preserve">Studiile relevante in AML pentru malware includ: EvnAttack + SecDefender (Chen et al.) pentru atac si aparare ML bazate pe Windows API calls din fisiere PE; KUAFUDET (abordare in doua faze cu schema de invatare auto-adaptiva); atacul gradient-based Kolosnjaji et al. care pacaleste detectoarele deep learning prin modificarea catorva bytes la sfarsitul esantionului; Android HIV (Chen et al.) care genereaza automat exemple adversariale care pacalesc detectoarele semantice inclusiv Drebin si MaMaDroid. Concluzia critica: nu exista nicio contributie de cercetare care sa fi investigat abordari AML specifica ransomware, spre deosebire de malware in general.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E67E22" w:val="clear"/>
            <w:tcMar>
              <w:top w:type="dxa" w:w="80"/>
              <w:left w:type="dxa" w:w="160"/>
              <w:bottom w:type="dxa" w:w="80"/>
              <w:right w:type="dxa" w:w="160"/>
            </w:tcMar>
          </w:tcPr>
          <w:p>
            <w:r>
              <w:rPr>
                <w:rFonts w:ascii="Arial" w:cs="Arial" w:eastAsia="Arial" w:hAnsi="Arial"/>
                <w:b/>
                <w:bCs/>
                <w:color w:val="FFFFFF"/>
                <w:sz w:val="22"/>
                <w:szCs w:val="22"/>
              </w:rPr>
              <w:t xml:space="preserve">Cele mai urgente directii de cercetare identificate</w:t>
            </w:r>
          </w:p>
        </w:tc>
      </w:tr>
      <w:tr>
        <w:tc>
          <w:tcPr>
            <w:tcBorders>
              <w:top w:val="single" w:color="E67E22" w:sz="1"/>
              <w:left w:val="single" w:color="E67E22" w:sz="1"/>
              <w:bottom w:val="single" w:color="E67E22" w:sz="1"/>
              <w:right w:val="single" w:color="E67E22" w:sz="1"/>
            </w:tcBorders>
            <w:shd w:fill="FDEBD0" w:val="clear"/>
            <w:tcMar>
              <w:top w:type="dxa" w:w="100"/>
              <w:left w:type="dxa" w:w="160"/>
              <w:bottom w:type="dxa" w:w="100"/>
              <w:right w:type="dxa" w:w="160"/>
            </w:tcMar>
          </w:tcPr>
          <w:p>
            <w:pPr>
              <w:spacing w:after="40" w:before="60"/>
              <w:jc w:val="both"/>
            </w:pPr>
            <w:r>
              <w:rPr>
                <w:rFonts w:ascii="Arial" w:cs="Arial" w:eastAsia="Arial" w:hAnsi="Arial"/>
                <w:b/>
                <w:bCs/>
                <w:sz w:val="22"/>
                <w:szCs w:val="22"/>
              </w:rPr>
              <w:t xml:space="preserve">1. Protectie in timp real: </w:t>
            </w:r>
            <w:r>
              <w:rPr>
                <w:rFonts w:ascii="Arial" w:cs="Arial" w:eastAsia="Arial" w:hAnsi="Arial"/>
                <w:sz w:val="22"/>
                <w:szCs w:val="22"/>
              </w:rPr>
              <w:t xml:space="preserve">Sisteme capabile sa opreasca ransomware-ul in timp ce acesta opereaza, nu dupa infectare.</w:t>
            </w:r>
          </w:p>
          <w:p>
            <w:pPr>
              <w:spacing w:after="40" w:before="40"/>
              <w:jc w:val="both"/>
            </w:pPr>
            <w:r>
              <w:rPr>
                <w:rFonts w:ascii="Arial" w:cs="Arial" w:eastAsia="Arial" w:hAnsi="Arial"/>
                <w:b/>
                <w:bCs/>
                <w:sz w:val="22"/>
                <w:szCs w:val="22"/>
              </w:rPr>
              <w:t xml:space="preserve">2. Detectia zero-day: </w:t>
            </w:r>
            <w:r>
              <w:rPr>
                <w:rFonts w:ascii="Arial" w:cs="Arial" w:eastAsia="Arial" w:hAnsi="Arial"/>
                <w:sz w:val="22"/>
                <w:szCs w:val="22"/>
              </w:rPr>
              <w:t xml:space="preserve">Identificarea si preventia variantelor ransomware necunoscute anterior, fara semnatura in baza de date.</w:t>
            </w:r>
          </w:p>
          <w:p>
            <w:pPr>
              <w:spacing w:after="40" w:before="40"/>
              <w:jc w:val="both"/>
            </w:pPr>
            <w:r>
              <w:rPr>
                <w:rFonts w:ascii="Arial" w:cs="Arial" w:eastAsia="Arial" w:hAnsi="Arial"/>
                <w:b/>
                <w:bCs/>
                <w:sz w:val="22"/>
                <w:szCs w:val="22"/>
              </w:rPr>
              <w:t xml:space="preserve">3. Adversarial ML pentru ransomware: </w:t>
            </w:r>
            <w:r>
              <w:rPr>
                <w:rFonts w:ascii="Arial" w:cs="Arial" w:eastAsia="Arial" w:hAnsi="Arial"/>
                <w:sz w:val="22"/>
                <w:szCs w:val="22"/>
              </w:rPr>
              <w:t xml:space="preserve">Aplicarea tehnicilor AML (evasion + poisoning) specific pentru apararea contra ransomware.</w:t>
            </w:r>
          </w:p>
          <w:p>
            <w:pPr>
              <w:spacing w:after="40" w:before="40"/>
              <w:jc w:val="both"/>
            </w:pPr>
            <w:r>
              <w:rPr>
                <w:rFonts w:ascii="Arial" w:cs="Arial" w:eastAsia="Arial" w:hAnsi="Arial"/>
                <w:b/>
                <w:bCs/>
                <w:sz w:val="22"/>
                <w:szCs w:val="22"/>
              </w:rPr>
              <w:t xml:space="preserve">4. Reverse engineering top ransomware: </w:t>
            </w:r>
            <w:r>
              <w:rPr>
                <w:rFonts w:ascii="Arial" w:cs="Arial" w:eastAsia="Arial" w:hAnsi="Arial"/>
                <w:sz w:val="22"/>
                <w:szCs w:val="22"/>
              </w:rPr>
              <w:t xml:space="preserve">Analiza tehnica aprofundata a Conti, Hive, REvil, LockBit 3.0, Egregor.</w:t>
            </w:r>
          </w:p>
          <w:p>
            <w:pPr>
              <w:spacing w:after="60" w:before="40"/>
              <w:jc w:val="both"/>
            </w:pPr>
            <w:r>
              <w:rPr>
                <w:rFonts w:ascii="Arial" w:cs="Arial" w:eastAsia="Arial" w:hAnsi="Arial"/>
                <w:b/>
                <w:bCs/>
                <w:sz w:val="22"/>
                <w:szCs w:val="22"/>
              </w:rPr>
              <w:t xml:space="preserve">5. Seturi de date standardizate: </w:t>
            </w:r>
            <w:r>
              <w:rPr>
                <w:rFonts w:ascii="Arial" w:cs="Arial" w:eastAsia="Arial" w:hAnsi="Arial"/>
                <w:sz w:val="22"/>
                <w:szCs w:val="22"/>
              </w:rPr>
              <w:t xml:space="preserve">Lipsa seturilor de date publice, standardizate si comparabile ramane o bariera majora pentru reproductibilitatea cercetarii.</w:t>
            </w:r>
          </w:p>
        </w:tc>
      </w:tr>
    </w:tbl>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9. Analiza Maturitatii Ecosistemului Ransomware</w:t>
      </w:r>
    </w:p>
    <w:p>
      <w:pPr>
        <w:spacing w:after="100" w:before="80"/>
        <w:jc w:val="both"/>
      </w:pPr>
      <w:r>
        <w:rPr>
          <w:rFonts w:ascii="Arial" w:cs="Arial" w:eastAsia="Arial" w:hAnsi="Arial"/>
          <w:sz w:val="22"/>
          <w:szCs w:val="22"/>
        </w:rPr>
        <w:t xml:space="preserve">Piata ransomware s-a maturizat semnificativ. Evolutia de la AIDS Trojan (1989) la modelele RaaS actuale reflecta o tranzitie de la atacuri individuale la operatiuni criminale organizate la scara industriala. Prin adoptarea modelului RaaS, ransomware-ul a devenit o marfa (commodity), accesibila oricarui actor malitios fara competente tehnice de programare.</w:t>
      </w:r>
    </w:p>
    <w:p>
      <w:pPr>
        <w:spacing w:after="100" w:before="80"/>
        <w:jc w:val="both"/>
      </w:pPr>
      <w:r>
        <w:rPr>
          <w:rFonts w:ascii="Arial" w:cs="Arial" w:eastAsia="Arial" w:hAnsi="Arial"/>
          <w:sz w:val="22"/>
          <w:szCs w:val="22"/>
        </w:rPr>
        <w:t xml:space="preserve">Tactica double extortion introdusa de Maze si perfectionata de grupuri ca REvil, DarkSide si LockBit a schimbat fundamental calculul economic al victimelor: chiar daca organizatia ar putea recupera datele din backup-uri, amenintarea publicarii datelor sensibile ale clientilor sau partenerilor creeaza presiune suplimentara. In plus, unele grupuri (REvil) au introdus triple extortion: cereri de rascumparare si de la clientii/partenerii organizatiei vizate.</w:t>
      </w:r>
    </w:p>
    <w:p>
      <w:pPr>
        <w:spacing w:after="100" w:before="80"/>
        <w:jc w:val="both"/>
      </w:pPr>
      <w:r>
        <w:rPr>
          <w:rFonts w:ascii="Arial" w:cs="Arial" w:eastAsia="Arial" w:hAnsi="Arial"/>
          <w:sz w:val="22"/>
          <w:szCs w:val="22"/>
        </w:rPr>
        <w:t xml:space="preserve">Evolutia modelelor de atac a crescut complexitatea detectiei: de la ransomware cu semnatura fixa (detectabil prin metode signature-based) la ransomware polimorfic, fileless si capabil sa detecteze si sa evite mediile de analiza (sandboxes). Scarecrow (Zhang et al.) abordeaza aceasta provocare specific, transformand logica de evasion a malware-ului impotriva lui insusi.</w:t>
      </w:r>
    </w:p>
    <w:p>
      <w:pPr>
        <w:spacing w:after="0" w:before="160"/>
      </w:pPr>
    </w:p>
    <w:p>
      <w:pPr>
        <w:pStyle w:val="Heading1"/>
        <w:pBdr>
          <w:bottom w:val="single" w:color="E67E22" w:sz="8" w:space="4"/>
        </w:pBdr>
        <w:spacing w:after="120" w:before="360"/>
      </w:pPr>
      <w:r>
        <w:rPr>
          <w:rFonts w:ascii="Arial" w:cs="Arial" w:eastAsia="Arial" w:hAnsi="Arial"/>
          <w:b/>
          <w:bCs/>
          <w:color w:val="00629B"/>
          <w:sz w:val="30"/>
          <w:szCs w:val="30"/>
        </w:rPr>
        <w:t xml:space="preserve">10. Concluzii</w:t>
      </w:r>
    </w:p>
    <w:p>
      <w:pPr>
        <w:spacing w:after="100" w:before="80"/>
        <w:jc w:val="both"/>
      </w:pPr>
      <w:r>
        <w:rPr>
          <w:rFonts w:ascii="Arial" w:cs="Arial" w:eastAsia="Arial" w:hAnsi="Arial"/>
          <w:sz w:val="22"/>
          <w:szCs w:val="22"/>
        </w:rPr>
        <w:t xml:space="preserve">Lucrarea constituie un ghid comprehensiv si de referinta pentru cercetatorii in domeniul ransomware, acoperind evolutia istorica pe patru decenii, taxonomia completa, starea artei in detectie-clasificare-preventie-mitigare-predictie si directii viitoare de cercetare.</w:t>
      </w:r>
    </w:p>
    <w:p>
      <w:pPr>
        <w:spacing w:after="100" w:before="80"/>
        <w:jc w:val="both"/>
      </w:pPr>
      <w:r>
        <w:rPr>
          <w:rFonts w:ascii="Arial" w:cs="Arial" w:eastAsia="Arial" w:hAnsi="Arial"/>
          <w:sz w:val="22"/>
          <w:szCs w:val="22"/>
        </w:rPr>
        <w:t xml:space="preserve">Principalele constatari: detectia prin ML domina covarsitor cercetarea (72.8% din studii, cu 70% utilizand ML); SVM si RF sunt clasificatorii preferati; analiza dinamica este preferata celei statice; Windows ramane platforma principala vizata; predictia ransomware este cronic subreprezentata in cercetare; adversarial ML specific ransomware reprezinta un gap major neacoperit.</w:t>
      </w:r>
    </w:p>
    <w:p>
      <w:pPr>
        <w:spacing w:after="100" w:before="80"/>
        <w:jc w:val="both"/>
      </w:pPr>
      <w:r>
        <w:rPr>
          <w:rFonts w:ascii="Arial" w:cs="Arial" w:eastAsia="Arial" w:hAnsi="Arial"/>
          <w:sz w:val="22"/>
          <w:szCs w:val="22"/>
        </w:rPr>
        <w:t xml:space="preserve">Contributia distinctiva a lucrarii fata de survey-urile existente este adaugarea categoriei Predictie in taxonomia cercetarii si acoperirea adversarial ML pentru malware, subliniind potentialul sau neexplorat pentru apararea contra ransomware. Autorii concluzioneaza ca progresul semnificativ a fost realizat, dar mult mai mult ramane de explorat in domeniul ransomware, in special in contextul adoptarii masive a dispozitivelor IoT si al evolutiei continue a modelelor RaaS.</w:t>
      </w:r>
    </w:p>
    <w:p>
      <w:pPr>
        <w:spacing w:after="0" w:before="200"/>
      </w:pPr>
    </w:p>
    <w:p>
      <w:pPr>
        <w:pBdr>
          <w:top w:val="single" w:color="E67E22" w:sz="4" w:space="6"/>
        </w:pBdr>
        <w:spacing w:after="60" w:before="200"/>
        <w:jc w:val="center"/>
      </w:pPr>
      <w:r>
        <w:rPr>
          <w:rFonts w:ascii="Arial" w:cs="Arial" w:eastAsia="Arial" w:hAnsi="Arial"/>
          <w:i/>
          <w:iCs/>
          <w:color w:val="5D6D7E"/>
          <w:sz w:val="18"/>
          <w:szCs w:val="18"/>
        </w:rPr>
        <w:t xml:space="preserve">Rezumat generat pentru proiectul RansomGuard - Cosmin / cozel6</w:t>
      </w:r>
    </w:p>
    <w:p>
      <w:pPr>
        <w:spacing w:after="0" w:before="0"/>
        <w:jc w:val="center"/>
      </w:pPr>
      <w:r>
        <w:rPr>
          <w:rFonts w:ascii="Arial" w:cs="Arial" w:eastAsia="Arial" w:hAnsi="Arial"/>
          <w:color w:val="5D6D7E"/>
          <w:sz w:val="18"/>
          <w:szCs w:val="18"/>
        </w:rPr>
        <w:t xml:space="preserve">Sursa: Razaulla et al., IEEE Access, DOI: 10.1109/ACCESS.2023.3268535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7E22" w:sz="4" w:space="4"/>
      </w:pBdr>
      <w:spacing w:after="0" w:before="80"/>
    </w:pPr>
    <w:r>
      <w:rPr>
        <w:rFonts w:ascii="Arial" w:cs="Arial" w:eastAsia="Arial" w:hAnsi="Arial"/>
        <w:color w:val="5D6D7E"/>
        <w:sz w:val="18"/>
        <w:szCs w:val="18"/>
      </w:rPr>
      <w:t xml:space="preserve">IEEE Access 2023  |  Pagina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din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spacing w:after="80" w:before="0"/>
    </w:pPr>
    <w:r>
      <w:rPr>
        <w:rFonts w:ascii="Arial" w:cs="Arial" w:eastAsia="Arial" w:hAnsi="Arial"/>
        <w:color w:val="5D6D7E"/>
        <w:sz w:val="18"/>
        <w:szCs w:val="18"/>
      </w:rPr>
      <w:t xml:space="preserve">Rezumat - The Age of Ransomware (Razaulla et al., IEEE Access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629B"/>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085C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2026-05-03T10:35:39.133Z</dcterms:created>
  <dcterms:modified xsi:type="dcterms:W3CDTF">2026-05-03T10:35:39.134Z</dcterms:modified>
</cp:coreProperties>
</file>

<file path=docProps/custom.xml><?xml version="1.0" encoding="utf-8"?>
<Properties xmlns="http://schemas.openxmlformats.org/officeDocument/2006/custom-properties" xmlns:vt="http://schemas.openxmlformats.org/officeDocument/2006/docPropsVTypes"/>
</file>