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0"/>
        <w:jc w:val="center"/>
      </w:pPr>
      <w:r>
        <w:rPr>
          <w:rFonts w:ascii="Arial" w:cs="Arial" w:eastAsia="Arial" w:hAnsi="Arial"/>
          <w:caps/>
          <w:color w:val="7F7F7F"/>
          <w:sz w:val="18"/>
          <w:szCs w:val="18"/>
        </w:rPr>
        <w:t xml:space="preserve">REZUMAT DETALIAT</w:t>
      </w:r>
    </w:p>
    <w:p>
      <w:pPr>
        <w:pBdr>
          <w:bottom w:val="single" w:color="2E75B6" w:sz="12" w:space="6"/>
        </w:pBdr>
        <w:spacing w:after="200" w:before="0"/>
        <w:jc w:val="center"/>
      </w:pPr>
      <w:r>
        <w:rPr>
          <w:rFonts w:ascii="Arial" w:cs="Arial" w:eastAsia="Arial" w:hAnsi="Arial"/>
          <w:b/>
          <w:bCs/>
          <w:color w:val="1F4E79"/>
          <w:sz w:val="40"/>
          <w:szCs w:val="40"/>
        </w:rPr>
        <w:t xml:space="preserve">Securing the Internet of Things:</w:t>
      </w:r>
    </w:p>
    <w:p>
      <w:pPr>
        <w:spacing w:after="200" w:before="100"/>
        <w:jc w:val="center"/>
      </w:pPr>
      <w:r>
        <w:rPr>
          <w:rFonts w:ascii="Arial" w:cs="Arial" w:eastAsia="Arial" w:hAnsi="Arial"/>
          <w:b/>
          <w:bCs/>
          <w:color w:val="2E75B6"/>
          <w:sz w:val="32"/>
          <w:szCs w:val="32"/>
        </w:rPr>
        <w:t xml:space="preserve">A Comprehensive Review of Ransomware Attacks,</w:t>
      </w:r>
    </w:p>
    <w:p>
      <w:pPr>
        <w:spacing w:after="360" w:before="0"/>
        <w:jc w:val="center"/>
      </w:pPr>
      <w:r>
        <w:rPr>
          <w:rFonts w:ascii="Arial" w:cs="Arial" w:eastAsia="Arial" w:hAnsi="Arial"/>
          <w:b/>
          <w:bCs/>
          <w:color w:val="2E75B6"/>
          <w:sz w:val="32"/>
          <w:szCs w:val="32"/>
        </w:rPr>
        <w:t xml:space="preserve">Detection, Countermeasures, and Future Prospects</w:t>
      </w:r>
    </w:p>
    <w:p>
      <w:pPr>
        <w:spacing w:after="80" w:before="0"/>
        <w:jc w:val="center"/>
      </w:pPr>
      <w:r>
        <w:rPr>
          <w:rFonts w:ascii="Arial" w:cs="Arial" w:eastAsia="Arial" w:hAnsi="Arial"/>
          <w:i/>
          <w:iCs/>
          <w:color w:val="404040"/>
          <w:sz w:val="24"/>
          <w:szCs w:val="24"/>
        </w:rPr>
        <w:t xml:space="preserve">Peizhi Yan &amp; Tala Talaei Khoei</w:t>
      </w:r>
    </w:p>
    <w:p>
      <w:pPr>
        <w:spacing w:after="80" w:before="0"/>
        <w:jc w:val="center"/>
      </w:pPr>
      <w:r>
        <w:rPr>
          <w:rFonts w:ascii="Arial" w:cs="Arial" w:eastAsia="Arial" w:hAnsi="Arial"/>
          <w:color w:val="7F7F7F"/>
          <w:sz w:val="22"/>
          <w:szCs w:val="22"/>
        </w:rPr>
        <w:t xml:space="preserve">Khoury College of Computer Sciences, Roux Institute at Northeastern University</w:t>
      </w:r>
    </w:p>
    <w:p>
      <w:pPr>
        <w:spacing w:after="80" w:before="0"/>
        <w:jc w:val="center"/>
      </w:pPr>
      <w:r>
        <w:rPr>
          <w:rFonts w:ascii="Arial" w:cs="Arial" w:eastAsia="Arial" w:hAnsi="Arial"/>
          <w:color w:val="7F7F7F"/>
          <w:sz w:val="20"/>
          <w:szCs w:val="20"/>
        </w:rPr>
        <w:t xml:space="preserve">Franklin Open 11 (2025) 100256  •  DOI: 10.1016/j.fraope.2025.100256</w:t>
      </w:r>
    </w:p>
    <w:p>
      <w:pPr>
        <w:spacing w:after="0" w:before="200"/>
      </w:pPr>
    </w:p>
    <w:p>
      <w:r>
        <w:br w:type="page"/>
      </w:r>
    </w:p>
    <w:p>
      <w:pPr>
        <w:pStyle w:val="Heading1"/>
        <w:pBdr>
          <w:bottom w:val="single" w:color="2E75B6" w:sz="8" w:space="4"/>
        </w:pBdr>
        <w:spacing w:after="120" w:before="360"/>
      </w:pPr>
      <w:r>
        <w:rPr>
          <w:rFonts w:ascii="Arial" w:cs="Arial" w:eastAsia="Arial" w:hAnsi="Arial"/>
          <w:b/>
          <w:bCs/>
          <w:color w:val="1F4E79"/>
          <w:sz w:val="30"/>
          <w:szCs w:val="30"/>
        </w:rPr>
        <w:t xml:space="preserve">1. Context și Motivație</w:t>
      </w:r>
    </w:p>
    <w:p>
      <w:pPr>
        <w:spacing w:after="100" w:before="80"/>
        <w:jc w:val="both"/>
      </w:pPr>
      <w:r>
        <w:rPr>
          <w:rFonts w:ascii="Arial" w:cs="Arial" w:eastAsia="Arial" w:hAnsi="Arial"/>
          <w:sz w:val="22"/>
          <w:szCs w:val="22"/>
        </w:rPr>
        <w:t xml:space="preserve">Această lucrare, publicată în revista Franklin Open în 2025, reprezintă o analiză de referință privind ransomware-ul în contextul Internetului Lucrurilor (IoT). Autorii de la Northeastern University argumentează că, deși literatura de specialitate acoperă în mod individual anumite tipuri de atacuri sau sectoare industriale, lipsește o perspectivă holistică și unificată care să adreseze diversitatea ecosistemelor IoT și amenințările emergente.</w:t>
      </w:r>
    </w:p>
    <w:p>
      <w:pPr>
        <w:spacing w:after="100" w:before="80"/>
        <w:jc w:val="both"/>
      </w:pPr>
      <w:r>
        <w:rPr>
          <w:rFonts w:ascii="Arial" w:cs="Arial" w:eastAsia="Arial" w:hAnsi="Arial"/>
          <w:sz w:val="22"/>
          <w:szCs w:val="22"/>
        </w:rPr>
        <w:t xml:space="preserve">Relevanța temei este susținută de date statistice alarmante. În 2023, Europa a înregistrat 55 de operațiuni ransomware afectând 906 victime, din care operațiunea LockBit a reprezentat 25% din cazuri. În același an, Statele Unite au raportat 4.611 incidente ransomware -  o creștere de 73% față de 2022 -  cu un impact major asupra sectorului sănătății, unde 141 de spitale au fost afectate direct. La nivel industrial, în 2022 au fost numărate cel puțin 437 de atacuri ransomware, marcând o creștere de 107% față de anul anterior.</w:t>
      </w:r>
    </w:p>
    <w:p>
      <w:pPr>
        <w:spacing w:after="0" w:before="160"/>
      </w:pPr>
    </w:p>
    <w:p>
      <w:pPr>
        <w:pStyle w:val="Heading1"/>
        <w:pBdr>
          <w:bottom w:val="single" w:color="2E75B6" w:sz="8" w:space="4"/>
        </w:pBdr>
        <w:spacing w:after="120" w:before="360"/>
      </w:pPr>
      <w:r>
        <w:rPr>
          <w:rFonts w:ascii="Arial" w:cs="Arial" w:eastAsia="Arial" w:hAnsi="Arial"/>
          <w:b/>
          <w:bCs/>
          <w:color w:val="1F4E79"/>
          <w:sz w:val="30"/>
          <w:szCs w:val="30"/>
        </w:rPr>
        <w:t xml:space="preserve">2. Obiectivele Lucrării</w:t>
      </w:r>
    </w:p>
    <w:p>
      <w:pPr>
        <w:spacing w:after="100" w:before="80"/>
        <w:jc w:val="both"/>
      </w:pPr>
      <w:r>
        <w:rPr>
          <w:rFonts w:ascii="Arial" w:cs="Arial" w:eastAsia="Arial" w:hAnsi="Arial"/>
          <w:sz w:val="22"/>
          <w:szCs w:val="22"/>
        </w:rPr>
        <w:t xml:space="preserve">Lucrarea urmărește patru obiective principale, fiecare cu o contribuție distinctă la literatura de specialitate:</w:t>
      </w:r>
    </w:p>
    <w:p>
      <w:pPr>
        <w:pStyle w:val="ListParagraph"/>
        <w:numPr>
          <w:ilvl w:val="0"/>
          <w:numId w:val="2"/>
        </w:numPr>
        <w:spacing w:after="40" w:before="40"/>
      </w:pPr>
      <w:r>
        <w:rPr>
          <w:rFonts w:ascii="Arial" w:cs="Arial" w:eastAsia="Arial" w:hAnsi="Arial"/>
          <w:sz w:val="22"/>
          <w:szCs w:val="22"/>
        </w:rPr>
        <w:t xml:space="preserve">Furnizarea unei priviri de ansamblu comprehensive asupra evoluției atacurilor ransomware pe dispozitive IoT, de la formele primitive din 1989 până la atacurile sofisticate din prezent.</w:t>
      </w:r>
    </w:p>
    <w:p>
      <w:pPr>
        <w:pStyle w:val="ListParagraph"/>
        <w:numPr>
          <w:ilvl w:val="0"/>
          <w:numId w:val="2"/>
        </w:numPr>
        <w:spacing w:after="40" w:before="40"/>
      </w:pPr>
      <w:r>
        <w:rPr>
          <w:rFonts w:ascii="Arial" w:cs="Arial" w:eastAsia="Arial" w:hAnsi="Arial"/>
          <w:sz w:val="22"/>
          <w:szCs w:val="22"/>
        </w:rPr>
        <w:t xml:space="preserve">Clasificarea sistematică a tipurilor de ransomware vizând ecosistemele IoT, organizate după mecanismul de acțiune: crypto-based, locker-based și hybrid-based.</w:t>
      </w:r>
    </w:p>
    <w:p>
      <w:pPr>
        <w:pStyle w:val="ListParagraph"/>
        <w:numPr>
          <w:ilvl w:val="0"/>
          <w:numId w:val="2"/>
        </w:numPr>
        <w:spacing w:after="40" w:before="40"/>
      </w:pPr>
      <w:r>
        <w:rPr>
          <w:rFonts w:ascii="Arial" w:cs="Arial" w:eastAsia="Arial" w:hAnsi="Arial"/>
          <w:sz w:val="22"/>
          <w:szCs w:val="22"/>
        </w:rPr>
        <w:t xml:space="preserve">Prezentarea și compararea tehnicilor de detecție și contracarare, de la metodele bazate pe semnătură până la soluțiile avansate bazate pe Inteligență Artificială.</w:t>
      </w:r>
    </w:p>
    <w:p>
      <w:pPr>
        <w:pStyle w:val="ListParagraph"/>
        <w:numPr>
          <w:ilvl w:val="0"/>
          <w:numId w:val="2"/>
        </w:numPr>
        <w:spacing w:after="40" w:before="40"/>
      </w:pPr>
      <w:r>
        <w:rPr>
          <w:rFonts w:ascii="Arial" w:cs="Arial" w:eastAsia="Arial" w:hAnsi="Arial"/>
          <w:sz w:val="22"/>
          <w:szCs w:val="22"/>
        </w:rPr>
        <w:t xml:space="preserve">Identificarea provocărilor actuale și a direcțiilor viitoare de cercetare, cu accent pe colaborarea inter-sectorială și pe tehnologii emergente precum blockchain.</w:t>
      </w:r>
    </w:p>
    <w:p>
      <w:pPr>
        <w:spacing w:after="0" w:before="160"/>
      </w:pPr>
    </w:p>
    <w:p>
      <w:pPr>
        <w:pStyle w:val="Heading1"/>
        <w:pBdr>
          <w:bottom w:val="single" w:color="2E75B6" w:sz="8" w:space="4"/>
        </w:pBdr>
        <w:spacing w:after="120" w:before="360"/>
      </w:pPr>
      <w:r>
        <w:rPr>
          <w:rFonts w:ascii="Arial" w:cs="Arial" w:eastAsia="Arial" w:hAnsi="Arial"/>
          <w:b/>
          <w:bCs/>
          <w:color w:val="1F4E79"/>
          <w:sz w:val="30"/>
          <w:szCs w:val="30"/>
        </w:rPr>
        <w:t xml:space="preserve">3. Evoluția Istorică a Ransomware-ului</w:t>
      </w:r>
    </w:p>
    <w:p>
      <w:pPr>
        <w:spacing w:after="100" w:before="80"/>
        <w:jc w:val="both"/>
      </w:pPr>
      <w:r>
        <w:rPr>
          <w:rFonts w:ascii="Arial" w:cs="Arial" w:eastAsia="Arial" w:hAnsi="Arial"/>
          <w:sz w:val="22"/>
          <w:szCs w:val="22"/>
        </w:rPr>
        <w:t xml:space="preserve">Autorii trasează o cronologie detaliată a evoluției ransomware-ului pe parcursul a peste trei decenii, ilustrând cum atacatorii au exploatat progresiv vulnerabilitățile tehnologice și organizaționale.</w:t>
      </w:r>
    </w:p>
    <w:p>
      <w:pPr>
        <w:pStyle w:val="Heading2"/>
        <w:spacing w:after="80" w:before="240"/>
      </w:pPr>
      <w:r>
        <w:rPr>
          <w:rFonts w:ascii="Arial" w:cs="Arial" w:eastAsia="Arial" w:hAnsi="Arial"/>
          <w:b/>
          <w:bCs/>
          <w:color w:val="2E75B6"/>
          <w:sz w:val="26"/>
          <w:szCs w:val="26"/>
        </w:rPr>
        <w:t xml:space="preserve">3.1 Perioada Pionierilor (1989–2012)</w:t>
      </w:r>
    </w:p>
    <w:p>
      <w:pPr>
        <w:spacing w:after="100" w:before="80"/>
        <w:jc w:val="both"/>
      </w:pPr>
      <w:r>
        <w:rPr>
          <w:rFonts w:ascii="Arial" w:cs="Arial" w:eastAsia="Arial" w:hAnsi="Arial"/>
          <w:sz w:val="22"/>
          <w:szCs w:val="22"/>
        </w:rPr>
        <w:t xml:space="preserve">Primul ransomware documentat este AIDS Trojan (1989), creat de Joseph Popp, care se propaga prin dischete floppy și solicita o plată de 189 USD trimisă prin poștă la o adresă din Panama. Deși primitiv, a stabilit conceptul de extorcare digitală. În 2004, Gpcode a introdus criptarea RSA cu cheie unică per victimă, crescând semnificativ dificultatea recuperării fără plata răscumpărării. Un alt jalon important este CryptoLocker (2013), care a marcat tranziția la plăți în Bitcoin, asigurând anonimatul atacatorilor și impactând peste 250.000 de sisteme la nivel global.</w:t>
      </w:r>
    </w:p>
    <w:p>
      <w:pPr>
        <w:pStyle w:val="Heading2"/>
        <w:spacing w:after="80" w:before="240"/>
      </w:pPr>
      <w:r>
        <w:rPr>
          <w:rFonts w:ascii="Arial" w:cs="Arial" w:eastAsia="Arial" w:hAnsi="Arial"/>
          <w:b/>
          <w:bCs/>
          <w:color w:val="2E75B6"/>
          <w:sz w:val="26"/>
          <w:szCs w:val="26"/>
        </w:rPr>
        <w:t xml:space="preserve">3.2 Atacurile de Masă (2017)</w:t>
      </w:r>
    </w:p>
    <w:p>
      <w:pPr>
        <w:spacing w:after="100" w:before="80"/>
        <w:jc w:val="both"/>
      </w:pPr>
      <w:r>
        <w:rPr>
          <w:rFonts w:ascii="Arial" w:cs="Arial" w:eastAsia="Arial" w:hAnsi="Arial"/>
          <w:sz w:val="22"/>
          <w:szCs w:val="22"/>
        </w:rPr>
        <w:t xml:space="preserve">Anul 2017 a reprezentat un punct de inflexiune critic. WannaCry a exploatat vulnerabilitatea EternalBlue din Windows -  un exploit dezvoltat de NSA -  propagându-se cu o viteză fără precedent la nivel global. Serviciul Național de Sănătate din Marea Britanie a fost paralizat, demonstrând impactul ransomware-ului asupra infrastructurii critice. NotPetya, deși se prezenta ca ransomware, urmărea în realitate distrugerea datelor, cauzând pierderi de miliarde de dolari corporațiilor multinaționale, în special în Ucraina.</w:t>
      </w:r>
    </w:p>
    <w:p>
      <w:pPr>
        <w:pStyle w:val="Heading2"/>
        <w:spacing w:after="80" w:before="240"/>
      </w:pPr>
      <w:r>
        <w:rPr>
          <w:rFonts w:ascii="Arial" w:cs="Arial" w:eastAsia="Arial" w:hAnsi="Arial"/>
          <w:b/>
          <w:bCs/>
          <w:color w:val="2E75B6"/>
          <w:sz w:val="26"/>
          <w:szCs w:val="26"/>
        </w:rPr>
        <w:t xml:space="preserve">3.3 Era Sofisticării și Specializării (2018–prezent)</w:t>
      </w:r>
    </w:p>
    <w:p>
      <w:pPr>
        <w:spacing w:after="100" w:before="80"/>
        <w:jc w:val="both"/>
      </w:pPr>
      <w:r>
        <w:rPr>
          <w:rFonts w:ascii="Arial" w:cs="Arial" w:eastAsia="Arial" w:hAnsi="Arial"/>
          <w:sz w:val="22"/>
          <w:szCs w:val="22"/>
        </w:rPr>
        <w:t xml:space="preserve">Din 2018, atacurile au devenit tot mai țintite și sofisticate. Ryuk a vizat sectoare de înaltă valoare -  sănătate și guvern -  dezactivând sistematic backup-urile pentru a face imposibilă recuperarea fără plată. Grupările Maze, Sodinokibi/REvil și DoppelPaymer au introdus tactica "double extortion": criptarea datelor combinată cu furtul și amenințarea cu publicarea lor. DarkSide (2021) a atacat Colonial Pipeline, perturbând aprovizionarea cu combustibil a Statelor Unite. Cel mai recent, atacul 3CX Supply Chain (2023) a exploatat lanțurile de aprovizionare software pentru a maximiza impactul.</w:t>
      </w:r>
    </w:p>
    <w:p>
      <w:pPr>
        <w:spacing w:after="0" w:before="160"/>
      </w:pPr>
    </w:p>
    <w:p>
      <w:pPr>
        <w:pStyle w:val="Heading1"/>
        <w:pBdr>
          <w:bottom w:val="single" w:color="2E75B6" w:sz="8" w:space="4"/>
        </w:pBdr>
        <w:spacing w:after="120" w:before="360"/>
      </w:pPr>
      <w:r>
        <w:rPr>
          <w:rFonts w:ascii="Arial" w:cs="Arial" w:eastAsia="Arial" w:hAnsi="Arial"/>
          <w:b/>
          <w:bCs/>
          <w:color w:val="1F4E79"/>
          <w:sz w:val="30"/>
          <w:szCs w:val="30"/>
        </w:rPr>
        <w:t xml:space="preserve">4. Clasificarea Atacurilor Ransomware pe IoT</w:t>
      </w:r>
    </w:p>
    <w:p>
      <w:pPr>
        <w:spacing w:after="100" w:before="80"/>
        <w:jc w:val="both"/>
      </w:pPr>
      <w:r>
        <w:rPr>
          <w:rFonts w:ascii="Arial" w:cs="Arial" w:eastAsia="Arial" w:hAnsi="Arial"/>
          <w:sz w:val="22"/>
          <w:szCs w:val="22"/>
        </w:rPr>
        <w:t xml:space="preserve">Dispozitivele IoT prezintă vulnerabilități unice față de sistemele IT tradiționale: putere de procesare limitată, sisteme de operare specializate sau depășite, conectivitate permanentă și absența mecanismelor robuste de securitate. Un singur dispozitiv compromis poate servi drept punct de intrare pentru întreaga rețea. Autorii clasifică atacurile în trei categorii principale:</w:t>
      </w:r>
    </w:p>
    <w:p>
      <w:pPr>
        <w:pStyle w:val="Heading2"/>
        <w:spacing w:after="80" w:before="240"/>
      </w:pPr>
      <w:r>
        <w:rPr>
          <w:rFonts w:ascii="Arial" w:cs="Arial" w:eastAsia="Arial" w:hAnsi="Arial"/>
          <w:b/>
          <w:bCs/>
          <w:color w:val="2E75B6"/>
          <w:sz w:val="26"/>
          <w:szCs w:val="26"/>
        </w:rPr>
        <w:t xml:space="preserve">4.1 Crypto-based Ransomware</w:t>
      </w:r>
    </w:p>
    <w:p>
      <w:pPr>
        <w:spacing w:after="100" w:before="80"/>
        <w:jc w:val="both"/>
      </w:pPr>
      <w:r>
        <w:rPr>
          <w:rFonts w:ascii="Arial" w:cs="Arial" w:eastAsia="Arial" w:hAnsi="Arial"/>
          <w:sz w:val="22"/>
          <w:szCs w:val="22"/>
        </w:rPr>
        <w:t xml:space="preserve">Acest tip criptează fișiere vitale -  date de configurare, jurnale de sistem, informații personale -  folosind algoritmi avansați (AES, RSA), randând dispozitivul inutilizabil fără cheia de decriptare. Nota de răscumpărare solicită plata în criptomonede pentru a păstra anonimatul atacatorului. Exemple concrete din IoT includ: Hajime (2017) -  a criptat date pe routere și camere de securitate la scară globală; BrickerBot (2017) -  a corupt permanent stocarea unor routere domestice, necesitând înlocuirea fizică a dispozitivelor; Echobot (2019) -  a vizat sisteme industriale, forțând opriri temporare de producție; IoTReaper (2020) -  a blocat accesul proprietarilor la sisteme de automatizare a locuinței.</w:t>
      </w:r>
    </w:p>
    <w:p>
      <w:pPr>
        <w:pStyle w:val="Heading2"/>
        <w:spacing w:after="80" w:before="240"/>
      </w:pPr>
      <w:r>
        <w:rPr>
          <w:rFonts w:ascii="Arial" w:cs="Arial" w:eastAsia="Arial" w:hAnsi="Arial"/>
          <w:b/>
          <w:bCs/>
          <w:color w:val="2E75B6"/>
          <w:sz w:val="26"/>
          <w:szCs w:val="26"/>
        </w:rPr>
        <w:t xml:space="preserve">4.2 Locker-based Ransomware</w:t>
      </w:r>
    </w:p>
    <w:p>
      <w:pPr>
        <w:spacing w:after="100" w:before="80"/>
        <w:jc w:val="both"/>
      </w:pPr>
      <w:r>
        <w:rPr>
          <w:rFonts w:ascii="Arial" w:cs="Arial" w:eastAsia="Arial" w:hAnsi="Arial"/>
          <w:sz w:val="22"/>
          <w:szCs w:val="22"/>
        </w:rPr>
        <w:t xml:space="preserve">Spre deosebire de varianta crypto, locker ransomware nu criptează fișierele, ci blochează accesul la interfața sistemului sau la componentele critice de control. Nota de răscumpărare este afișată direct pe ecranul dispozitivului. Cazuri notabile: în 2016, televizoarele smart LG au fost blocate cu mesaje false de la agenții federale; Reveton IoT (2017) a scos din funcțiune chioșcuri publice de informații; LockerGoga (2019) a paralizat operațiunile Norsk Hydro, unul dintre cei mai mari producători de aluminiu din lume, obligând plantele să funcționeze manual.</w:t>
      </w:r>
    </w:p>
    <w:p>
      <w:pPr>
        <w:pStyle w:val="Heading2"/>
        <w:spacing w:after="80" w:before="240"/>
      </w:pPr>
      <w:r>
        <w:rPr>
          <w:rFonts w:ascii="Arial" w:cs="Arial" w:eastAsia="Arial" w:hAnsi="Arial"/>
          <w:b/>
          <w:bCs/>
          <w:color w:val="2E75B6"/>
          <w:sz w:val="26"/>
          <w:szCs w:val="26"/>
        </w:rPr>
        <w:t xml:space="preserve">4.3 Hybrid-based Ransomware</w:t>
      </w:r>
    </w:p>
    <w:p>
      <w:pPr>
        <w:spacing w:after="100" w:before="80"/>
        <w:jc w:val="both"/>
      </w:pPr>
      <w:r>
        <w:rPr>
          <w:rFonts w:ascii="Arial" w:cs="Arial" w:eastAsia="Arial" w:hAnsi="Arial"/>
          <w:sz w:val="22"/>
          <w:szCs w:val="22"/>
        </w:rPr>
        <w:t xml:space="preserve">Varianta hibridă combină ambele tactici simultan: criptează fișierele critice ȘI blochează accesul la sistem, dublând provocările de recuperare. Solicită în general răscumpărări mai mari datorită impactului compus. Petya/NotPetya (2017) a criptat Master Boot Record-ul sistemelor afectate, escaladând rapid la un dezastru global cu daune de miliarde de dolari în sectoare precum sănătate, finanțe și logistică. Bad Rabbit (2017), deghizat ca actualizare Adobe Flash, s-a răspândit rapid în Europa de Est prin tehnici de inginerie socială. GoldenEye (2016) a criptat atât fișierele angajaților, cât și MBR-ul sistemelor unei corporații multinaționale.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Tabel comparativ: Tipuri de atacuri ransomware IoT</w:t>
            </w:r>
          </w:p>
        </w:tc>
      </w:tr>
      <w:tr>
        <w:tc>
          <w:tcPr>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400"/>
              <w:gridCol w:w="21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 apariție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Mecanism</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Avantaje pentru atacator</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Dezavantaje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Crypto-based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1989</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Criptare fișiere cu algoritmi avansați</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Recuperare aproape imposibilă fără cheie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Necesită victime care nu pot ocoli criptarea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Locker-based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Blocare acces sistem/interfață</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Acces rapid dezactivat, atac simplificat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Poate fi ocolit cu backup sau reset de fabrică</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Hybrid-based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2012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Combină criptarea cu blocarea accesului</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Dublează provocările de recuperare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Lasă mai multe urme exploatabile de experți</w:t>
                  </w:r>
                </w:p>
              </w:tc>
            </w:tr>
          </w:tbl>
          <w:p/>
        </w:tc>
      </w:tr>
    </w:tbl>
    <w:p>
      <w:pPr>
        <w:spacing w:after="0" w:before="160"/>
      </w:pPr>
    </w:p>
    <w:p>
      <w:pPr>
        <w:pStyle w:val="Heading1"/>
        <w:pBdr>
          <w:bottom w:val="single" w:color="2E75B6" w:sz="8" w:space="4"/>
        </w:pBdr>
        <w:spacing w:after="120" w:before="360"/>
      </w:pPr>
      <w:r>
        <w:rPr>
          <w:rFonts w:ascii="Arial" w:cs="Arial" w:eastAsia="Arial" w:hAnsi="Arial"/>
          <w:b/>
          <w:bCs/>
          <w:color w:val="1F4E79"/>
          <w:sz w:val="30"/>
          <w:szCs w:val="30"/>
        </w:rPr>
        <w:t xml:space="preserve">5. Tehnici de Detecție a Ransomware-ului</w:t>
      </w:r>
    </w:p>
    <w:p>
      <w:pPr>
        <w:spacing w:after="100" w:before="80"/>
        <w:jc w:val="both"/>
      </w:pPr>
      <w:r>
        <w:rPr>
          <w:rFonts w:ascii="Arial" w:cs="Arial" w:eastAsia="Arial" w:hAnsi="Arial"/>
          <w:sz w:val="22"/>
          <w:szCs w:val="22"/>
        </w:rPr>
        <w:t xml:space="preserve">Autorii identifică și analizează în detaliu unsprezece categorii de tehnici de detecție, fiecare cu caracteristici, avantaje și limitări specifice contextului IoT.</w:t>
      </w:r>
    </w:p>
    <w:p>
      <w:pPr>
        <w:pStyle w:val="Heading2"/>
        <w:spacing w:after="80" w:before="240"/>
      </w:pPr>
      <w:r>
        <w:rPr>
          <w:rFonts w:ascii="Arial" w:cs="Arial" w:eastAsia="Arial" w:hAnsi="Arial"/>
          <w:b/>
          <w:bCs/>
          <w:color w:val="2E75B6"/>
          <w:sz w:val="26"/>
          <w:szCs w:val="26"/>
        </w:rPr>
        <w:t xml:space="preserve">5.1 Detecție bazată pe Semnătură (Signature-based)</w:t>
      </w:r>
    </w:p>
    <w:p>
      <w:pPr>
        <w:spacing w:after="100" w:before="80"/>
        <w:jc w:val="both"/>
      </w:pPr>
      <w:r>
        <w:rPr>
          <w:rFonts w:ascii="Arial" w:cs="Arial" w:eastAsia="Arial" w:hAnsi="Arial"/>
          <w:sz w:val="22"/>
          <w:szCs w:val="22"/>
        </w:rPr>
        <w:t xml:space="preserve">Această metodă utilizează reprezentări digitale unice (semnături) extrase din mostre de ransomware cunoscute -  hash-uri MD5/SHA256, secvențe de instrucțiuni de asamblare sau pattern-uri de apeluri API. Detectarea se face prin comparare în timp real cu o bază de date de semnături. Este extrem de eficientă pentru amenințările cunoscute și eficientă din punct de vedere al resurselor computaționale, dar devine inutilă în fața variantelor noi sau zero-day fără actualizări regulate ale bazei de date. Locky ransomware a fost detectat cu succes prin identificarea pattern-urilor algoritmului său de criptare.</w:t>
      </w:r>
    </w:p>
    <w:p>
      <w:pPr>
        <w:pStyle w:val="Heading2"/>
        <w:spacing w:after="80" w:before="240"/>
      </w:pPr>
      <w:r>
        <w:rPr>
          <w:rFonts w:ascii="Arial" w:cs="Arial" w:eastAsia="Arial" w:hAnsi="Arial"/>
          <w:b/>
          <w:bCs/>
          <w:color w:val="2E75B6"/>
          <w:sz w:val="26"/>
          <w:szCs w:val="26"/>
        </w:rPr>
        <w:t xml:space="preserve">5.2 Detecție Euristică (Heuristic-based)</w:t>
      </w:r>
    </w:p>
    <w:p>
      <w:pPr>
        <w:spacing w:after="100" w:before="80"/>
        <w:jc w:val="both"/>
      </w:pPr>
      <w:r>
        <w:rPr>
          <w:rFonts w:ascii="Arial" w:cs="Arial" w:eastAsia="Arial" w:hAnsi="Arial"/>
          <w:sz w:val="22"/>
          <w:szCs w:val="22"/>
        </w:rPr>
        <w:t xml:space="preserve">Abordarea euristică evaluează comportamente și pattern-uri care deviază de la operarea normală, combinând analiza statică (examinarea codului pentru rutine obfuscate, apeluri API malițioase) cu analiza dinamică în medii sandbox. Sistemele euristice încorporează frecvent algoritmi de machine learning antrenați pe seturi de date care conțin atât activități benigne, cât și malițioase. Emularea mediului de execuție captează tacticile evasive ale ransomware-ului care detectează virtualizarea. Un studiu relevant a obținut o acuratețe de clasificare de 96% folosind metode euristice combinate cu machine learning.</w:t>
      </w:r>
    </w:p>
    <w:p>
      <w:pPr>
        <w:pStyle w:val="Heading2"/>
        <w:spacing w:after="80" w:before="240"/>
      </w:pPr>
      <w:r>
        <w:rPr>
          <w:rFonts w:ascii="Arial" w:cs="Arial" w:eastAsia="Arial" w:hAnsi="Arial"/>
          <w:b/>
          <w:bCs/>
          <w:color w:val="2E75B6"/>
          <w:sz w:val="26"/>
          <w:szCs w:val="26"/>
        </w:rPr>
        <w:t xml:space="preserve">5.3 Analiză Comportamentală (Behavioral Analysis-based)</w:t>
      </w:r>
    </w:p>
    <w:p>
      <w:pPr>
        <w:spacing w:after="100" w:before="80"/>
        <w:jc w:val="both"/>
      </w:pPr>
      <w:r>
        <w:rPr>
          <w:rFonts w:ascii="Arial" w:cs="Arial" w:eastAsia="Arial" w:hAnsi="Arial"/>
          <w:sz w:val="22"/>
          <w:szCs w:val="22"/>
        </w:rPr>
        <w:t xml:space="preserve">Analiza comportamentală monitorizează în timp real activitățile dispozitivelor și interacțiunile de rețea, stabilind un baseline al comportamentului normal. Deviațiile -  creșteri bruște ale accesului la fișiere, operații anormale de criptare, trafic de rețea neobișnuit -  sunt marcate și investigate. Maze ransomware a fost detectat prin analiza traficului de rețea generat de exfiltrarea datelor. Tehnici avansate includ optimizarea prin particle swarm și programare genetică pentru selecția de caracteristici, și rețele neuronale profunde pentru analiza secvențelor de apeluri API cu explicabilitate.</w:t>
      </w:r>
    </w:p>
    <w:p>
      <w:pPr>
        <w:pStyle w:val="Heading2"/>
        <w:spacing w:after="80" w:before="240"/>
      </w:pPr>
      <w:r>
        <w:rPr>
          <w:rFonts w:ascii="Arial" w:cs="Arial" w:eastAsia="Arial" w:hAnsi="Arial"/>
          <w:b/>
          <w:bCs/>
          <w:color w:val="2E75B6"/>
          <w:sz w:val="26"/>
          <w:szCs w:val="26"/>
        </w:rPr>
        <w:t xml:space="preserve">5.4 Detecție bazată pe Inteligență Artificială (AI-based)</w:t>
      </w:r>
    </w:p>
    <w:p>
      <w:pPr>
        <w:spacing w:after="100" w:before="80"/>
        <w:jc w:val="both"/>
      </w:pPr>
      <w:r>
        <w:rPr>
          <w:rFonts w:ascii="Arial" w:cs="Arial" w:eastAsia="Arial" w:hAnsi="Arial"/>
          <w:sz w:val="22"/>
          <w:szCs w:val="22"/>
        </w:rPr>
        <w:t xml:space="preserve">Tehnicile AI reprezintă frontiera actuală a detecției ransomware. Rețelele neuronale convoluționale (CNN) convertesc datele brute de ransomware în structuri similare imaginilor, identificând pattern-uri indicative ale activității malițioase. Ryuk ransomware a fost detectat cu CNN prin identificarea pattern-urilor ascunse din jurnalele de criptare. Reinforcement Learning permite agenților să simuleze scenarii atac-apărare, adaptându-se dinamic la amenințări noi. Tehnica Hoeffding trees clasifică fluxuri de date în timp real pentru a preveni activitățile ransomware. Limitarea principală o reprezintă necesitatea unor seturi mari de date etichetate și resurse computaționale semnificative.</w:t>
      </w:r>
    </w:p>
    <w:p>
      <w:pPr>
        <w:pStyle w:val="Heading2"/>
        <w:spacing w:after="80" w:before="240"/>
      </w:pPr>
      <w:r>
        <w:rPr>
          <w:rFonts w:ascii="Arial" w:cs="Arial" w:eastAsia="Arial" w:hAnsi="Arial"/>
          <w:b/>
          <w:bCs/>
          <w:color w:val="2E75B6"/>
          <w:sz w:val="26"/>
          <w:szCs w:val="26"/>
        </w:rPr>
        <w:t xml:space="preserve">5.5 Detecție prin Decepție (Deception-based)</w:t>
      </w:r>
    </w:p>
    <w:p>
      <w:pPr>
        <w:spacing w:after="100" w:before="80"/>
        <w:jc w:val="both"/>
      </w:pPr>
      <w:r>
        <w:rPr>
          <w:rFonts w:ascii="Arial" w:cs="Arial" w:eastAsia="Arial" w:hAnsi="Arial"/>
          <w:sz w:val="22"/>
          <w:szCs w:val="22"/>
        </w:rPr>
        <w:t xml:space="preserve">Metodele de decepție creează medii izolate dar realiste (honeypots) care simulează componente de rețea, fișiere și directoare legitime. Când ransomware-ul interacționează cu aceste capcane, își expune metodele de operare și declanșează alerte. Honey files specializate sunt integrate în rețea; la accesare, generează alerte cu date comportamentale detaliate. Sistemul R-locker nu doar detectează interacțiunile, ci le și analizează în timp real pentru mitigare. Decoy-urile dinamice se adaptează la tacticile evolutive ale ransomware-ului, menținând atractivitatea pentru variante noi.</w:t>
      </w:r>
    </w:p>
    <w:p>
      <w:pPr>
        <w:pStyle w:val="Heading2"/>
        <w:spacing w:after="80" w:before="240"/>
      </w:pPr>
      <w:r>
        <w:rPr>
          <w:rFonts w:ascii="Arial" w:cs="Arial" w:eastAsia="Arial" w:hAnsi="Arial"/>
          <w:b/>
          <w:bCs/>
          <w:color w:val="2E75B6"/>
          <w:sz w:val="26"/>
          <w:szCs w:val="26"/>
        </w:rPr>
        <w:t xml:space="preserve">5.6 Sandboxing</w:t>
      </w:r>
    </w:p>
    <w:p>
      <w:pPr>
        <w:spacing w:after="100" w:before="80"/>
        <w:jc w:val="both"/>
      </w:pPr>
      <w:r>
        <w:rPr>
          <w:rFonts w:ascii="Arial" w:cs="Arial" w:eastAsia="Arial" w:hAnsi="Arial"/>
          <w:sz w:val="22"/>
          <w:szCs w:val="22"/>
        </w:rPr>
        <w:t xml:space="preserve">Sandboxing-ul execută software-ul suspect într-un mediu virtual izolat care mimează condițiile reale de operare. Sistemul monitorizează modificările de fișiere, schimbările de registry și comunicările de rețea neobișnuite fără a expune sistemul principal la niciun risc. A fost folosit cu succes pentru analiza amenințărilor persistente avansate (APT) precum Flame și Red October. Integrarea cu ML și AI permite sandbox-urilor să învețe din amenințările trecute și să se adapteze la cele emergente. Dezavantajul principal constă în overhead-ul de procesare și potențiala încetinire a sistemului.</w:t>
      </w:r>
    </w:p>
    <w:p>
      <w:pPr>
        <w:pStyle w:val="Heading2"/>
        <w:spacing w:after="80" w:before="240"/>
      </w:pPr>
      <w:r>
        <w:rPr>
          <w:rFonts w:ascii="Arial" w:cs="Arial" w:eastAsia="Arial" w:hAnsi="Arial"/>
          <w:b/>
          <w:bCs/>
          <w:color w:val="2E75B6"/>
          <w:sz w:val="26"/>
          <w:szCs w:val="26"/>
        </w:rPr>
        <w:t xml:space="preserve">5.7 Sisteme de Protecție în Timp Real</w:t>
      </w:r>
    </w:p>
    <w:p>
      <w:pPr>
        <w:spacing w:after="100" w:before="80"/>
        <w:jc w:val="both"/>
      </w:pPr>
      <w:r>
        <w:rPr>
          <w:rFonts w:ascii="Arial" w:cs="Arial" w:eastAsia="Arial" w:hAnsi="Arial"/>
          <w:sz w:val="22"/>
          <w:szCs w:val="22"/>
        </w:rPr>
        <w:t xml:space="preserve">Aceste sisteme monitorizează continuu activitățile și răspund la amenințări pe măsură ce apar, operând proactiv prin fluxuri de date în timp real și algoritmi sofisticați. Monitorizează indicatori cheie: solicitări rapide de criptare, modificări de fișiere neobișnuite, comunicări de rețea neautorizate. Sistemul ARDS folosește algoritmi de detecție a anomaliilor cu mecanism de carantinare preventivă. Rwguard monitorizează apelurile de sistem și pattern-urile de acces la fișiere pentru a intercepta ransomware-ul în stadiile incipiente.</w:t>
      </w:r>
    </w:p>
    <w:p>
      <w:pPr>
        <w:pStyle w:val="Heading2"/>
        <w:spacing w:after="80" w:before="240"/>
      </w:pPr>
      <w:r>
        <w:rPr>
          <w:rFonts w:ascii="Arial" w:cs="Arial" w:eastAsia="Arial" w:hAnsi="Arial"/>
          <w:b/>
          <w:bCs/>
          <w:color w:val="2E75B6"/>
          <w:sz w:val="26"/>
          <w:szCs w:val="26"/>
        </w:rPr>
        <w:t xml:space="preserve">5.8 Monitorizarea Integrității Fișierelor (FIM)</w:t>
      </w:r>
    </w:p>
    <w:p>
      <w:pPr>
        <w:spacing w:after="100" w:before="80"/>
        <w:jc w:val="both"/>
      </w:pPr>
      <w:r>
        <w:rPr>
          <w:rFonts w:ascii="Arial" w:cs="Arial" w:eastAsia="Arial" w:hAnsi="Arial"/>
          <w:sz w:val="22"/>
          <w:szCs w:val="22"/>
        </w:rPr>
        <w:t xml:space="preserve">FIM menține un baseline securizat al integrității fișierelor critice prin checksum-uri criptografice (MD5, SHA-1, SHA-256), liste de control al accesului și metadate. Orice modificare a unui fișier monitorizat generează o alertă. Modelele BiLSTM combinate cu Conditional Random Fields analizează secvențe de acces la fișiere pentru identificarea comportamentelor de ransomware care se desfășoară în timp, cum ar fi criptarea graduală sau ștergerea datelor de backup.</w:t>
      </w:r>
    </w:p>
    <w:p>
      <w:pPr>
        <w:pStyle w:val="Heading2"/>
        <w:spacing w:after="80" w:before="240"/>
      </w:pPr>
      <w:r>
        <w:rPr>
          <w:rFonts w:ascii="Arial" w:cs="Arial" w:eastAsia="Arial" w:hAnsi="Arial"/>
          <w:b/>
          <w:bCs/>
          <w:color w:val="2E75B6"/>
          <w:sz w:val="26"/>
          <w:szCs w:val="26"/>
        </w:rPr>
        <w:t xml:space="preserve">5.9 Detecție bazată pe Cloud</w:t>
      </w:r>
    </w:p>
    <w:p>
      <w:pPr>
        <w:spacing w:after="100" w:before="80"/>
        <w:jc w:val="both"/>
      </w:pPr>
      <w:r>
        <w:rPr>
          <w:rFonts w:ascii="Arial" w:cs="Arial" w:eastAsia="Arial" w:hAnsi="Arial"/>
          <w:sz w:val="22"/>
          <w:szCs w:val="22"/>
        </w:rPr>
        <w:t xml:space="preserve">Sistemele cloud centralizează analiza datelor colectate de la dispozitive diverse, permițând detecție cuprinzătoare și răspuns rapid. RANSOMNET+ integrează CNN și transformere pentru analiza datelor cloud criptate, combinând extracția de caracteristici locale cu înțelegerea contextuală globală. Analiza caracteristicilor memoriei volatile detectează ransomware-ul examinând stări temporare de memorie care dezvăluie activitățile de criptare. CloudRPS combină analiza datelor în timp real cu soluții automatizate de backup.</w:t>
      </w:r>
    </w:p>
    <w:p>
      <w:pPr>
        <w:pStyle w:val="Heading2"/>
        <w:spacing w:after="80" w:before="240"/>
      </w:pPr>
      <w:r>
        <w:rPr>
          <w:rFonts w:ascii="Arial" w:cs="Arial" w:eastAsia="Arial" w:hAnsi="Arial"/>
          <w:b/>
          <w:bCs/>
          <w:color w:val="2E75B6"/>
          <w:sz w:val="26"/>
          <w:szCs w:val="26"/>
        </w:rPr>
        <w:t xml:space="preserve">5.10 Detecție bazată pe Blockchain</w:t>
      </w:r>
    </w:p>
    <w:p>
      <w:pPr>
        <w:spacing w:after="100" w:before="80"/>
        <w:jc w:val="both"/>
      </w:pPr>
      <w:r>
        <w:rPr>
          <w:rFonts w:ascii="Arial" w:cs="Arial" w:eastAsia="Arial" w:hAnsi="Arial"/>
          <w:sz w:val="22"/>
          <w:szCs w:val="22"/>
        </w:rPr>
        <w:t xml:space="preserve">Metodele blockchain utilizează imutabilitatea, descentralizarea și transparența tehnologiei pentru a asigura integritatea datelor și a oferi un audit trail verificabil și rezistent la manipulare. Hash-urile fișierelor stocate pe blockchain nu pot fi alterate; orice tentativă de modificare neautorizată devine evident detectabilă. Distribuția pe noduri multiple elimină punctele unice de eșec -  dacă ransomware-ul compromite un nod, celelalte mențin copii intacte. Cerber ransomware a fost detectat eficient prin comparații imutabile de hash-uri.</w:t>
      </w:r>
    </w:p>
    <w:p>
      <w:pPr>
        <w:spacing w:after="0" w:before="160"/>
      </w:pPr>
    </w:p>
    <w:p>
      <w:pPr>
        <w:pStyle w:val="Heading1"/>
        <w:pBdr>
          <w:bottom w:val="single" w:color="2E75B6" w:sz="8" w:space="4"/>
        </w:pBdr>
        <w:spacing w:after="120" w:before="360"/>
      </w:pPr>
      <w:r>
        <w:rPr>
          <w:rFonts w:ascii="Arial" w:cs="Arial" w:eastAsia="Arial" w:hAnsi="Arial"/>
          <w:b/>
          <w:bCs/>
          <w:color w:val="1F4E79"/>
          <w:sz w:val="30"/>
          <w:szCs w:val="30"/>
        </w:rPr>
        <w:t xml:space="preserve">6. Comparație Sistematică a Tehnicilor de Detecție</w:t>
      </w:r>
    </w:p>
    <w:p>
      <w:pPr>
        <w:spacing w:after="100" w:before="80"/>
        <w:jc w:val="both"/>
      </w:pPr>
      <w:r>
        <w:rPr>
          <w:rFonts w:ascii="Arial" w:cs="Arial" w:eastAsia="Arial" w:hAnsi="Arial"/>
          <w:sz w:val="22"/>
          <w:szCs w:val="22"/>
        </w:rPr>
        <w:t xml:space="preserve">Autorii evaluează fiecare metodă pe cinci dimensiuni esențiale: Acuratețe, Viteză, Scalabilitate, Robustețe și Utilizabilitate.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200"/>
        <w:gridCol w:w="1300"/>
        <w:gridCol w:w="1300"/>
        <w:gridCol w:w="14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Tehnică</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Acuratețe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Viteză</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Scalabilitate</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Robustețe</w:t>
            </w:r>
          </w:p>
        </w:tc>
        <w:tc>
          <w:tcPr>
            <w:tcW w:type="dxa" w:w="1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Utilizabilitate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Signature-based</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Medie</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Heuristic-based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Ridicată</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Behavioral Analysis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AI-based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Ridicată</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Ridicată</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Ridicată</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Ridicată</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Deception-based</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Sandboxing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Ridicată</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Ridicată</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Ridicată</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Real-Time Protection</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 Integrity Monitoring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Ridicată</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Ridicată</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Cloud-based</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Ridicată</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Blockchain-based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Ridicată</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Ridicată</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Ridicată</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Medie</w:t>
            </w:r>
          </w:p>
        </w:tc>
      </w:tr>
    </w:tbl>
    <w:p>
      <w:pPr>
        <w:spacing w:after="0" w:before="160"/>
      </w:pPr>
    </w:p>
    <w:p>
      <w:pPr>
        <w:pStyle w:val="Heading1"/>
        <w:pBdr>
          <w:bottom w:val="single" w:color="2E75B6" w:sz="8" w:space="4"/>
        </w:pBdr>
        <w:spacing w:after="120" w:before="360"/>
      </w:pPr>
      <w:r>
        <w:rPr>
          <w:rFonts w:ascii="Arial" w:cs="Arial" w:eastAsia="Arial" w:hAnsi="Arial"/>
          <w:b/>
          <w:bCs/>
          <w:color w:val="1F4E79"/>
          <w:sz w:val="30"/>
          <w:szCs w:val="30"/>
        </w:rPr>
        <w:t xml:space="preserve">7. Contramasuri împotriva Ransomware-ului</w:t>
      </w:r>
    </w:p>
    <w:p>
      <w:pPr>
        <w:spacing w:after="100" w:before="80"/>
        <w:jc w:val="both"/>
      </w:pPr>
      <w:r>
        <w:rPr>
          <w:rFonts w:ascii="Arial" w:cs="Arial" w:eastAsia="Arial" w:hAnsi="Arial"/>
          <w:sz w:val="22"/>
          <w:szCs w:val="22"/>
        </w:rPr>
        <w:t xml:space="preserve">Contramăsurile sunt organizate în trei categorii ierarhice: prevenție (înainte de atac), protecție (în timpul sau după atac) și hibrid (combinând ambele abordări).</w:t>
      </w:r>
    </w:p>
    <w:p>
      <w:pPr>
        <w:pStyle w:val="Heading2"/>
        <w:spacing w:after="80" w:before="240"/>
      </w:pPr>
      <w:r>
        <w:rPr>
          <w:rFonts w:ascii="Arial" w:cs="Arial" w:eastAsia="Arial" w:hAnsi="Arial"/>
          <w:b/>
          <w:bCs/>
          <w:color w:val="2E75B6"/>
          <w:sz w:val="26"/>
          <w:szCs w:val="26"/>
        </w:rPr>
        <w:t xml:space="preserve">7.1 Contramasuri de Prevenție</w:t>
      </w:r>
    </w:p>
    <w:p>
      <w:pPr>
        <w:pStyle w:val="Heading3"/>
        <w:spacing w:after="60" w:before="160"/>
      </w:pPr>
      <w:r>
        <w:rPr>
          <w:rFonts w:ascii="Arial" w:cs="Arial" w:eastAsia="Arial" w:hAnsi="Arial"/>
          <w:b/>
          <w:bCs/>
          <w:color w:val="404040"/>
          <w:sz w:val="22"/>
          <w:szCs w:val="22"/>
        </w:rPr>
        <w:t xml:space="preserve">7.1.1 Protocoale și Standarde Fiabile</w:t>
      </w:r>
    </w:p>
    <w:p>
      <w:pPr>
        <w:spacing w:after="100" w:before="80"/>
        <w:jc w:val="both"/>
      </w:pPr>
      <w:r>
        <w:rPr>
          <w:rFonts w:ascii="Arial" w:cs="Arial" w:eastAsia="Arial" w:hAnsi="Arial"/>
          <w:sz w:val="22"/>
          <w:szCs w:val="22"/>
        </w:rPr>
        <w:t xml:space="preserve">Protocoale precum SSL, TLS și IPSec protejează datele în tranzit prin criptare robustă. Verificările periodice de conformitate, actualizările protocoalelor și formarea angajaților asigură relevanța și eficacitatea măsurilor de securitate. Organizațiile trebuie să evalueze continuu cum vectorii de amenințare noi pot exploata configurații greșite sau versiuni depășite.</w:t>
      </w:r>
    </w:p>
    <w:p>
      <w:pPr>
        <w:pStyle w:val="Heading3"/>
        <w:spacing w:after="60" w:before="160"/>
      </w:pPr>
      <w:r>
        <w:rPr>
          <w:rFonts w:ascii="Arial" w:cs="Arial" w:eastAsia="Arial" w:hAnsi="Arial"/>
          <w:b/>
          <w:bCs/>
          <w:color w:val="404040"/>
          <w:sz w:val="22"/>
          <w:szCs w:val="22"/>
        </w:rPr>
        <w:t xml:space="preserve">7.1.2 Educație și Formare</w:t>
      </w:r>
    </w:p>
    <w:p>
      <w:pPr>
        <w:spacing w:after="100" w:before="80"/>
        <w:jc w:val="both"/>
      </w:pPr>
      <w:r>
        <w:rPr>
          <w:rFonts w:ascii="Arial" w:cs="Arial" w:eastAsia="Arial" w:hAnsi="Arial"/>
          <w:sz w:val="22"/>
          <w:szCs w:val="22"/>
        </w:rPr>
        <w:t xml:space="preserve">Construirea unei culturi de conștientizare a securității cibernetice reduce semnificativ riscul erorii umane. Programele de formare periodică actualizează personalul cu privire la tehnicile de phishing și inginerie socială utilizate în atacurile ransomware. Campanii simulate de phishing și exerciții practice produc schimbări comportamentale mai durabile decât instrucțiunile bazate pe conformitate. Provocările includ angajamentul redus al angajaților, bugetul limitat și suportul managerial insuficient.</w:t>
      </w:r>
    </w:p>
    <w:p>
      <w:pPr>
        <w:pStyle w:val="Heading3"/>
        <w:spacing w:after="60" w:before="160"/>
      </w:pPr>
      <w:r>
        <w:rPr>
          <w:rFonts w:ascii="Arial" w:cs="Arial" w:eastAsia="Arial" w:hAnsi="Arial"/>
          <w:b/>
          <w:bCs/>
          <w:color w:val="404040"/>
          <w:sz w:val="22"/>
          <w:szCs w:val="22"/>
        </w:rPr>
        <w:t xml:space="preserve">7.1.3 Politici de Securitate</w:t>
      </w:r>
    </w:p>
    <w:p>
      <w:pPr>
        <w:spacing w:after="100" w:before="80"/>
        <w:jc w:val="both"/>
      </w:pPr>
      <w:r>
        <w:rPr>
          <w:rFonts w:ascii="Arial" w:cs="Arial" w:eastAsia="Arial" w:hAnsi="Arial"/>
          <w:sz w:val="22"/>
          <w:szCs w:val="22"/>
        </w:rPr>
        <w:t xml:space="preserve">O politică bine definită oferă un cadru formal pentru protejarea activelor IT, acoperind regulile de criptare, ghidurile pentru gestionarea emailurilor suspecte și procedurile de raportare a incidentelor. Politicile necesită actualizări continue pentru a rămâne aliniate cu vectorii de amenințare emergente și aplicare consistentă la toate nivelurile organizaționale.</w:t>
      </w:r>
    </w:p>
    <w:p>
      <w:pPr>
        <w:pStyle w:val="Heading3"/>
        <w:spacing w:after="60" w:before="160"/>
      </w:pPr>
      <w:r>
        <w:rPr>
          <w:rFonts w:ascii="Arial" w:cs="Arial" w:eastAsia="Arial" w:hAnsi="Arial"/>
          <w:b/>
          <w:bCs/>
          <w:color w:val="404040"/>
          <w:sz w:val="22"/>
          <w:szCs w:val="22"/>
        </w:rPr>
        <w:t xml:space="preserve">7.1.4 Prevenție Software</w:t>
      </w:r>
    </w:p>
    <w:p>
      <w:pPr>
        <w:spacing w:after="100" w:before="80"/>
        <w:jc w:val="both"/>
      </w:pPr>
      <w:r>
        <w:rPr>
          <w:rFonts w:ascii="Arial" w:cs="Arial" w:eastAsia="Arial" w:hAnsi="Arial"/>
          <w:sz w:val="22"/>
          <w:szCs w:val="22"/>
        </w:rPr>
        <w:t xml:space="preserve">Soluțiile antivirus și anti-ransomware identifică, blochează și elimină programele malițioase. Atacatorii au dezvoltat tehnici pentru a eluda detecția tradițională -  ransomware fără fișiere (fileless) sau mecanisme avansate de persistență. Abordările de machine learning îmbunătățesc detecția, deși pot genera fals-pozitive și necesită reantrenare continuă. Prevenția software nu poate opera ca soluție de sine stătătoare; trebuie integrată cu politici mai largi de securitate.</w:t>
      </w:r>
    </w:p>
    <w:p>
      <w:pPr>
        <w:pStyle w:val="Heading3"/>
        <w:spacing w:after="60" w:before="160"/>
      </w:pPr>
      <w:r>
        <w:rPr>
          <w:rFonts w:ascii="Arial" w:cs="Arial" w:eastAsia="Arial" w:hAnsi="Arial"/>
          <w:b/>
          <w:bCs/>
          <w:color w:val="404040"/>
          <w:sz w:val="22"/>
          <w:szCs w:val="22"/>
        </w:rPr>
        <w:t xml:space="preserve">7.1.5 Criptografie și Autentificare</w:t>
      </w:r>
    </w:p>
    <w:p>
      <w:pPr>
        <w:spacing w:after="100" w:before="80"/>
        <w:jc w:val="both"/>
      </w:pPr>
      <w:r>
        <w:rPr>
          <w:rFonts w:ascii="Arial" w:cs="Arial" w:eastAsia="Arial" w:hAnsi="Arial"/>
          <w:sz w:val="22"/>
          <w:szCs w:val="22"/>
        </w:rPr>
        <w:t xml:space="preserve">AES și RSA protejează datele în repaus și în tranzit, în timp ce autentificarea multi-factor (MFA) adaugă un strat suplimentar de securitate. Metodele de criptare hibridă -  combinând AES cu Elliptic Curve Cryptography (ECC) -  îmbunătățesc securitatea și eficiența rețelelor IoT. Provocările includ gestionarea cheilor, overhead-ul computațional și necesitatea actualizării standardelor criptografice.</w:t>
      </w:r>
    </w:p>
    <w:p>
      <w:pPr>
        <w:pStyle w:val="Heading3"/>
        <w:spacing w:after="60" w:before="160"/>
      </w:pPr>
      <w:r>
        <w:rPr>
          <w:rFonts w:ascii="Arial" w:cs="Arial" w:eastAsia="Arial" w:hAnsi="Arial"/>
          <w:b/>
          <w:bCs/>
          <w:color w:val="404040"/>
          <w:sz w:val="22"/>
          <w:szCs w:val="22"/>
        </w:rPr>
        <w:t xml:space="preserve">7.1.6 Sisteme de Prevenire a Intruziunilor (IPS)</w:t>
      </w:r>
    </w:p>
    <w:p>
      <w:pPr>
        <w:spacing w:after="100" w:before="80"/>
        <w:jc w:val="both"/>
      </w:pPr>
      <w:r>
        <w:rPr>
          <w:rFonts w:ascii="Arial" w:cs="Arial" w:eastAsia="Arial" w:hAnsi="Arial"/>
          <w:sz w:val="22"/>
          <w:szCs w:val="22"/>
        </w:rPr>
        <w:t xml:space="preserve">IPS monitorizează activitățile de rețea și de sistem în timp real pentru a detecta și bloca comportamentele malițioase înainte de compromiterea infrastructurii. Abordările de deep learning adaptiv, precum LeNet-5, demonstrează acuratețe crescută în detectarea pattern-urilor de trafic anormal. IPS poate genera alarme false ce suprasolicită echipele de securitate, subliniind nevoia de straturi complementare de apărare.</w:t>
      </w:r>
    </w:p>
    <w:p>
      <w:pPr>
        <w:pStyle w:val="Heading2"/>
        <w:spacing w:after="80" w:before="240"/>
      </w:pPr>
      <w:r>
        <w:rPr>
          <w:rFonts w:ascii="Arial" w:cs="Arial" w:eastAsia="Arial" w:hAnsi="Arial"/>
          <w:b/>
          <w:bCs/>
          <w:color w:val="2E75B6"/>
          <w:sz w:val="26"/>
          <w:szCs w:val="26"/>
        </w:rPr>
        <w:t xml:space="preserve">7.2 Contramasuri de Protecție</w:t>
      </w:r>
    </w:p>
    <w:p>
      <w:pPr>
        <w:spacing w:after="100" w:before="80"/>
        <w:jc w:val="both"/>
      </w:pPr>
      <w:r>
        <w:rPr>
          <w:rFonts w:ascii="Arial" w:cs="Arial" w:eastAsia="Arial" w:hAnsi="Arial"/>
          <w:sz w:val="22"/>
          <w:szCs w:val="22"/>
        </w:rPr>
        <w:t xml:space="preserve">Când măsurile preventive eșuează, strategiile de protecție servesc ca barieră secundară. Acestea includ sisteme de detectare a intruziunilor (IDS) pentru monitorizare timpurie, backup-uri robuste ale datelor pentru restaurare rapidă și segmentarea rețelei pentru limitarea mișcării laterale. Instrumentele de protecție -  firewall-uri, programe antivirus, actualizări de securitate periodice -  trebuie integrate într-un plan de răspuns la incidente bine structurat. Tehnicile AI analizează volume mari de date pentru a identifica anomalii subtile, cu sisteme de reinforcement learning care oferă politici de securitate auto-ajustate.</w:t>
      </w:r>
    </w:p>
    <w:p>
      <w:pPr>
        <w:pStyle w:val="Heading2"/>
        <w:spacing w:after="80" w:before="240"/>
      </w:pPr>
      <w:r>
        <w:rPr>
          <w:rFonts w:ascii="Arial" w:cs="Arial" w:eastAsia="Arial" w:hAnsi="Arial"/>
          <w:b/>
          <w:bCs/>
          <w:color w:val="2E75B6"/>
          <w:sz w:val="26"/>
          <w:szCs w:val="26"/>
        </w:rPr>
        <w:t xml:space="preserve">7.3 Contramasuri Hibride</w:t>
      </w:r>
    </w:p>
    <w:p>
      <w:pPr>
        <w:spacing w:after="100" w:before="80"/>
        <w:jc w:val="both"/>
      </w:pPr>
      <w:r>
        <w:rPr>
          <w:rFonts w:ascii="Arial" w:cs="Arial" w:eastAsia="Arial" w:hAnsi="Arial"/>
          <w:sz w:val="22"/>
          <w:szCs w:val="22"/>
        </w:rPr>
        <w:t xml:space="preserve">Abordările hibride combină tehnicile preventive și protective pentru a crea o apărare multi-stratificată capabilă să anticipeze, să detecteze și să răspundă la amenințări în timp real. Includ analytics predictive, sisteme automatizate de răspuns la incidente, protecție anti-phishing, apărare împotriva amenințărilor cloud și principii zero-trust pentru restricționarea mișcării laterale. Deși mai intensive în resurse, aceste cadre comprehensive oferă o strategie viabilă contra variantelor ransomware tot mai adaptabile.</w:t>
      </w:r>
    </w:p>
    <w:p>
      <w:pPr>
        <w:spacing w:after="0" w:before="160"/>
      </w:pPr>
    </w:p>
    <w:p>
      <w:pPr>
        <w:pStyle w:val="Heading1"/>
        <w:pBdr>
          <w:bottom w:val="single" w:color="2E75B6" w:sz="8" w:space="4"/>
        </w:pBdr>
        <w:spacing w:after="120" w:before="360"/>
      </w:pPr>
      <w:r>
        <w:rPr>
          <w:rFonts w:ascii="Arial" w:cs="Arial" w:eastAsia="Arial" w:hAnsi="Arial"/>
          <w:b/>
          <w:bCs/>
          <w:color w:val="1F4E79"/>
          <w:sz w:val="30"/>
          <w:szCs w:val="30"/>
        </w:rPr>
        <w:t xml:space="preserve">8. Provocări Actuale și Direcții Viitoare</w:t>
      </w:r>
    </w:p>
    <w:p>
      <w:pPr>
        <w:pStyle w:val="Heading2"/>
        <w:spacing w:after="80" w:before="240"/>
      </w:pPr>
      <w:r>
        <w:rPr>
          <w:rFonts w:ascii="Arial" w:cs="Arial" w:eastAsia="Arial" w:hAnsi="Arial"/>
          <w:b/>
          <w:bCs/>
          <w:color w:val="2E75B6"/>
          <w:sz w:val="26"/>
          <w:szCs w:val="26"/>
        </w:rPr>
        <w:t xml:space="preserve">8.1 Amenințări Ofensive Emergente</w:t>
      </w:r>
    </w:p>
    <w:p>
      <w:pPr>
        <w:spacing w:after="100" w:before="80"/>
        <w:jc w:val="both"/>
      </w:pPr>
      <w:r>
        <w:rPr>
          <w:rFonts w:ascii="Arial" w:cs="Arial" w:eastAsia="Arial" w:hAnsi="Arial"/>
          <w:sz w:val="22"/>
          <w:szCs w:val="22"/>
        </w:rPr>
        <w:t xml:space="preserve">Pe frontul ofensiv, integrarea AI și ML în designul ransomware-ului permite crearea de emailuri de phishing personalizate și modificarea dinamică a semnăturilor ransomware, făcând detecția bazată pe semnătură mai puțin eficientă. Recunoașterea automatizată bazată pe AI permite atacatorilor să cartografieze stack-ul software al țintelor, comportamentele utilizatorilor și configurațiile de rețea, personalizând payload-urile ransomware pentru exploatarea vulnerabilităților zero-day.</w:t>
      </w:r>
    </w:p>
    <w:p>
      <w:pPr>
        <w:spacing w:after="100" w:before="80"/>
        <w:jc w:val="both"/>
      </w:pPr>
      <w:r>
        <w:rPr>
          <w:rFonts w:ascii="Arial" w:cs="Arial" w:eastAsia="Arial" w:hAnsi="Arial"/>
          <w:sz w:val="22"/>
          <w:szCs w:val="22"/>
        </w:rPr>
        <w:t xml:space="preserve">Ransomware-ul fără fișiere și strategiile "living off the land" utilizează utilitare legitime de sistem și tehnici rezidente în memorie pentru a eluda produsele de securitate pe endpoint. Atacurile asupra lanțurilor de aprovizionare -  software updates și servicii cloud -  permit infiltrarea eficientă a mai multor afaceri simultan. Pe termen mai lung, computingul cuantic amenință sistemele criptografice cu cheie publică (RSA, ECC), putând crea noi modele de extorcare bazate pe decriptarea retrospectivă a datelor.</w:t>
      </w:r>
    </w:p>
    <w:p>
      <w:pPr>
        <w:pStyle w:val="Heading2"/>
        <w:spacing w:after="80" w:before="240"/>
      </w:pPr>
      <w:r>
        <w:rPr>
          <w:rFonts w:ascii="Arial" w:cs="Arial" w:eastAsia="Arial" w:hAnsi="Arial"/>
          <w:b/>
          <w:bCs/>
          <w:color w:val="2E75B6"/>
          <w:sz w:val="26"/>
          <w:szCs w:val="26"/>
        </w:rPr>
        <w:t xml:space="preserve">8.2 Soluții Defensive de Perspectivă</w:t>
      </w:r>
    </w:p>
    <w:p>
      <w:pPr>
        <w:spacing w:after="100" w:before="80"/>
        <w:jc w:val="both"/>
      </w:pPr>
      <w:r>
        <w:rPr>
          <w:rFonts w:ascii="Arial" w:cs="Arial" w:eastAsia="Arial" w:hAnsi="Arial"/>
          <w:sz w:val="22"/>
          <w:szCs w:val="22"/>
        </w:rPr>
        <w:t xml:space="preserve">Pe frontul defensiv, sistemele avansate AI și ML detectează anomalii care eludează apărările statice, analizând endpoint-uri, fluxuri de rețea și comportamentele utilizatorilor prin deep learning. Arhitecturile zero-trust cu micro-segmentare și autentificare continuă limitează propagarea ransomware-ului în rețelele compromise. Soluțiile bazate pe blockchain oferă jurnalizare și auditare rezistentă la manipulare. Răspunsul automatizat la incidente permite executarea pașilor de izolare și remediere în timp real -  suspendarea proceselor suspecte, carantinarea sistemelor infectate, revenirea la backup-uri de încredere -  reducând fereastra de oportunitate a ransomware-ului de la ore la secunde sau minute.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Sinteză: Cursa Armelor Tehnologice</w:t>
            </w:r>
          </w:p>
        </w:tc>
      </w:tr>
      <w:tr>
        <w:tc>
          <w:tcPr>
            <w:tcBorders>
              <w:top w:val="single" w:color="2E75B6" w:sz="1"/>
              <w:left w:val="single" w:color="2E75B6" w:sz="1"/>
              <w:bottom w:val="single" w:color="2E75B6" w:sz="1"/>
              <w:right w:val="single" w:color="2E75B6" w:sz="1"/>
            </w:tcBorders>
            <w:shd w:fill="E2EFDA" w:val="clear"/>
            <w:tcMar>
              <w:top w:type="dxa" w:w="100"/>
              <w:left w:type="dxa" w:w="160"/>
              <w:bottom w:type="dxa" w:w="100"/>
              <w:right w:type="dxa" w:w="160"/>
            </w:tcMar>
          </w:tcPr>
          <w:p>
            <w:pPr>
              <w:spacing w:after="60" w:before="60"/>
              <w:jc w:val="both"/>
            </w:pPr>
            <w:r>
              <w:rPr>
                <w:rFonts w:ascii="Arial" w:cs="Arial" w:eastAsia="Arial" w:hAnsi="Arial"/>
                <w:b/>
                <w:bCs/>
                <w:sz w:val="22"/>
                <w:szCs w:val="22"/>
              </w:rPr>
              <w:t xml:space="preserve">Atacatori: </w:t>
            </w:r>
            <w:r>
              <w:rPr>
                <w:rFonts w:ascii="Arial" w:cs="Arial" w:eastAsia="Arial" w:hAnsi="Arial"/>
                <w:sz w:val="22"/>
                <w:szCs w:val="22"/>
              </w:rPr>
              <w:t xml:space="preserve">AI pentru phishing personalizat și evasion, fileless malware, supply chain attacks, viitoare exploatare quantum-ready.</w:t>
            </w:r>
          </w:p>
          <w:p>
            <w:pPr>
              <w:spacing w:after="60" w:before="60"/>
              <w:jc w:val="both"/>
            </w:pPr>
            <w:r>
              <w:rPr>
                <w:rFonts w:ascii="Arial" w:cs="Arial" w:eastAsia="Arial" w:hAnsi="Arial"/>
                <w:b/>
                <w:bCs/>
                <w:sz w:val="22"/>
                <w:szCs w:val="22"/>
              </w:rPr>
              <w:t xml:space="preserve">Apărători: </w:t>
            </w:r>
            <w:r>
              <w:rPr>
                <w:rFonts w:ascii="Arial" w:cs="Arial" w:eastAsia="Arial" w:hAnsi="Arial"/>
                <w:sz w:val="22"/>
                <w:szCs w:val="22"/>
              </w:rPr>
              <w:t xml:space="preserve">AI-driven analytics, arhitecturi zero-trust, module hardware de securitate, răspuns automatizat la incidente, blockchain logging.</w:t>
            </w:r>
          </w:p>
          <w:p>
            <w:pPr>
              <w:spacing w:after="60" w:before="60"/>
              <w:jc w:val="both"/>
            </w:pPr>
            <w:r>
              <w:rPr>
                <w:rFonts w:ascii="Arial" w:cs="Arial" w:eastAsia="Arial" w:hAnsi="Arial"/>
                <w:b/>
                <w:bCs/>
                <w:sz w:val="22"/>
                <w:szCs w:val="22"/>
              </w:rPr>
              <w:t xml:space="preserve">Factorul decisiv: </w:t>
            </w:r>
            <w:r>
              <w:rPr>
                <w:rFonts w:ascii="Arial" w:cs="Arial" w:eastAsia="Arial" w:hAnsi="Arial"/>
                <w:sz w:val="22"/>
                <w:szCs w:val="22"/>
              </w:rPr>
              <w:t xml:space="preserve">Nu doar avansul computațional și criptografic, ci disponibilitatea organizațiilor de a investi în monitorizare continuă, patching rapid și principii security-by-design.</w:t>
            </w:r>
          </w:p>
        </w:tc>
      </w:tr>
    </w:tbl>
    <w:p>
      <w:pPr>
        <w:spacing w:after="0" w:before="160"/>
      </w:pPr>
    </w:p>
    <w:p>
      <w:pPr>
        <w:pStyle w:val="Heading1"/>
        <w:pBdr>
          <w:bottom w:val="single" w:color="2E75B6" w:sz="8" w:space="4"/>
        </w:pBdr>
        <w:spacing w:after="120" w:before="360"/>
      </w:pPr>
      <w:r>
        <w:rPr>
          <w:rFonts w:ascii="Arial" w:cs="Arial" w:eastAsia="Arial" w:hAnsi="Arial"/>
          <w:b/>
          <w:bCs/>
          <w:color w:val="1F4E79"/>
          <w:sz w:val="30"/>
          <w:szCs w:val="30"/>
        </w:rPr>
        <w:t xml:space="preserve">9. Concluzii și Contribuții</w:t>
      </w:r>
    </w:p>
    <w:p>
      <w:pPr>
        <w:spacing w:after="100" w:before="80"/>
        <w:jc w:val="both"/>
      </w:pPr>
      <w:r>
        <w:rPr>
          <w:rFonts w:ascii="Arial" w:cs="Arial" w:eastAsia="Arial" w:hAnsi="Arial"/>
          <w:sz w:val="22"/>
          <w:szCs w:val="22"/>
        </w:rPr>
        <w:t xml:space="preserve">Lucrarea furnizează o analiză sistematică și multi-dimensională a ransomware-ului în contextul IoT, contribuind la literatura de specialitate prin mai multe direcții. Din perspectivă taxonomică, oferă o clasificare riguroasă a tipurilor de ransomware (crypto, locker, hybrid) și a tehnicilor de detecție și contracarare. Din perspectivă evaluativă, compară metodele de detecție pe cinci criterii esențiale, oferind orientare practică în selectarea abordării adecvate contextului și resurselor disponibile. Din perspectivă prospectivă, identifică amenințările emergente -  AI-augmented ransomware, fileless attacks, supply chain infiltration, quantum computing -  și propune direcții defensive corespunzătoare.</w:t>
      </w:r>
    </w:p>
    <w:p>
      <w:pPr>
        <w:spacing w:after="100" w:before="80"/>
        <w:jc w:val="both"/>
      </w:pPr>
      <w:r>
        <w:rPr>
          <w:rFonts w:ascii="Arial" w:cs="Arial" w:eastAsia="Arial" w:hAnsi="Arial"/>
          <w:sz w:val="22"/>
          <w:szCs w:val="22"/>
        </w:rPr>
        <w:t xml:space="preserve">Autorii subliniază că răspunsul la ransomware nu poate fi exclusiv tehnic. Este necesară o abordare multidisciplinară care integrează măsuri legale, politici organizaționale și colaborare trans-sectorială pentru schimbul de informații despre amenințări. Cercetările viitoare ar trebui să prioritizeze: îmbunătățirea capabilităților de detecție în timp real, dezvoltarea soluțiilor de securitate descentralizate bazate pe blockchain și promovarea colaborării inter-industriale pentru intelligence unificat asupra amenințărilor.</w:t>
      </w:r>
    </w:p>
    <w:p>
      <w:pPr>
        <w:spacing w:after="0" w:before="200"/>
      </w:pPr>
    </w:p>
    <w:p>
      <w:pPr>
        <w:pBdr>
          <w:top w:val="single" w:color="2E75B6" w:sz="4" w:space="6"/>
        </w:pBdr>
        <w:spacing w:after="60" w:before="200"/>
        <w:jc w:val="center"/>
      </w:pPr>
      <w:r>
        <w:rPr>
          <w:rFonts w:ascii="Arial" w:cs="Arial" w:eastAsia="Arial" w:hAnsi="Arial"/>
          <w:i/>
          <w:iCs/>
          <w:color w:val="7F7F7F"/>
          <w:sz w:val="18"/>
          <w:szCs w:val="18"/>
        </w:rPr>
        <w:t xml:space="preserve">Rezumat generat pentru proiectul RansomGuard – Cosmin / cozel6</w:t>
      </w:r>
    </w:p>
    <w:p>
      <w:pPr>
        <w:spacing w:after="0" w:before="0"/>
        <w:jc w:val="center"/>
      </w:pPr>
      <w:r>
        <w:rPr>
          <w:rFonts w:ascii="Arial" w:cs="Arial" w:eastAsia="Arial" w:hAnsi="Arial"/>
          <w:color w:val="7F7F7F"/>
          <w:sz w:val="18"/>
          <w:szCs w:val="18"/>
        </w:rPr>
        <w:t xml:space="preserve">Sursă: Yan &amp; Talaei Khoei, Franklin Open 11 (2025) 100256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pPr>
    <w:r>
      <w:rPr>
        <w:rFonts w:ascii="Arial" w:cs="Arial" w:eastAsia="Arial" w:hAnsi="Arial"/>
        <w:color w:val="7F7F7F"/>
        <w:sz w:val="18"/>
        <w:szCs w:val="18"/>
      </w:rPr>
      <w:t xml:space="preserve">Franklin Open 11 (2025) 100256  |  Pagina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din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color w:val="7F7F7F"/>
        <w:sz w:val="18"/>
        <w:szCs w:val="18"/>
      </w:rPr>
      <w:t xml:space="preserve">Rezumat Detaliat -  Yan &amp; Talaei Khoei (2025) -  IoT Ransomware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2026-05-03T10:24:38.888Z</dcterms:created>
  <dcterms:modified xsi:type="dcterms:W3CDTF">2026-05-03T10:24:38.889Z</dcterms:modified>
</cp:coreProperties>
</file>

<file path=docProps/custom.xml><?xml version="1.0" encoding="utf-8"?>
<Properties xmlns="http://schemas.openxmlformats.org/officeDocument/2006/custom-properties" xmlns:vt="http://schemas.openxmlformats.org/officeDocument/2006/docPropsVTypes"/>
</file>