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Maze 与 FourRooms 实验报告</w:t>
      </w:r>
    </w:p>
    <w:p>
      <w:r>
        <w:t>本报告比较严格前缀筛选训练、无EWC蒸馏，以及单教师和双教师加EWC压缩的闭环测试表现。严格前缀25步在19×19未见地图上持续递归成功率为61.125%，与20步的配对差异未达到显著性；在39×39 maze_large的200图测试中，两种模式均仅1%，尺寸泛化很弱。旧教师单任务压缩出现明显Maze遗忘，双专家压缩未出现同样的性能崩溃。训练KL仅描述分布拟合，不能替代测试成功率。</w:t>
      </w:r>
    </w:p>
    <w:p>
      <w:pPr>
        <w:pStyle w:val="Heading1"/>
      </w:pPr>
      <w:r>
        <w:t>实验目标与主要结果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4032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27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403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主要结果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严格前缀筛选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比较10/15/20/25步训练权重在相同800图上的表现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持续递归成功率38.625%、58.75%、60.5%、61.125%；25相较20步未建立提升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无EWC Compress</w:t>
            </w:r>
          </w:p>
        </w:tc>
        <w:tc>
          <w:tcPr>
            <w:tcW w:type="dxa" w:w="27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测量独立5/10/15/20步教师压缩到KB后的性能保留</w:t>
            </w:r>
          </w:p>
        </w:tc>
        <w:tc>
          <w:tcPr>
            <w:tcW w:type="dxa" w:w="403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前三来源多数模式退化；20步来源差值较小，不能据不显著证明等价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旧教师直接 Compress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检验FourRooms蒸馏加Maze EWC是否保留Maze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 98%→99.5%；Maze两模式均降至0.5%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双专家 Compress</w:t>
            </w:r>
          </w:p>
        </w:tc>
        <w:tc>
          <w:tcPr>
            <w:tcW w:type="dxa" w:w="27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联合Maze和FourRooms动作分布蒸馏并保留EWC</w:t>
            </w:r>
          </w:p>
        </w:tc>
        <w:tc>
          <w:tcPr>
            <w:tcW w:type="dxa" w:w="403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Maze递归25.5%→31.5%，reset20 24.5%→27.5%；FourRooms98%→99%；未建立提升或等价</w:t>
            </w:r>
          </w:p>
        </w:tc>
      </w:tr>
    </w:tbl>
    <w:p>
      <w:pPr>
        <w:spacing w:after="140"/>
      </w:pPr>
      <w:r>
        <w:rPr>
          <w:sz w:val="20"/>
        </w:rPr>
        <w:t>成功率来自固定权重在未见地图或固定测试种子上的独立评估。结果不代表跨训练种子的稳健性或通用迷宫能力；具体协议、样本数及配对统计见各实验设置和结果。</w:t>
      </w:r>
    </w:p>
    <w:p>
      <w:pPr>
        <w:pStyle w:val="Heading1"/>
        <w:pageBreakBefore/>
      </w:pPr>
      <w:r>
        <w:t>严格前缀筛选训练</w:t>
      </w:r>
    </w:p>
    <w:p>
      <w:pPr>
        <w:pStyle w:val="Heading2"/>
      </w:pPr>
      <w:r>
        <w:t>实验目标</w:t>
      </w:r>
    </w:p>
    <w:p>
      <w:r>
        <w:t>比较逐级延长严格正确前缀后，模型在相同800张未见Maze地图上的闭环成功率，并区分持续递归与按训练长度恢复初态两种推理方式。</w:t>
      </w:r>
    </w:p>
    <w:p>
      <w:pPr>
        <w:pStyle w:val="Heading2"/>
      </w:pPr>
      <w:r>
        <w:t>实验设置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16"/>
        <w:gridCol w:w="2592"/>
        <w:gridCol w:w="2016"/>
      </w:tblGrid>
      <w:tr>
        <w:trPr>
          <w:cantSplit/>
          <w:tblHeader/>
        </w:trPr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预测长度</w:t>
            </w:r>
          </w:p>
        </w:tc>
        <w:tc>
          <w:tcPr>
            <w:tcW w:type="dxa" w:w="201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筛选要求</w:t>
            </w:r>
          </w:p>
        </w:tc>
        <w:tc>
          <w:tcPr>
            <w:tcW w:type="dxa" w:w="259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新增Adam更新</w:t>
            </w:r>
          </w:p>
        </w:tc>
        <w:tc>
          <w:tcPr>
            <w:tcW w:type="dxa" w:w="201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Loss范围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前5步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3,500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最后5步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前10步</w:t>
            </w:r>
          </w:p>
        </w:tc>
        <w:tc>
          <w:tcPr>
            <w:tcW w:type="dxa" w:w="259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3,500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最后5步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前15步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3,500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最后5步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前20步</w:t>
            </w:r>
          </w:p>
        </w:tc>
        <w:tc>
          <w:tcPr>
            <w:tcW w:type="dxa" w:w="259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3,500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最后5步</w:t>
            </w:r>
          </w:p>
        </w:tc>
      </w:tr>
    </w:tbl>
    <w:p>
      <w:r>
        <w:t>从5步来源累计Adam7,000开始，10→15→20→25串行训练，最终累计Adam21,000。每个长度使用5/10/20/40/80/160/200七个地图池，各500次更新。学生Argmax推进，前缀逐步匹配BFS单一标签；只对最后5步有效决策计算Loss，梯度穿过前缀和可学习初态。每次100条接受序列、microbatch10、clip0.5、ticks5/M40、FP32 Active-only。前缀到达目标的候选剔除，后缀使用终止mask。</w:t>
      </w:r>
    </w:p>
    <w:p>
      <w:pPr>
        <w:pStyle w:val="Heading2"/>
      </w:pPr>
      <w:r>
        <w:t>训练结果</w:t>
      </w:r>
    </w:p>
    <w:p>
      <w:r>
        <w:drawing>
          <wp:inline xmlns:a="http://schemas.openxmlformats.org/drawingml/2006/main" xmlns:pic="http://schemas.openxmlformats.org/drawingml/2006/picture">
            <wp:extent cx="4846320" cy="264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ix_10_15_20_25_KL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4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0"/>
        </w:rPr>
        <w:t>横轴为累计 Adam，仅含有效训练历史；下图为对数 KL。前缀通过率来自必需筛选，训练无额外评估。</w:t>
      </w:r>
    </w:p>
    <w:p>
      <w:pPr>
        <w:spacing w:after="140"/>
      </w:pPr>
      <w:r>
        <w:rPr>
          <w:sz w:val="20"/>
        </w:rPr>
        <w:t>10/15/20/25步原始KL使用连续累计Adam横轴；25步从Adam17,500继续。上图为线性轴，下图为对数轴，原始KL未平滑。</w:t>
      </w:r>
    </w:p>
    <w:p>
      <w:pPr>
        <w:pStyle w:val="Heading1"/>
        <w:pageBreakBefore/>
      </w:pPr>
      <w:r>
        <w:t>前缀10 15 20 25步同面板800图测试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1152"/>
        <w:gridCol w:w="1224"/>
        <w:gridCol w:w="1224"/>
        <w:gridCol w:w="1152"/>
        <w:gridCol w:w="1584"/>
      </w:tblGrid>
      <w:tr>
        <w:trPr>
          <w:cantSplit/>
          <w:tblHeader/>
        </w:trPr>
        <w:tc>
          <w:tcPr>
            <w:tcW w:type="dxa" w:w="86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15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原200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新增600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总成功数</w:t>
            </w:r>
          </w:p>
        </w:tc>
        <w:tc>
          <w:tcPr>
            <w:tcW w:type="dxa" w:w="115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成功率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每10步恢复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129/600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170/800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21.25%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18.6%–24.2%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67/200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242/600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309/800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38.62%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35.3%–42.0%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每15步恢复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43/200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137/600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180/800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22.50%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19.7%–25.5%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115/200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355/600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470/800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58.75%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55.3%–62.1%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每20步恢复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61/200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197/600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258/800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32.25%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29.1%–35.6%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119/200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365/600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484/800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60.50%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57.1%–63.8%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每25步恢复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62/200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221/600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283/800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35.38%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32.1%–38.8%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107/200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382/600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489/800</w:t>
            </w:r>
          </w:p>
        </w:tc>
        <w:tc>
          <w:tcPr>
            <w:tcW w:type="dxa" w:w="11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61.12%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57.7%–64.4%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640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0"/>
        </w:rPr>
        <w:t>同一800图顺序、SHA与seed0起点；Argmax/max300/FP32/Active-only/batch32，不筛选前缀。每权重1,600回合均已轨迹重放核验，权重未更新。误差条为地图样本Wilson95%近似区间，不表示跨训练seed变异。</w:t>
      </w:r>
    </w:p>
    <w:p>
      <w:r>
        <w:t>持续递归的推理配置一致，可比较相同地图上的前缀长度权重；每L步恢复的重置间隔随L变化，差异不能仅归因于训练长度。完整配对McNemar/Holm和bootstrap区间见prefix_lengths_test800_analysis。结果仅支持同分布19×19未见地图及固定起点，不能证明通用解迷宫能力。</w:t>
      </w:r>
    </w:p>
    <w:p>
      <w:pPr>
        <w:pStyle w:val="Heading2"/>
        <w:pageBreakBefore/>
      </w:pPr>
      <w:r>
        <w:t>800图按BFS最短路分层</w:t>
      </w:r>
    </w:p>
    <w:p>
      <w:pPr>
        <w:spacing w:after="140"/>
      </w:pPr>
      <w:r>
        <w:rPr>
          <w:sz w:val="20"/>
        </w:rPr>
        <w:t>全部地图仍为19×19；长度指相同起点到目标的BFS最短路。地图、SHA、起点和四层分组逐条核验，全部模式结果采用相同分母。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576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推理模式</w:t>
            </w:r>
          </w:p>
        </w:tc>
        <w:tc>
          <w:tcPr>
            <w:tcW w:type="dxa" w:w="9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BFS步数</w:t>
            </w:r>
          </w:p>
        </w:tc>
        <w:tc>
          <w:tcPr>
            <w:tcW w:type="dxa" w:w="57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图数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训练10步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训练15步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训练20步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训练25步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1-20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231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161/231 (69.70%)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174/231 (75.32%)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172/231 (74.46%)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171/231 (74.03%)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21-40</w:t>
            </w:r>
          </w:p>
        </w:tc>
        <w:tc>
          <w:tcPr>
            <w:tcW w:type="dxa" w:w="5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232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89/232 (38.36%)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137/232 (59.05%)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136/232 (58.62%)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141/232 (60.78%)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41-60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169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36/169 (21.30%)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84/169 (49.70%)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99/169 (58.58%)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91/169 (53.85%)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61-300</w:t>
            </w:r>
          </w:p>
        </w:tc>
        <w:tc>
          <w:tcPr>
            <w:tcW w:type="dxa" w:w="5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168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23/168 (13.69%)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75/168 (44.64%)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77/168 (45.83%)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86/168 (51.19%)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1-20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231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131/231 (56.71%)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125/231 (54.11%)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150/231 (64.94%)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148/231 (64.07%)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21-40</w:t>
            </w:r>
          </w:p>
        </w:tc>
        <w:tc>
          <w:tcPr>
            <w:tcW w:type="dxa" w:w="5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232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28/232 (12.07%)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41/232 (17.67%)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69/232 (29.74%)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81/232 (34.91%)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41-60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169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9/169 (5.33%)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12/169 (7.10%)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31/169 (18.34%)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31/169 (18.34%)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61-300</w:t>
            </w:r>
          </w:p>
        </w:tc>
        <w:tc>
          <w:tcPr>
            <w:tcW w:type="dxa" w:w="5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168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2/168 (1.19%)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2/168 (1.19%)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8/168 (4.76%)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23/168 (13.69%)</w:t>
            </w:r>
          </w:p>
        </w:tc>
      </w:tr>
    </w:tbl>
    <w:p>
      <w:r>
        <w:t>25步与20步持续递归比较：800图差+0.625个百分点；仅20步成功115张，仅25步成功120张；精确McNemar经全部六项总体比较Holm校正p=0.7942。递进训练同时增加预算，不能归因于长度单因素；不显著不表示等价。</w:t>
      </w:r>
    </w:p>
    <w:p>
      <w:r>
        <w:t>25步相较20步的BFS分层持续递归差值及探索性Holm校正：1-20步：-0.43pp，校正p=1；21-40步：+2.16pp，校正p=1；41-60步：-4.73pp，校正p=1；61-300步：+5.36pp，校正p=1。全部六对权重×四层共24项分层检验统一校正。</w:t>
      </w:r>
    </w:p>
    <w:p>
      <w:pPr>
        <w:spacing w:after="140"/>
      </w:pPr>
      <w:r>
        <w:rPr>
          <w:sz w:val="20"/>
        </w:rPr>
        <w:t>25步权重从20步完整边界续训，累计Adam21,000、七池各500更新。与10/15/20使用相同800张地图和起点，RTX4060本地FP32测试，不执行前缀筛选。每L步恢复同时改变恢复周期，仅作描述比较。</w:t>
      </w:r>
    </w:p>
    <w:p>
      <w:pPr>
        <w:pStyle w:val="Heading2"/>
        <w:pageBreakBefore/>
      </w:pPr>
      <w:r>
        <w:t>BFS分层成功率与95%区间</w:t>
      </w:r>
    </w:p>
    <w:p>
      <w:pPr>
        <w:spacing w:after="140"/>
      </w:pPr>
      <w:r>
        <w:rPr>
          <w:sz w:val="20"/>
        </w:rPr>
        <w:t>每格为成功数/地图数（成功率）；Wilson95%区间见下图。持续递归层内精确McNemar、20,000次配对bootstrap和24项Holm校正见path_length_stats.json。地图样本区间不表示跨训练seed变异；未进行等价检验。</w:t>
      </w:r>
    </w:p>
    <w:p>
      <w:r>
        <w:drawing>
          <wp:inline xmlns:a="http://schemas.openxmlformats.org/drawingml/2006/main" xmlns:pic="http://schemas.openxmlformats.org/drawingml/2006/picture">
            <wp:extent cx="5303520" cy="5369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length_breakdow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6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0"/>
        </w:rPr>
        <w:t>上图：持续递归，相同推理协议；下图：每训练L步恢复，恢复间隔不同。误差条为Wilson95%地图抽样近似区间，横轴括号为每层地图数；横向偏移仅便于识别，折线仅引导阅读。单个分层区间不作同时覆盖声明。</w:t>
      </w:r>
    </w:p>
    <w:p>
      <w:pPr>
        <w:pStyle w:val="Heading2"/>
        <w:pageBreakBefore/>
      </w:pPr>
      <w:r>
        <w:t>25步权重 maze_large 尺寸泛化测试</w:t>
      </w:r>
    </w:p>
    <w:p>
      <w:pPr>
        <w:pStyle w:val="Heading2"/>
      </w:pPr>
      <w:r>
        <w:t>实验目标</w:t>
      </w:r>
    </w:p>
    <w:p>
      <w:r>
        <w:t>检验仅用19×19迷宫训练的25步Active权重，能否直接解决39×39规格的未见maze_large地图。该测试属于严格前缀训练评估，权重不微调。</w:t>
      </w:r>
    </w:p>
    <w:p>
      <w:pPr>
        <w:pStyle w:val="Heading2"/>
      </w:pPr>
      <w:r>
        <w:t>实验设置</w:t>
      </w:r>
    </w:p>
    <w:p>
      <w:r>
        <w:t>large/test目录按数字顺序取前200张，未按最短路或成功情况筛选，与训练地图SHA无重叠。原图39×39 RGB，沿用最近邻缩放为3×84×84 uint8；真实权重GPU前向输出有限。独立尺寸适配器仅将原环境19×19的加载/移动边界改为实际地图尺寸；8张中等迷宫的动作、观测、奖励和终止行为逐步一致，200张大迷宫BFS路线均可重放到目标。蓝色答案路线在观测中删除。</w:t>
      </w:r>
    </w:p>
    <w:p>
      <w:r>
        <w:t>每张地图固定原生标注起点，seed0；每25步恢复与持续递归各200回合，共400。Argmax、最多300步、FP32 Active-only、ticks5/M40、batch32，RTX4060 Laptop GPU。两个模式地图和起点相同，全部记录动作重放通过，权重SHA不变。</w:t>
      </w:r>
    </w:p>
    <w:p>
      <w:pPr>
        <w:pStyle w:val="Heading2"/>
      </w:pPr>
      <w:r>
        <w:t>实验结果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1728"/>
        <w:gridCol w:w="2880"/>
      </w:tblGrid>
      <w:tr>
        <w:trPr>
          <w:cantSplit/>
          <w:tblHeader/>
        </w:trPr>
        <w:tc>
          <w:tcPr>
            <w:tcW w:type="dxa" w:w="230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成功数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成功率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Wilson95%区间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每25步恢复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2/200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1.00%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0.27%–3.57%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7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2/200</w:t>
            </w:r>
          </w:p>
        </w:tc>
        <w:tc>
          <w:tcPr>
            <w:tcW w:type="dxa" w:w="17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1.00%</w:t>
            </w:r>
          </w:p>
        </w:tc>
        <w:tc>
          <w:tcPr>
            <w:tcW w:type="dxa" w:w="288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0.27%–3.57%</w:t>
            </w:r>
          </w:p>
        </w:tc>
      </w:tr>
    </w:tbl>
    <w:p>
      <w:r>
        <w:t>仅统计BFS最短路不超过300步的188张地图：每25步恢复2/188，持续递归2/188。因此，超出步数上限的地图不能解释其余188张地图上的失败。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2304"/>
        <w:gridCol w:w="2304"/>
      </w:tblGrid>
      <w:tr>
        <w:trPr>
          <w:cantSplit/>
          <w:tblHeader/>
        </w:trPr>
        <w:tc>
          <w:tcPr>
            <w:tcW w:type="dxa" w:w="230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BFS最短路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230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恢复成功数</w:t>
            </w:r>
          </w:p>
        </w:tc>
        <w:tc>
          <w:tcPr>
            <w:tcW w:type="dxa" w:w="230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递归成功数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1–100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71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2/71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2/71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101–200</w:t>
            </w:r>
          </w:p>
        </w:tc>
        <w:tc>
          <w:tcPr>
            <w:tcW w:type="dxa" w:w="17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64</w:t>
            </w:r>
          </w:p>
        </w:tc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0/64</w:t>
            </w:r>
          </w:p>
        </w:tc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0/64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201–300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0/53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0/53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&gt;300</w:t>
            </w:r>
          </w:p>
        </w:tc>
        <w:tc>
          <w:tcPr>
            <w:tcW w:type="dxa" w:w="17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0/12</w:t>
            </w:r>
          </w:p>
        </w:tc>
        <w:tc>
          <w:tcPr>
            <w:tcW w:type="dxa" w:w="230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0/12</w:t>
            </w:r>
          </w:p>
        </w:tc>
      </w:tr>
    </w:tbl>
    <w:p>
      <w:pPr>
        <w:spacing w:after="140"/>
      </w:pPr>
      <w:r>
        <w:rPr>
          <w:sz w:val="20"/>
        </w:rPr>
        <w:t>持续递归−恢复差+0.00pp，配对bootstrap95%区间[+0.00, +0.00]pp；仅恢复成功0，仅递归成功0，精确McNemar p=1。两模式成功集合相同，经验bootstrap区间退化为0，不证明总体等价。</w:t>
      </w:r>
    </w:p>
    <w:p>
      <w:r>
        <w:t>BFS最短路范围2–412；12/200张超过300步限制，即使最短路策略也无法在该上限内成功。结果衡量固定权重在本200张大迷宫上的尺寸分布外表现，不能证明通用泛化；与19×19评测的地图、路径难度及缩放比例同时变化，不作跨规格配对或单因素因果结论。Wilson区间不表示训练种子方差。</w:t>
      </w:r>
    </w:p>
    <w:p>
      <w:pPr>
        <w:pStyle w:val="Heading1"/>
        <w:pageBreakBefore/>
      </w:pPr>
      <w:r>
        <w:t>无 EWC Compress 性能保留实验</w:t>
      </w:r>
    </w:p>
    <w:p>
      <w:pPr>
        <w:pStyle w:val="Heading2"/>
      </w:pPr>
      <w:r>
        <w:t>实验目标</w:t>
      </w:r>
    </w:p>
    <w:p>
      <w:r>
        <w:t>测量独立5/10/15/20步完整Dual教师在无EWC压缩后，学生KB保留Maze闭环任务性能的程度。</w:t>
      </w:r>
    </w:p>
    <w:p>
      <w:pPr>
        <w:pStyle w:val="Heading2"/>
      </w:pPr>
      <w:r>
        <w:t>实验设置</w:t>
      </w:r>
    </w:p>
    <w:p>
      <w:r>
        <w:t>来源为独立 5/10/15/20 步权重，排除递进组；旧 KB 初始参数相同，四组 C 并行，训练与主要测试使用RTX A4000。</w:t>
      </w:r>
    </w:p>
    <w:p>
      <w:pPr>
        <w:pStyle w:val="Heading2"/>
      </w:pPr>
      <w:r>
        <w:t>训练结果</w:t>
      </w:r>
    </w:p>
    <w:p>
      <w:r>
        <w:drawing>
          <wp:inline xmlns:a="http://schemas.openxmlformats.org/drawingml/2006/main" xmlns:pic="http://schemas.openxmlformats.org/drawingml/2006/picture">
            <wp:extent cx="43891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0"/>
        </w:rPr>
        <w:t>各组分别以C内部Adam更新次数为横轴，纵轴为累计平均KL。训练曲线不表示闭环测试表现。</w:t>
      </w:r>
    </w:p>
    <w:p>
      <w:r>
        <w:t>每组128万决策、3,200次更新；32槽×50步、4组、microbatch1，ticks5/M40、FP32。冻结教师按Softmax推进，旧KB学习分布KL；无EWC，窗口内反传、窗口间截断，episode结束重置。</w:t>
      </w:r>
    </w:p>
    <w:p>
      <w:pPr>
        <w:pStyle w:val="Heading2"/>
      </w:pPr>
      <w:r>
        <w:t>测试设置与结果</w:t>
      </w:r>
    </w:p>
    <w:p>
      <w:r>
        <w:t>用同一未见200图及起点比较Active与KB：每L步恢复和持续窗口各200次，每来源800次。Argmax、最多300步，FP32、batch32。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936"/>
        <w:gridCol w:w="1008"/>
        <w:gridCol w:w="2376"/>
        <w:gridCol w:w="936"/>
        <w:gridCol w:w="1008"/>
      </w:tblGrid>
      <w:tr>
        <w:trPr>
          <w:cantSplit/>
          <w:tblHeader/>
        </w:trPr>
        <w:tc>
          <w:tcPr>
            <w:tcW w:type="dxa" w:w="72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237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恢复 Active→KB</w:t>
            </w:r>
          </w:p>
        </w:tc>
        <w:tc>
          <w:tcPr>
            <w:tcW w:type="dxa" w:w="9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差pp</w:t>
            </w:r>
          </w:p>
        </w:tc>
        <w:tc>
          <w:tcPr>
            <w:tcW w:type="dxa" w:w="100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保留比</w:t>
            </w:r>
          </w:p>
        </w:tc>
        <w:tc>
          <w:tcPr>
            <w:tcW w:type="dxa" w:w="237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递归 Active→KB</w:t>
            </w:r>
          </w:p>
        </w:tc>
        <w:tc>
          <w:tcPr>
            <w:tcW w:type="dxa" w:w="9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差pp</w:t>
            </w:r>
          </w:p>
        </w:tc>
        <w:tc>
          <w:tcPr>
            <w:tcW w:type="dxa" w:w="100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保留比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34→1/200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-16.5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0.029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32→1/200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-15.5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0.031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3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39→14/200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-12.5</w:t>
            </w:r>
          </w:p>
        </w:tc>
        <w:tc>
          <w:tcPr>
            <w:tcW w:type="dxa" w:w="100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0.359</w:t>
            </w:r>
          </w:p>
        </w:tc>
        <w:tc>
          <w:tcPr>
            <w:tcW w:type="dxa" w:w="23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44→36/200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-4.0</w:t>
            </w:r>
          </w:p>
        </w:tc>
        <w:tc>
          <w:tcPr>
            <w:tcW w:type="dxa" w:w="100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0.818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43→5/200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-19.0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0.116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41→13/200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-14.0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0.317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3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40→34/200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-3.0</w:t>
            </w:r>
          </w:p>
        </w:tc>
        <w:tc>
          <w:tcPr>
            <w:tcW w:type="dxa" w:w="100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0.850</w:t>
            </w:r>
          </w:p>
        </w:tc>
        <w:tc>
          <w:tcPr>
            <w:tcW w:type="dxa" w:w="23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42→46/200</w:t>
            </w:r>
          </w:p>
        </w:tc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+2.0</w:t>
            </w:r>
          </w:p>
        </w:tc>
        <w:tc>
          <w:tcPr>
            <w:tcW w:type="dxa" w:w="100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1.095</w:t>
            </w:r>
          </w:p>
        </w:tc>
      </w:tr>
    </w:tbl>
    <w:p>
      <w:pPr>
        <w:spacing w:after="140"/>
      </w:pPr>
      <w:r>
        <w:rPr>
          <w:sz w:val="20"/>
        </w:rPr>
        <w:t>上表使用A4000配对结果；RTX4060独立复测见下表，两种硬件的结果分别统计。</w:t>
      </w:r>
    </w:p>
    <w:p>
      <w:pPr>
        <w:spacing w:after="140"/>
      </w:pPr>
      <w:r>
        <w:rPr>
          <w:sz w:val="20"/>
        </w:rPr>
        <w:t>差值=KB−Active，保留比=KB/Active；来源P预算不同，仅做来源内配对比较，不以不显著差异证明等价。完整分析保留在实验目录。</w:t>
      </w:r>
    </w:p>
    <w:p>
      <w:pPr>
        <w:pStyle w:val="Heading1"/>
        <w:pageBreakBefore/>
      </w:pPr>
      <w:r>
        <w:t>Compress KB 本地复测</w:t>
      </w:r>
    </w:p>
    <w:p>
      <w:r>
        <w:t>15/20步权重使用RTX4060 Laptop GPU进行独立复测。每来源Active与KB均使用固定200张未见地图、seed0相同起点，两种模式各200次；Argmax、最多300步、FP32、ticks5/M40、batch32。1,600条记录轨迹全部重放通过，权重未更新。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016"/>
        <w:gridCol w:w="1800"/>
        <w:gridCol w:w="1656"/>
        <w:gridCol w:w="1224"/>
        <w:gridCol w:w="1080"/>
      </w:tblGrid>
      <w:tr>
        <w:trPr>
          <w:cantSplit/>
          <w:tblHeader/>
        </w:trPr>
        <w:tc>
          <w:tcPr>
            <w:tcW w:type="dxa" w:w="93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201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Active</w:t>
            </w:r>
          </w:p>
        </w:tc>
        <w:tc>
          <w:tcPr>
            <w:tcW w:type="dxa" w:w="165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KB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差pp</w:t>
            </w:r>
          </w:p>
        </w:tc>
        <w:tc>
          <w:tcPr>
            <w:tcW w:type="dxa" w:w="108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保留比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43/200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-19.0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0.116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80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42/200</w:t>
            </w:r>
          </w:p>
        </w:tc>
        <w:tc>
          <w:tcPr>
            <w:tcW w:type="dxa" w:w="165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13/200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-14.5</w:t>
            </w:r>
          </w:p>
        </w:tc>
        <w:tc>
          <w:tcPr>
            <w:tcW w:type="dxa" w:w="108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0.310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每L步恢复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41/200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34/200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-3.5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0.829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持续递归</w:t>
            </w:r>
          </w:p>
        </w:tc>
        <w:tc>
          <w:tcPr>
            <w:tcW w:type="dxa" w:w="180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43/200</w:t>
            </w:r>
          </w:p>
        </w:tc>
        <w:tc>
          <w:tcPr>
            <w:tcW w:type="dxa" w:w="165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45/200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+1.0</w:t>
            </w:r>
          </w:p>
        </w:tc>
        <w:tc>
          <w:tcPr>
            <w:tcW w:type="dxa" w:w="108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1.047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77840" cy="218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r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0"/>
        </w:rPr>
        <w:t>柱形图为本地200图成功率，误差线为固定模型地图样本的Wilson95%区间，不表示训练种子方差。</w:t>
      </w:r>
    </w:p>
    <w:p>
      <w:r>
        <w:t>15步KB相对Active明显下降；20步配对差值较小，但不能据非显著差异宣称等价。相同FP32协议在两种GPU上的少量边界动作可能不同，因此远端与本地复测分别保留，不混合统计。完整配对差值区间及检验见local_analysis_length15_20。</w:t>
      </w:r>
    </w:p>
    <w:p>
      <w:pPr>
        <w:pStyle w:val="Heading1"/>
        <w:pageBreakBefore/>
      </w:pPr>
      <w:r>
        <w:t>旧教师直接 Compress</w:t>
      </w:r>
    </w:p>
    <w:p>
      <w:pPr>
        <w:pStyle w:val="Heading2"/>
      </w:pPr>
      <w:r>
        <w:t>实验目标</w:t>
      </w:r>
    </w:p>
    <w:p>
      <w:r>
        <w:t>检验完整旧FourRooms教师直接蒸馏至Maze KB时，Maze Fisher的EWC能否避免旧任务遗忘，同时保留FourRooms能力。</w:t>
      </w:r>
    </w:p>
    <w:p>
      <w:pPr>
        <w:pStyle w:val="Heading2"/>
      </w:pPr>
      <w:r>
        <w:t>实验设置</w:t>
      </w:r>
    </w:p>
    <w:p>
      <w:r>
        <w:t>学生从Maze F完整边界初始化KB和Fisher，跳过FourRooms P；教师为冻结的v0 P完整Dual，保留其内部旧KB、Active和Adapter，与学生参数独立。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728"/>
        <w:gridCol w:w="1584"/>
        <w:gridCol w:w="1584"/>
      </w:tblGrid>
      <w:tr>
        <w:trPr>
          <w:cantSplit/>
          <w:tblHeader/>
        </w:trPr>
        <w:tc>
          <w:tcPr>
            <w:tcW w:type="dxa" w:w="187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7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决策预算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Adam更新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最终KL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最终EWC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 C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1,280,000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3,200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0.1547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0.0001731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 F</w:t>
            </w:r>
          </w:p>
        </w:tc>
        <w:tc>
          <w:tcPr>
            <w:tcW w:type="dxa" w:w="187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4,096</w:t>
            </w:r>
          </w:p>
        </w:tc>
        <w:tc>
          <w:tcPr>
            <w:tcW w:type="dxa" w:w="17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无Adam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pPr>
        <w:pStyle w:val="Heading2"/>
      </w:pPr>
      <w:r>
        <w:t>训练结果</w:t>
      </w:r>
    </w:p>
    <w:p>
      <w:r>
        <w:drawing>
          <wp:inline xmlns:a="http://schemas.openxmlformats.org/drawingml/2006/main" xmlns:pic="http://schemas.openxmlformats.org/drawingml/2006/picture">
            <wp:extent cx="4663440" cy="2390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_EW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教师内部旧KB、Active、Adapter完整保留，与可训练Maze KB独立。C：32槽×50步、4更新分组、microbatch1、FP32、ticks2/M40；教师Softmax轨迹上的分布KL，加对应Maze Fisher的EWC λ250，fresh Adam。F：1,024评分，策略不变，Fisher以0.3衰减累计。只记分支新增3,200次更新，不与来源Adam17,500合并。</w:t>
      </w:r>
    </w:p>
    <w:p>
      <w:r>
        <w:br w:type="page"/>
      </w:r>
    </w:p>
    <w:p>
      <w:pPr>
        <w:pStyle w:val="Heading1"/>
      </w:pPr>
      <w:r>
        <w:t>旧教师 Compress 独立配对测试结果</w:t>
      </w:r>
    </w:p>
    <w:p>
      <w:r>
        <w:t>配对测试使用相同未见Maze200图及起点（递归/reset20），以及同一FourRooms200种子。共1,200回合，Argmax/max300/FP32；测试无权重更新。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512"/>
        <w:gridCol w:w="1512"/>
        <w:gridCol w:w="1224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配对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之前/教师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之后KB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差pp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仅前成功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仅后成功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98.0%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99.5%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+1.5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maze_recurrent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25.5%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0.5%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-25.0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51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maze_reset20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24.5%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0.5%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-24.0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140"/>
      </w:pPr>
      <w:r>
        <w:rPr>
          <w:sz w:val="20"/>
        </w:rPr>
        <w:t>每项各200回合。FourRooms教师196→KB199（配对Holm p=0.25），未建立提升或等价；Maze两模式最终均1/200，较压缩前明显退化（两项校正p&lt;2×10⁻¹³），非零EWC未避免本次遗忘。完整统计见分支completed_analysis。</w:t>
      </w:r>
    </w:p>
    <w:p>
      <w:pPr>
        <w:pStyle w:val="Heading1"/>
        <w:pageBreakBefore/>
      </w:pPr>
      <w:r>
        <w:t>双专家在线 Compress 加 EWC</w:t>
      </w:r>
    </w:p>
    <w:p>
      <w:pPr>
        <w:pStyle w:val="Heading2"/>
      </w:pPr>
      <w:r>
        <w:t>实验目标</w:t>
      </w:r>
    </w:p>
    <w:p>
      <w:r>
        <w:t>联合学习Maze KB教师与FourRooms专家的动作分布，在压缩FourRooms知识时保留Maze行为，并检验相同Maze EWC约束下的任务性能变化。</w:t>
      </w:r>
    </w:p>
    <w:p>
      <w:pPr>
        <w:pStyle w:val="Heading2"/>
      </w:pPr>
      <w:r>
        <w:t>实验设置</w:t>
      </w:r>
    </w:p>
    <w:p>
      <w:r>
        <w:t>从同一Maze F完整边界初始化学生与EWC。冻结该KB副本作为Maze教师，冻结完整v0 Dual作为FourRooms教师。两任务在线Softmax轨迹，任务KL各0.5，EWC λ250每次Adam只加一次；来源Adam17,500不并入新Adam。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160"/>
        <w:gridCol w:w="2160"/>
        <w:gridCol w:w="2016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训练决策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KL权重</w:t>
            </w:r>
          </w:p>
        </w:tc>
        <w:tc>
          <w:tcPr>
            <w:tcW w:type="dxa" w:w="201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最终KL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640,000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0.0004293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</w:t>
            </w:r>
          </w:p>
        </w:tc>
        <w:tc>
          <w:tcPr>
            <w:tcW w:type="dxa" w:w="216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640,000</w:t>
            </w:r>
          </w:p>
        </w:tc>
        <w:tc>
          <w:tcPr>
            <w:tcW w:type="dxa" w:w="216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201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0.07833</w:t>
            </w:r>
          </w:p>
        </w:tc>
      </w:tr>
    </w:tbl>
    <w:p>
      <w:r>
        <w:t>总训练决策1,280,000，800个窗口对，3,200次共享Adam更新；最终EWC 0.0002564。</w:t>
      </w:r>
    </w:p>
    <w:p>
      <w:pPr>
        <w:pStyle w:val="Heading2"/>
      </w:pPr>
      <w:r>
        <w:t>训练结果</w:t>
      </w:r>
    </w:p>
    <w:p>
      <w:r>
        <w:drawing>
          <wp:inline xmlns:a="http://schemas.openxmlformats.org/drawingml/2006/main" xmlns:pic="http://schemas.openxmlformats.org/drawingml/2006/picture">
            <wp:extent cx="4937760" cy="2592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_EWC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16＋16槽、50步、4更新分组、microbatch1、FP32；Maze ticks5、FourRooms ticks2、M40。两个任务独立维护教师及学生递归状态，episode重置，窗口内完整BPTT，窗口之间截断。复用原Maze Fisher，训练期间不更新Fisher。</w:t>
      </w:r>
    </w:p>
    <w:p>
      <w:r>
        <w:t>独立配对测试：相同未见Maze200图、seed0起点，压缩前与后KB在持续递归及每20步恢复模式各200回合；FourRooms完整教师与最终KB使用相同200个种子各200回合，总计1,200。Argmax/max300/FP32/batch32，评估无权重更新。</w:t>
      </w:r>
    </w:p>
    <w:p>
      <w:r>
        <w:br w:type="page"/>
      </w:r>
    </w:p>
    <w:p>
      <w:pPr>
        <w:pStyle w:val="Heading1"/>
      </w:pPr>
      <w:r>
        <w:t>双专家 Compress 独立配对测试结果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512"/>
        <w:gridCol w:w="1512"/>
        <w:gridCol w:w="1224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配对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之前/教师</w:t>
            </w:r>
          </w:p>
        </w:tc>
        <w:tc>
          <w:tcPr>
            <w:tcW w:type="dxa" w:w="15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之后KB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差pp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仅前成功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仅后成功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fourrooms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98.0%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99.0%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+1.0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maze_recurrent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25.5%</w:t>
            </w:r>
          </w:p>
        </w:tc>
        <w:tc>
          <w:tcPr>
            <w:tcW w:type="dxa" w:w="15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31.5%</w:t>
            </w:r>
          </w:p>
        </w:tc>
        <w:tc>
          <w:tcPr>
            <w:tcW w:type="dxa" w:w="122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+6.0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maze_reset20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24.5%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27.5%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+3.0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</w:tr>
    </w:tbl>
    <w:p>
      <w:pPr>
        <w:spacing w:after="140"/>
      </w:pPr>
      <w:r>
        <w:rPr>
          <w:sz w:val="20"/>
        </w:rPr>
        <w:t>训练中两教师与Fisher固定，评估中权重不更新。Maze递归51→63/200，reset20为49→55/200，FourRooms196→198/200。三项Holm p分别0.265、0.810、0.810，未建立提升或等价；相比旧单任务结果未出现相同的Maze性能崩溃。FourRooms训练预算减半，不能分离预算和双任务训练影响。完整Wilson及配对bootstrap统计见completed_analysis.json。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Maze 与 FourRooms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