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34" w:rsidRDefault="00B27B34" w:rsidP="00B27B3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27B34" w:rsidRPr="00B27B34" w:rsidRDefault="00B27B34" w:rsidP="00B27B3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B27B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ITeyes</w:t>
      </w:r>
      <w:r w:rsidRPr="00B27B34"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  <w:t xml:space="preserve"> </w:t>
      </w:r>
      <w:r w:rsidRPr="00B27B34"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  <w:t>Naver Cloud Platform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  <w:t xml:space="preserve">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Managed</w:t>
      </w:r>
      <w:r w:rsidRPr="00B27B34"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  <w:t xml:space="preserve"> </w:t>
      </w:r>
      <w:r w:rsidRPr="00B27B3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SLA</w:t>
      </w:r>
    </w:p>
    <w:p w:rsidR="00B27B34" w:rsidRDefault="00B27B34" w:rsidP="00B27B3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27B34" w:rsidRPr="00836A60" w:rsidRDefault="00B27B34" w:rsidP="00B27B3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1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Naver Cloud Platform</w:t>
      </w:r>
    </w:p>
    <w:p w:rsidR="00B27B34" w:rsidRPr="00836A60" w:rsidRDefault="00B27B34" w:rsidP="00B27B34">
      <w:pP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:rsidR="00B27B34" w:rsidRPr="00154F82" w:rsidRDefault="00B27B34" w:rsidP="00B27B3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1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Naver Cloud Platform 서비스 이용의 신청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이용 신청자(“신청인”)가 약관에 동의한 후 서비스 이용을 신청하고, 회사가 이에 승인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함으로써 서비스 이용계약(“서비스 계약”)이 성립합니다.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이용 신청 시 신청인은 실명과 실제 정보를 제공해야 합니다. 신청인이 불법적으로 가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명을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사용하거나 거짓 정보를 제공한 경우에는 약관에서 정한 권리를 누리거나 주장할 수 없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으며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회사는 서비스 계약을 해지할 수 있습니다.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신청인이 서비스 신청 시 제공한 개인 정보는 준거법 및 규정, 회사의 개인정보보호 정책에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따라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보호됩니다. 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신청인이 민법상 미성년자인 경우 법정대리인(보호자)의 동의가 있어도 서비스 이용이 불가하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회사는 미성년자의 서비스 신청을 거절할 수 있습니다. 회원은 서비스를 이용함으로써 미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성년자가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아님을 회사에 확인합니다</w:t>
      </w:r>
    </w:p>
    <w:p w:rsidR="00B27B34" w:rsidRDefault="00B27B34" w:rsidP="00B27B3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B27B34" w:rsidRPr="00154F82" w:rsidRDefault="00B27B34" w:rsidP="00B27B3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2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서비스 이용요금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서비스는 크게 약정제 서비스와 시간제 서비스로 구분됩니다.</w:t>
      </w:r>
    </w:p>
    <w:p w:rsidR="00B27B3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특별한 사유가 있지 않는 한 서비스 계약 기간 동안 이용요금이 변경되더라도 변경된 이용요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금은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계약 기간 전체에 걸쳐 소급 적용되지 않습니다. </w:t>
      </w:r>
    </w:p>
    <w:p w:rsidR="00B27B3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27B34" w:rsidRPr="00B27B34" w:rsidRDefault="00B27B34" w:rsidP="00B27B34">
      <w:pP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</w:pPr>
      <w:r w:rsidRPr="00961E8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3</w:t>
      </w:r>
      <w:r w:rsidRP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면책조항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회사는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다음 각 호의 사유로 인하여 발생한 손해에 대해서는 그 책임을 지지 아니합니다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서비스 점검이 불가피하여 사전에 공지한 경우로 회사의 고의, 과실이 없는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국가의 비상사태, 천재지변, 전국적인 네트워크 장애와 또는 이에 준하는 불가항력으로 인해 서비스를 제공할 수 없는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 또는 제3자의 귀책사유로 인한 서비스 이용 장애 발생 시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서비스의 관리 영역을 벗어난 공중 통신선로의 장애로 서비스 이용이 불가능한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전기통신 서비스의 특성상 불가피한 사유가 있는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6.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고객이 법적으로 금지하거나 문제가 있는 응용 및 데이터를 보유하여 회사가 고객의 서비스를 중단한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고객이 직접 구입한 장치나 고객의 요구에 의해 클라우드 제공 장비를 대체하여 설치된 장비 등의 불량으로 서비스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장애가 발생한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8.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고객의 정보시스템에 발생한 사고의 확산을 방지하기 위하여 서비스를 중단한 경우</w:t>
      </w:r>
    </w:p>
    <w:p w:rsidR="00B27B34" w:rsidRPr="00961E84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9.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고객의 계약 정보 및 비상연락처 등의 변경사항 누락으로 불이익이 발생한 경우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</w:p>
    <w:p w:rsidR="00B27B34" w:rsidRPr="00154F82" w:rsidRDefault="00B27B34" w:rsidP="00B27B3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4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해지 수수료</w:t>
      </w:r>
    </w:p>
    <w:p w:rsidR="00B27B34" w:rsidRPr="00B27B34" w:rsidRDefault="00B27B34" w:rsidP="00B27B34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계약이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3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조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면책조항 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또는 기타 회원의 사유로 해지되는 경우, 회원은 해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수수료를 회사에 납부해야 합니다. 해지 수수료는 다음과 같이 산정됩니다.</w:t>
      </w:r>
    </w:p>
    <w:p w:rsidR="00B27B34" w:rsidRPr="00154F82" w:rsidRDefault="00B27B34" w:rsidP="00B27B34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합의한 계약 기간 내에 해지하는 경우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해지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 = [무약정 월 이용 요금] x [이용 기간] x [(약정 기간 계약에 적용되는 할인율)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–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(이용기간의 할인율)] </w:t>
      </w:r>
    </w:p>
    <w:p w:rsidR="00B27B34" w:rsidRPr="00154F82" w:rsidRDefault="00B27B34" w:rsidP="00B27B34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합의한 계약 기간 내에 계약 기간이 줄어든 경우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해지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 = [무약정 월 이용 요금] x [이용 기간] x [(기존의 약정 기간 할인율) - (새로운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약정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기간 할인율)] </w:t>
      </w:r>
    </w:p>
    <w:p w:rsidR="00B27B34" w:rsidRPr="00154F82" w:rsidRDefault="00B27B34" w:rsidP="00B27B34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다음에 해당하는 경우, 회원은 전항의 해지 수수료를 납부하지 않고 서비스 계약을 해지할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수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있습니다. </w:t>
      </w:r>
    </w:p>
    <w:p w:rsidR="00B27B34" w:rsidRPr="00154F82" w:rsidRDefault="00B27B34" w:rsidP="00B27B34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회사의 귀책 사유로 인해 누적 서비스 장애가 한 달 동안 72 시간을 초과한 경우</w:t>
      </w:r>
    </w:p>
    <w:p w:rsidR="00B27B34" w:rsidRPr="00154F82" w:rsidRDefault="00B27B34" w:rsidP="00B27B34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회사의 귀책 사유로 인해 1시간 이상 지속되는 서비스 장애가 한 달 동안 5회 이상 발생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경우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cr/>
      </w:r>
    </w:p>
    <w:p w:rsidR="00B27B34" w:rsidRPr="00154F82" w:rsidRDefault="00B27B34" w:rsidP="00B27B3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5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손해배상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회사의 귀책사유로 인하여 "개별 서비스"에 대하여 회사가 보장한 서비스 수준을 달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성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유지하지 못한 경우에 "개별 서비스" 별로 정해진 서비스 수준 약정(이하 “SLA”)에 따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배상을 진행합니다. “개별 서비스”에 대한 “SLA”가 회사측 사정으로 정해져 있지는 않은 경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우에는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Server 서비스의 “SLA”를 준용하되, 손해배상 수준은 아래의 내용에 따릅니다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27B34" w:rsidTr="00473B68"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 가용률</w:t>
            </w:r>
          </w:p>
        </w:tc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서비스 크레딧</w:t>
            </w:r>
          </w:p>
        </w:tc>
      </w:tr>
      <w:tr w:rsidR="00B27B34" w:rsidTr="00473B68"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9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9.0% 이상 ~ 99.9% 미만</w:t>
            </w:r>
          </w:p>
        </w:tc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 10%</w:t>
            </w:r>
          </w:p>
        </w:tc>
      </w:tr>
      <w:tr w:rsidR="00B27B34" w:rsidTr="00473B68"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95.0% 이상 ~ 99.0% 미만</w:t>
            </w:r>
          </w:p>
        </w:tc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25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</w:t>
            </w:r>
          </w:p>
        </w:tc>
      </w:tr>
      <w:tr w:rsidR="00B27B34" w:rsidTr="00473B68"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95.0% 미만</w:t>
            </w:r>
          </w:p>
        </w:tc>
        <w:tc>
          <w:tcPr>
            <w:tcW w:w="5228" w:type="dxa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 10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0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</w:t>
            </w:r>
          </w:p>
        </w:tc>
      </w:tr>
    </w:tbl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“개별 서비스”를 이용하지 못함으로 인한 회사의 배상책임은 “SLA”에서 정한 것에 한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정되며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회원의 기대이익과 같은 간접적/부수적인 손실에 대하여는 회사가 책임을 부담하지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않습니다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</w:p>
    <w:p w:rsidR="00B27B34" w:rsidRPr="00154F82" w:rsidRDefault="00B27B34" w:rsidP="00B27B3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조항은 회사의 서비스를 유료로 이용하는 회원에게만 적용되며, 무료 서비스 또는 이벤트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등으로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서비스를 무료로 이용하는 회원에게 발생한 손해에 대해서는 회사가 책임지지 않습니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</w:p>
    <w:p w:rsidR="00B27B34" w:rsidRDefault="00B27B34">
      <w:pPr>
        <w:rPr>
          <w:rFonts w:hint="eastAsia"/>
        </w:rPr>
      </w:pPr>
    </w:p>
    <w:p w:rsidR="00B27B34" w:rsidRPr="00E95389" w:rsidRDefault="00B27B34" w:rsidP="00B27B34">
      <w:pPr>
        <w:widowControl/>
        <w:spacing w:after="160" w:line="259" w:lineRule="auto"/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2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장 매니지드 서비스</w:t>
      </w:r>
      <w:bookmarkStart w:id="0" w:name="_GoBack"/>
      <w:bookmarkEnd w:id="0"/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6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용어의 정의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장에서 사용하는 용어의 정의는 다음과 같으며, 본 장은 매니지드 서비스에 한해 적용됩니다.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“매니지드 서비스”(Managed Service)라 함은 회원이 인터넷 서비스를 하기 위해 클라우드 컴퓨팅 서비스 내에서 운영하는 서버 및 네트워크 장비 등의</w:t>
      </w: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시스템을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운영/관리해주는 서비스를 의미합니다.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 w:hint="eastAsia"/>
          <w:sz w:val="24"/>
          <w:szCs w:val="24"/>
        </w:rPr>
        <w:t>7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서비스의 종류 및 범위</w:t>
      </w:r>
    </w:p>
    <w:p w:rsidR="00B27B34" w:rsidRPr="009F69D6" w:rsidRDefault="00B27B34" w:rsidP="00B27B3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회사가 제공하는 기술 지원 서비스는 Linux 및 Windows Server 등 기타 IT기기들을</w:t>
      </w:r>
      <w:r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대상으로24시간 365일 시스템 모니터링 및 상태 체크서비스가 제공됩니다. (단, 회원의 웹사이트 운영 </w:t>
      </w:r>
      <w:r w:rsidRPr="009F69D6">
        <w:rPr>
          <w:rFonts w:ascii="KoPub돋움체 Light" w:eastAsia="KoPub돋움체 Light" w:hAnsi="KoPub돋움체 Light" w:hint="eastAsia"/>
          <w:sz w:val="24"/>
          <w:szCs w:val="24"/>
        </w:rPr>
        <w:t>및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프로그램, HTML과 관계 있는 DB/CGI/Script/파일 내용 등은 서비스 대상이 아니며 시스템</w:t>
      </w:r>
      <w:r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운영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및 관리와 직접 관련이 없는 홈페이지 콘텐츠 및 프로그램 오류 등에 관한 사항 역시</w:t>
      </w:r>
      <w:r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서비스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대상이 아닙니다.)</w:t>
      </w:r>
    </w:p>
    <w:p w:rsidR="00B27B34" w:rsidRPr="00E95389" w:rsidRDefault="00B27B34" w:rsidP="00B27B3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1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서비스의 종류 및 범위</w:t>
      </w:r>
    </w:p>
    <w:p w:rsidR="00B27B34" w:rsidRPr="00E95389" w:rsidRDefault="00B27B34" w:rsidP="00B27B3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가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. </w:t>
      </w:r>
      <w:proofErr w:type="spellStart"/>
      <w:r w:rsidRPr="00E95389">
        <w:rPr>
          <w:rFonts w:ascii="KoPub돋움체 Light" w:eastAsia="KoPub돋움체 Light" w:hAnsi="KoPub돋움체 Light"/>
          <w:sz w:val="24"/>
          <w:szCs w:val="24"/>
        </w:rPr>
        <w:t>매니지드</w:t>
      </w:r>
      <w:proofErr w:type="spellEnd"/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서비스의 종류에 따른 서비스 범위는 각 종류별(등급별) 개별 부가 서비스의 서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비스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내용을 따르며 그 내용은 해당 부가 서비스의 약관에 준합니다.</w:t>
      </w:r>
    </w:p>
    <w:p w:rsidR="00B27B34" w:rsidRPr="00E95389" w:rsidRDefault="00B27B34" w:rsidP="00B27B3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나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. </w:t>
      </w:r>
      <w:proofErr w:type="spellStart"/>
      <w:r w:rsidRPr="00E95389">
        <w:rPr>
          <w:rFonts w:ascii="KoPub돋움체 Light" w:eastAsia="KoPub돋움체 Light" w:hAnsi="KoPub돋움체 Light"/>
          <w:sz w:val="24"/>
          <w:szCs w:val="24"/>
        </w:rPr>
        <w:t>매니지드</w:t>
      </w:r>
      <w:proofErr w:type="spellEnd"/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서비스는 각 부가 서비스를 서비스의 종류(등급)에 따라 통합시킨 패키지 형태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의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서비스입니다.</w:t>
      </w:r>
    </w:p>
    <w:p w:rsidR="00B27B34" w:rsidRPr="00E95389" w:rsidRDefault="00B27B34" w:rsidP="00B27B3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2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이 약관에서 사용하는 용어 중 제</w:t>
      </w:r>
      <w:r>
        <w:rPr>
          <w:rFonts w:ascii="KoPub돋움체 Light" w:eastAsia="KoPub돋움체 Light" w:hAnsi="KoPub돋움체 Light"/>
          <w:sz w:val="24"/>
          <w:szCs w:val="24"/>
        </w:rPr>
        <w:t>12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조에서 정하지 아니한 것은 관계 법령 및 </w:t>
      </w:r>
      <w:proofErr w:type="spellStart"/>
      <w:r w:rsidRPr="00E95389">
        <w:rPr>
          <w:rFonts w:ascii="KoPub돋움체 Light" w:eastAsia="KoPub돋움체 Light" w:hAnsi="KoPub돋움체 Light"/>
          <w:sz w:val="24"/>
          <w:szCs w:val="24"/>
        </w:rPr>
        <w:t>서비스별</w:t>
      </w:r>
      <w:proofErr w:type="spellEnd"/>
      <w:r w:rsidRPr="00E95389">
        <w:rPr>
          <w:rFonts w:ascii="KoPub돋움체 Light" w:eastAsia="KoPub돋움체 Light" w:hAnsi="KoPub돋움체 Light" w:hint="eastAsia"/>
          <w:sz w:val="24"/>
          <w:szCs w:val="24"/>
        </w:rPr>
        <w:t xml:space="preserve"> 안내에서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정하는 바에 따르며, 그 외에는 일반 관례를 따릅니다.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 w:hint="eastAsia"/>
          <w:sz w:val="24"/>
          <w:szCs w:val="24"/>
        </w:rPr>
        <w:t>8</w:t>
      </w:r>
      <w:r w:rsidRPr="00E95389">
        <w:rPr>
          <w:rFonts w:ascii="KoPub돋움체 Bold" w:eastAsia="KoPub돋움체 Bold" w:hAnsi="KoPub돋움체 Bold"/>
          <w:sz w:val="24"/>
          <w:szCs w:val="24"/>
        </w:rPr>
        <w:t>조 이용 계약의 단위</w:t>
      </w:r>
    </w:p>
    <w:p w:rsidR="00B27B34" w:rsidRPr="005911CC" w:rsidRDefault="005911CC" w:rsidP="005911CC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="00B27B34" w:rsidRPr="005911CC">
        <w:rPr>
          <w:rFonts w:ascii="KoPub돋움체 Light" w:eastAsia="KoPub돋움체 Light" w:hAnsi="KoPub돋움체 Light"/>
          <w:sz w:val="24"/>
          <w:szCs w:val="24"/>
        </w:rPr>
        <w:t xml:space="preserve"> “회사”의 모든 서비스에서 제공되는 시스템(서버 또는 하드웨어)이 기본 단위이며, 기본 </w:t>
      </w:r>
      <w:proofErr w:type="spellStart"/>
      <w:r w:rsidR="00B27B34" w:rsidRPr="005911CC">
        <w:rPr>
          <w:rFonts w:ascii="KoPub돋움체 Light" w:eastAsia="KoPub돋움체 Light" w:hAnsi="KoPub돋움체 Light"/>
          <w:sz w:val="24"/>
          <w:szCs w:val="24"/>
        </w:rPr>
        <w:t>단위</w:t>
      </w:r>
      <w:r w:rsidR="00B27B34" w:rsidRPr="005911CC">
        <w:rPr>
          <w:rFonts w:ascii="KoPub돋움체 Light" w:eastAsia="KoPub돋움체 Light" w:hAnsi="KoPub돋움체 Light" w:hint="eastAsia"/>
          <w:sz w:val="24"/>
          <w:szCs w:val="24"/>
        </w:rPr>
        <w:t>별</w:t>
      </w:r>
      <w:proofErr w:type="spellEnd"/>
      <w:r w:rsidR="00B27B34" w:rsidRPr="005911CC">
        <w:rPr>
          <w:rFonts w:ascii="KoPub돋움체 Light" w:eastAsia="KoPub돋움체 Light" w:hAnsi="KoPub돋움체 Light"/>
          <w:sz w:val="24"/>
          <w:szCs w:val="24"/>
        </w:rPr>
        <w:t xml:space="preserve"> (</w:t>
      </w:r>
      <w:r w:rsidRPr="005911CC">
        <w:rPr>
          <w:rFonts w:ascii="KoPub돋움체 Light" w:eastAsia="KoPub돋움체 Light" w:hAnsi="KoPub돋움체 Light" w:hint="eastAsia"/>
          <w:sz w:val="24"/>
          <w:szCs w:val="24"/>
        </w:rPr>
        <w:t>VM가상머신</w:t>
      </w:r>
      <w:r w:rsidR="00B27B34" w:rsidRPr="005911CC">
        <w:rPr>
          <w:rFonts w:ascii="KoPub돋움체 Light" w:eastAsia="KoPub돋움체 Light" w:hAnsi="KoPub돋움체 Light"/>
          <w:sz w:val="24"/>
          <w:szCs w:val="24"/>
        </w:rPr>
        <w:t xml:space="preserve"> 1대당)로 </w:t>
      </w:r>
      <w:proofErr w:type="spellStart"/>
      <w:r w:rsidR="00B27B34" w:rsidRPr="005911CC">
        <w:rPr>
          <w:rFonts w:ascii="KoPub돋움체 Light" w:eastAsia="KoPub돋움체 Light" w:hAnsi="KoPub돋움체 Light"/>
          <w:sz w:val="24"/>
          <w:szCs w:val="24"/>
        </w:rPr>
        <w:t>매니지드</w:t>
      </w:r>
      <w:proofErr w:type="spellEnd"/>
      <w:r w:rsidR="00B27B34" w:rsidRPr="005911CC">
        <w:rPr>
          <w:rFonts w:ascii="KoPub돋움체 Light" w:eastAsia="KoPub돋움체 Light" w:hAnsi="KoPub돋움체 Light"/>
          <w:sz w:val="24"/>
          <w:szCs w:val="24"/>
        </w:rPr>
        <w:t xml:space="preserve"> 서비스 요금이 각각 합산됩니다.</w:t>
      </w:r>
    </w:p>
    <w:p w:rsidR="00B27B34" w:rsidRPr="00E95389" w:rsidRDefault="00B27B34" w:rsidP="00B27B34"/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 w:hint="eastAsia"/>
          <w:sz w:val="24"/>
          <w:szCs w:val="24"/>
        </w:rPr>
        <w:t>9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 이용요금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 종류별로 서비스 요금이 달리 부과될 수 있습니다.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E95389">
        <w:rPr>
          <w:rFonts w:ascii="KoPub돋움체 Light" w:eastAsia="KoPub돋움체 Light" w:hAnsi="KoPub돋움체 Light"/>
          <w:sz w:val="24"/>
          <w:szCs w:val="24"/>
        </w:rPr>
        <w:t>매니지드</w:t>
      </w:r>
      <w:proofErr w:type="spellEnd"/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서비스에 포함되지 않는 별도 추가지원 사항에 대해서는 기타 지원 서비스의 가격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에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따라 개별 요금 부과됩니다.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③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회사는 이용요금 납입을 위한 청구서를 서비스 이용요금 청구와 함께 회원에게 발송하며, 회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원은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청구 일(공휴일인 경우 익일)까지 요금을 납입하여야 합니다.</w:t>
      </w:r>
    </w:p>
    <w:p w:rsidR="00B27B34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④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체납한 이용 요금이 있는 경우 익월 이용 요금에 합산하여 청구하고, 이용약관에 따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가산금을 부과할 수 있습니다.</w:t>
      </w: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:rsidR="00B27B34" w:rsidRPr="00E95389" w:rsidRDefault="00B27B34" w:rsidP="00B27B34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 w:hint="eastAsia"/>
          <w:sz w:val="24"/>
          <w:szCs w:val="24"/>
        </w:rPr>
        <w:t>10</w:t>
      </w:r>
      <w:r w:rsidRPr="00E95389">
        <w:rPr>
          <w:rFonts w:ascii="KoPub돋움체 Bold" w:eastAsia="KoPub돋움체 Bold" w:hAnsi="KoPub돋움체 Bold"/>
          <w:sz w:val="24"/>
          <w:szCs w:val="24"/>
        </w:rPr>
        <w:t>조 손해배상</w:t>
      </w:r>
    </w:p>
    <w:p w:rsidR="00B27B34" w:rsidRDefault="00B27B34" w:rsidP="00B27B34">
      <w:pPr>
        <w:pStyle w:val="a4"/>
        <w:widowControl/>
        <w:numPr>
          <w:ilvl w:val="0"/>
          <w:numId w:val="1"/>
        </w:numPr>
        <w:spacing w:after="160" w:line="259" w:lineRule="auto"/>
        <w:ind w:leftChars="0" w:left="284" w:hanging="284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2306C9">
        <w:rPr>
          <w:rFonts w:ascii="KoPub돋움체 Light" w:eastAsia="KoPub돋움체 Light" w:hAnsi="KoPub돋움체 Light"/>
          <w:sz w:val="24"/>
          <w:szCs w:val="24"/>
        </w:rPr>
        <w:t xml:space="preserve"> 데이터 손실로 인해 서비스가 중단된 경우 데이터 내재 가치 및 그로 인한 영업 손실에 대해</w:t>
      </w:r>
      <w:r w:rsidRPr="002306C9">
        <w:rPr>
          <w:rFonts w:ascii="KoPub돋움체 Light" w:eastAsia="KoPub돋움체 Light" w:hAnsi="KoPub돋움체 Light" w:hint="eastAsia"/>
          <w:sz w:val="24"/>
          <w:szCs w:val="24"/>
        </w:rPr>
        <w:t xml:space="preserve"> 서는</w:t>
      </w:r>
      <w:r w:rsidRPr="002306C9">
        <w:rPr>
          <w:rFonts w:ascii="KoPub돋움체 Light" w:eastAsia="KoPub돋움체 Light" w:hAnsi="KoPub돋움체 Light"/>
          <w:sz w:val="24"/>
          <w:szCs w:val="24"/>
        </w:rPr>
        <w:t xml:space="preserve"> 보상하지 않습니다.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서비스의 이용과 관련하여 회사에게 책임이 없는 사유로 회원에게 발생한 손해에 대해 어떠한 책임도 지지 않습니다.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③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Pr="009F69D6">
        <w:rPr>
          <w:rFonts w:ascii="KoPub돋움체 Light" w:eastAsia="KoPub돋움체 Light" w:hAnsi="KoPub돋움체 Light"/>
          <w:sz w:val="24"/>
          <w:szCs w:val="24"/>
        </w:rPr>
        <w:t>면책시켜야</w:t>
      </w:r>
      <w:proofErr w:type="spellEnd"/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하며, 회사가 면책되지 못한 경우 당해 회원은 그로 인하여 회사에 발생한 모든 손해를 배상하여야 합니다.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회사에게 책임 있는 사유로 장애가 발생하여 회원이 손해를 입은 경우에도 서비스 약관의 개별 서비스 수준 약관(SLA)이 존재할 경우, 그에 따른 Credit 제공으로 손해배상을 갈음하며, 그 외에 추가 손해배상은 없습니다.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다음 각호의 사유에 의해 회원에게 손해가 발생한 경우 회원에게 손해배상 책임을 부담하지 않습니다.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1. 회원이 직접 구입한 </w:t>
      </w:r>
      <w:proofErr w:type="spellStart"/>
      <w:r w:rsidRPr="009F69D6">
        <w:rPr>
          <w:rFonts w:ascii="KoPub돋움체 Light" w:eastAsia="KoPub돋움체 Light" w:hAnsi="KoPub돋움체 Light"/>
          <w:sz w:val="24"/>
          <w:szCs w:val="24"/>
        </w:rPr>
        <w:t>단말장치</w:t>
      </w:r>
      <w:proofErr w:type="spellEnd"/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등의 불량으로 서비스 장애가 발생한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2. 전시, 사변, 화재, 천재지변 또는 이에 준하는 국가비상사태 등 불가항력적인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3. 회원의 고의나 과실로 인해 발생한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4. 전기통신서비스의 특성상 불가피한 사유가 있는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5. 회원의 정보시스템에 발생한 사고의 확산을 방지하기 위한 서비스 중단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6. 서비스의 장애가 타 사업자가 제공하는 서비스에 의한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7. 서비스 점검이 불가피하여 사전에 공지한 경우로 회사의 고의, 중과실이 없는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8. 사전 공지된 정기점검으로 서비스를 중지했을 경우</w:t>
      </w:r>
    </w:p>
    <w:p w:rsidR="00B27B34" w:rsidRPr="009F69D6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9. 기타 회사의 고의 또는 과실이 아닌 사유로 서비스 장애가 발생하거나 파일 손상이 있는 경우</w:t>
      </w: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⑥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회원의 서비스와 관련하여 타인의 지식재산권 위반 등의 범죄행위로 인한 민형사상의 책임을 부담하지 않습니다. 만약 이로 인하여 회사가 타인으로부터 손해배상청구 등 이의 제기를 받은 경우 회원은 회사를 면책하고 자신의 비용과 책임으로 처리하여야 하며, 회원은 그로 인해 회사에 발생한 모든 손해를 배상하여야 합니다.</w:t>
      </w: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</w:t>
      </w:r>
      <w:r>
        <w:rPr>
          <w:rFonts w:ascii="KoPub돋움체 Light" w:eastAsia="KoPub돋움체 Light" w:hAnsi="KoPub돋움체 Light" w:hint="eastAsia"/>
          <w:sz w:val="22"/>
          <w:szCs w:val="24"/>
        </w:rPr>
        <w:t>별첨1</w:t>
      </w:r>
      <w:r w:rsidRPr="008E256C">
        <w:rPr>
          <w:rFonts w:ascii="KoPub돋움체 Light" w:eastAsia="KoPub돋움체 Light" w:hAnsi="KoPub돋움체 Light"/>
          <w:sz w:val="22"/>
          <w:szCs w:val="24"/>
        </w:rPr>
        <w:t>]</w:t>
      </w:r>
      <w:r>
        <w:rPr>
          <w:rFonts w:ascii="KoPub돋움체 Light" w:eastAsia="KoPub돋움체 Light" w:hAnsi="KoPub돋움체 Light"/>
          <w:sz w:val="22"/>
          <w:szCs w:val="24"/>
        </w:rPr>
        <w:t xml:space="preserve"> </w:t>
      </w:r>
      <w:proofErr w:type="spellStart"/>
      <w:r>
        <w:rPr>
          <w:rFonts w:ascii="KoPub돋움체 Light" w:eastAsia="KoPub돋움체 Light" w:hAnsi="KoPub돋움체 Light" w:hint="eastAsia"/>
          <w:sz w:val="22"/>
          <w:szCs w:val="24"/>
        </w:rPr>
        <w:t>매니지드</w:t>
      </w:r>
      <w:proofErr w:type="spellEnd"/>
      <w:r>
        <w:rPr>
          <w:rFonts w:ascii="KoPub돋움체 Light" w:eastAsia="KoPub돋움체 Light" w:hAnsi="KoPub돋움체 Light" w:hint="eastAsia"/>
          <w:sz w:val="22"/>
          <w:szCs w:val="24"/>
        </w:rPr>
        <w:t xml:space="preserve"> 서비스 범위 </w:t>
      </w:r>
    </w:p>
    <w:p w:rsidR="00B27B34" w:rsidRPr="00D51777" w:rsidRDefault="00B27B34" w:rsidP="00B27B34">
      <w:pPr>
        <w:spacing w:after="0"/>
        <w:rPr>
          <w:rFonts w:ascii="KoPub돋움체 Light" w:eastAsia="KoPub돋움체 Light" w:hAnsi="KoPub돋움체 Light" w:hint="eastAsia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410"/>
        <w:gridCol w:w="1814"/>
      </w:tblGrid>
      <w:tr w:rsidR="00B27B34" w:rsidTr="00473B68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B27B34" w:rsidRPr="00BC78FC" w:rsidRDefault="00B27B34" w:rsidP="00473B68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서비스 영역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B27B34" w:rsidRPr="00BC78FC" w:rsidRDefault="00B27B34" w:rsidP="00473B68">
            <w:pPr>
              <w:widowControl/>
              <w:spacing w:after="0" w:line="240" w:lineRule="auto"/>
              <w:jc w:val="center"/>
              <w:rPr>
                <w:rFonts w:ascii="KoPub돋움체 Bold" w:eastAsia="KoPub돋움체 Bold" w:hAnsi="KoPub돋움체 Bold" w:cs="Calibri"/>
                <w:color w:val="000000"/>
                <w:sz w:val="20"/>
                <w:szCs w:val="20"/>
              </w:rPr>
            </w:pPr>
            <w:r w:rsidRPr="00BC78FC">
              <w:rPr>
                <w:rFonts w:ascii="KoPub돋움체 Bold" w:eastAsia="KoPub돋움체 Bold" w:hAnsi="KoPub돋움체 Bold" w:cs="Calibri" w:hint="eastAsia"/>
                <w:color w:val="000000"/>
                <w:sz w:val="20"/>
                <w:szCs w:val="20"/>
              </w:rPr>
              <w:t>주요업무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B27B34" w:rsidRPr="00BC78FC" w:rsidRDefault="00B27B34" w:rsidP="00473B68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기본 지원 여부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B27B34" w:rsidRPr="00BC78FC" w:rsidRDefault="00B27B34" w:rsidP="00473B68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비고</w:t>
            </w: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일반 응대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일반 문의 가이드 지원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서비스 데스크 이메일 기술 지원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구성 배포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기본 아키텍처 디자인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구축 및 환경 설정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테스트 및 </w:t>
            </w: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PoC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진행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관리지원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리포팅</w:t>
            </w:r>
            <w:proofErr w:type="spellEnd"/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운영관리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24×365 모니터링 및 관제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서비스 요청(SR) 대응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 관리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계정 관리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OS관리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표준 SLA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전문지원</w:t>
            </w:r>
            <w:proofErr w:type="spellEnd"/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전담인력 지원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WEB/WAS 설치 Trouble Shooting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설치형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DB 설치 Trouble Shooting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3rd Party Application 설치 Trouble Shooting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기타 운영 문의 가이드 대응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교육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일반 교육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CSP 기본 교육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신기술 교육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멀티 </w:t>
            </w: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클라우드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교육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IT Trend 교육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전문엔지니어 지원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사전점검 지원서비스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지원내역 보고(장애,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월 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회 정기 </w:t>
            </w: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리포팅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Pr="00BC78FC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긴급 기술지원 서비스(근무시간 긴급 문제 해결)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실시간 모니터링 서비스(1:1전담,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응급복구)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 w:val="restart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모니터링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서비스</w:t>
            </w: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로그분석 서비스(시스템 로그)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로그분석 리포트(시스템 로그)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통합 모니터링(H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ealth Check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 문자발송)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트래픽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모니터링(</w:t>
            </w:r>
            <w:proofErr w:type="spellStart"/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OS로그 모니터링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c>
          <w:tcPr>
            <w:tcW w:w="2122" w:type="dxa"/>
            <w:vMerge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모니터링 최적 </w:t>
            </w: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임계치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설정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27B34" w:rsidTr="00473B68">
        <w:trPr>
          <w:trHeight w:val="50"/>
        </w:trPr>
        <w:tc>
          <w:tcPr>
            <w:tcW w:w="2122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장애처리</w:t>
            </w:r>
            <w:proofErr w:type="spellEnd"/>
          </w:p>
        </w:tc>
        <w:tc>
          <w:tcPr>
            <w:tcW w:w="4110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장애조치</w:t>
            </w:r>
            <w:proofErr w:type="spellEnd"/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O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S계층의 조치, 덤프 분석 제외)</w:t>
            </w:r>
          </w:p>
        </w:tc>
        <w:tc>
          <w:tcPr>
            <w:tcW w:w="2410" w:type="dxa"/>
            <w:vAlign w:val="center"/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24시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36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5일대응</w:t>
            </w:r>
          </w:p>
        </w:tc>
      </w:tr>
    </w:tbl>
    <w:p w:rsidR="00B27B34" w:rsidRPr="00D51777" w:rsidRDefault="00B27B34" w:rsidP="00B27B34">
      <w:pPr>
        <w:spacing w:before="240" w:after="0"/>
        <w:rPr>
          <w:rFonts w:ascii="KoPub돋움체 Bold" w:eastAsia="KoPub돋움체 Bold" w:hAnsi="KoPub돋움체 Bold"/>
          <w:sz w:val="22"/>
          <w:szCs w:val="24"/>
        </w:rPr>
      </w:pPr>
      <w:r>
        <w:rPr>
          <w:rFonts w:ascii="KoPub돋움체 Bold" w:eastAsia="KoPub돋움체 Bold" w:hAnsi="KoPub돋움체 Bold" w:hint="eastAsia"/>
          <w:sz w:val="22"/>
          <w:szCs w:val="24"/>
        </w:rPr>
        <w:t xml:space="preserve">• </w:t>
      </w:r>
      <w:proofErr w:type="spellStart"/>
      <w:r w:rsidRPr="00D51777">
        <w:rPr>
          <w:rFonts w:ascii="KoPub돋움체 Bold" w:eastAsia="KoPub돋움체 Bold" w:hAnsi="KoPub돋움체 Bold" w:hint="eastAsia"/>
          <w:sz w:val="22"/>
          <w:szCs w:val="24"/>
        </w:rPr>
        <w:t>매니지드</w:t>
      </w:r>
      <w:proofErr w:type="spellEnd"/>
      <w:r w:rsidRPr="00D51777">
        <w:rPr>
          <w:rFonts w:ascii="KoPub돋움체 Bold" w:eastAsia="KoPub돋움체 Bold" w:hAnsi="KoPub돋움체 Bold" w:hint="eastAsia"/>
          <w:sz w:val="22"/>
          <w:szCs w:val="24"/>
        </w:rPr>
        <w:t xml:space="preserve"> 서비스 비용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27B34" w:rsidTr="00473B68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B34" w:rsidRDefault="00B27B34" w:rsidP="00473B68">
            <w:pPr>
              <w:spacing w:after="0"/>
              <w:jc w:val="center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VM(가상 머신) 1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개당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B34" w:rsidRDefault="00B27B34" w:rsidP="00473B68">
            <w:pPr>
              <w:spacing w:after="0"/>
              <w:jc w:val="right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200,000원(VAT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별도)</w:t>
            </w:r>
          </w:p>
        </w:tc>
        <w:tc>
          <w:tcPr>
            <w:tcW w:w="2614" w:type="dxa"/>
            <w:tcBorders>
              <w:left w:val="single" w:sz="4" w:space="0" w:color="auto"/>
            </w:tcBorders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  <w:tc>
          <w:tcPr>
            <w:tcW w:w="2614" w:type="dxa"/>
          </w:tcPr>
          <w:p w:rsidR="00B27B34" w:rsidRDefault="00B27B34" w:rsidP="00473B68">
            <w:pPr>
              <w:spacing w:after="0"/>
              <w:rPr>
                <w:rFonts w:ascii="KoPub돋움체 Light" w:eastAsia="KoPub돋움체 Light" w:hAnsi="KoPub돋움체 Light" w:hint="eastAsia"/>
                <w:sz w:val="22"/>
                <w:szCs w:val="24"/>
              </w:rPr>
            </w:pPr>
          </w:p>
        </w:tc>
      </w:tr>
    </w:tbl>
    <w:p w:rsidR="00B27B34" w:rsidRDefault="00B27B34" w:rsidP="00B27B34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:rsidR="00B27B34" w:rsidRPr="00B27B34" w:rsidRDefault="00B27B34">
      <w:pPr>
        <w:rPr>
          <w:rFonts w:hint="eastAsia"/>
        </w:rPr>
      </w:pPr>
    </w:p>
    <w:sectPr w:rsidR="00B27B34" w:rsidRPr="00B27B34" w:rsidSect="00B27B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7F54"/>
    <w:multiLevelType w:val="hybridMultilevel"/>
    <w:tmpl w:val="DFB2323E"/>
    <w:lvl w:ilvl="0" w:tplc="04AA322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9A3CD2"/>
    <w:multiLevelType w:val="hybridMultilevel"/>
    <w:tmpl w:val="1806F8A2"/>
    <w:lvl w:ilvl="0" w:tplc="771ABBF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4"/>
    <w:rsid w:val="00264169"/>
    <w:rsid w:val="005911CC"/>
    <w:rsid w:val="00B111A2"/>
    <w:rsid w:val="00B27B34"/>
    <w:rsid w:val="00CC1174"/>
    <w:rsid w:val="00D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31C2"/>
  <w15:chartTrackingRefBased/>
  <w15:docId w15:val="{F802D0F2-8746-448B-9245-79F85DE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B34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B3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27B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27B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dmoz0713@gmail.com</dc:creator>
  <cp:keywords/>
  <dc:description/>
  <cp:lastModifiedBy>dmoz0713@gmail.com</cp:lastModifiedBy>
  <cp:revision>3</cp:revision>
  <cp:lastPrinted>2021-02-15T04:52:00Z</cp:lastPrinted>
  <dcterms:created xsi:type="dcterms:W3CDTF">2021-02-15T04:57:00Z</dcterms:created>
  <dcterms:modified xsi:type="dcterms:W3CDTF">2021-02-15T05:11:00Z</dcterms:modified>
</cp:coreProperties>
</file>