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13.02.2025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12/2025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13.02.2025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12/2025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Aladin Kapić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prisustvovao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„Nova šansa 2025“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18.02.2025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Mjesto održavanja obuke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