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Author"/>
      </w:pPr>
      <w:r>
        <w:t xml:space="preserve">Cassia</w:t>
      </w:r>
      <w:r>
        <w:t xml:space="preserve"> </w:t>
      </w:r>
      <w:r>
        <w:t xml:space="preserve">Roth</w:t>
      </w:r>
    </w:p>
    <w:p>
      <w:pPr>
        <w:pStyle w:val="Date"/>
      </w:pPr>
      <w:r>
        <w:t xml:space="preserve">2024-07-24</w:t>
      </w:r>
    </w:p>
    <w:bookmarkStart w:id="71" w:name="supplemental-materials"/>
    <w:p>
      <w:pPr>
        <w:pStyle w:val="Heading1"/>
      </w:pPr>
      <w:r>
        <w:t xml:space="preserve">1. Supplemental Materials</w:t>
      </w:r>
    </w:p>
    <w:bookmarkStart w:id="20" w:name="schematic-of-workflow"/>
    <w:p>
      <w:pPr>
        <w:pStyle w:val="Heading2"/>
      </w:pPr>
      <w:r>
        <w:t xml:space="preserve">1.1 Schematic of workflow</w:t>
      </w:r>
    </w:p>
    <w:p>
      <w:pPr>
        <w:pStyle w:val="FirstParagraph"/>
      </w:pPr>
      <w:r>
        <w:t xml:space="preserve">If reproducing this analysis, please run code in the following order: 1)</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2)</w:t>
      </w:r>
      <w:r>
        <w:t xml:space="preserve"> </w:t>
      </w:r>
      <w:r>
        <w:rPr>
          <w:rStyle w:val="VerbatimChar"/>
        </w:rPr>
        <w:t xml:space="preserve">eda-v1.qmd</w:t>
      </w:r>
      <w:r>
        <w:t xml:space="preserve"> </w:t>
      </w:r>
      <w:r>
        <w:t xml:space="preserve">or</w:t>
      </w:r>
      <w:r>
        <w:t xml:space="preserve"> </w:t>
      </w:r>
      <w:r>
        <w:rPr>
          <w:rStyle w:val="VerbatimChar"/>
        </w:rPr>
        <w:t xml:space="preserve">edacode.R</w:t>
      </w:r>
      <w:r>
        <w:t xml:space="preserve"> </w:t>
      </w:r>
      <w:r>
        <w:t xml:space="preserve">in the</w:t>
      </w:r>
      <w:r>
        <w:t xml:space="preserve"> </w:t>
      </w:r>
      <w:r>
        <w:rPr>
          <w:rStyle w:val="VerbatimChar"/>
        </w:rPr>
        <w:t xml:space="preserve">eda-code</w:t>
      </w:r>
      <w:r>
        <w:t xml:space="preserve"> </w:t>
      </w:r>
      <w:r>
        <w:t xml:space="preserve">folder; 3)</w:t>
      </w:r>
      <w:r>
        <w:t xml:space="preserve"> </w:t>
      </w:r>
      <w:r>
        <w:rPr>
          <w:rStyle w:val="VerbatimChar"/>
        </w:rPr>
        <w:t xml:space="preserve">introanalyis-v1.qmd</w:t>
      </w:r>
      <w:r>
        <w:t xml:space="preserve"> </w:t>
      </w:r>
      <w:r>
        <w:t xml:space="preserve">or</w:t>
      </w:r>
      <w:r>
        <w:t xml:space="preserve"> </w:t>
      </w:r>
      <w:r>
        <w:rPr>
          <w:rStyle w:val="VerbatimChar"/>
        </w:rPr>
        <w:t xml:space="preserve">introanalysis.R</w:t>
      </w:r>
      <w:r>
        <w:t xml:space="preserve"> </w:t>
      </w:r>
      <w:r>
        <w:t xml:space="preserve">in the</w:t>
      </w:r>
      <w:r>
        <w:t xml:space="preserve"> </w:t>
      </w:r>
      <w:r>
        <w:rPr>
          <w:rStyle w:val="VerbatimChar"/>
        </w:rPr>
        <w:t xml:space="preserve">analysis-code</w:t>
      </w:r>
      <w:r>
        <w:t xml:space="preserve"> </w:t>
      </w:r>
      <w:r>
        <w:t xml:space="preserve">folder; 4)</w:t>
      </w:r>
      <w:r>
        <w:t xml:space="preserve"> </w:t>
      </w:r>
      <w:r>
        <w:rPr>
          <w:rStyle w:val="VerbatimChar"/>
        </w:rPr>
        <w:t xml:space="preserve">fullanalysis-v1.qmd</w:t>
      </w:r>
      <w:r>
        <w:t xml:space="preserve"> </w:t>
      </w:r>
      <w:r>
        <w:t xml:space="preserve">or</w:t>
      </w:r>
      <w:r>
        <w:t xml:space="preserve"> </w:t>
      </w:r>
      <w:r>
        <w:rPr>
          <w:rStyle w:val="VerbatimChar"/>
        </w:rPr>
        <w:t xml:space="preserve">fullanalysiscode.R</w:t>
      </w:r>
      <w:r>
        <w:t xml:space="preserve"> </w:t>
      </w:r>
      <w:r>
        <w:t xml:space="preserve">in the</w:t>
      </w:r>
      <w:r>
        <w:t xml:space="preserve"> </w:t>
      </w:r>
      <w:r>
        <w:rPr>
          <w:rStyle w:val="VerbatimChar"/>
        </w:rPr>
        <w:t xml:space="preserve">analysis-code</w:t>
      </w:r>
      <w:r>
        <w:t xml:space="preserve"> </w:t>
      </w:r>
      <w:r>
        <w:t xml:space="preserve">folder. Please defer to all</w:t>
      </w:r>
      <w:r>
        <w:t xml:space="preserve"> </w:t>
      </w:r>
      <w:r>
        <w:rPr>
          <w:rStyle w:val="VerbatimChar"/>
        </w:rPr>
        <w:t xml:space="preserve">.qmd</w:t>
      </w:r>
      <w:r>
        <w:t xml:space="preserve"> </w:t>
      </w:r>
      <w:r>
        <w:t xml:space="preserve">files as the master over any</w:t>
      </w:r>
      <w:r>
        <w:t xml:space="preserve"> </w:t>
      </w:r>
      <w:r>
        <w:rPr>
          <w:rStyle w:val="VerbatimChar"/>
        </w:rPr>
        <w:t xml:space="preserve">.R</w:t>
      </w:r>
      <w:r>
        <w:t xml:space="preserve"> </w:t>
      </w:r>
      <w:r>
        <w:t xml:space="preserve">files.</w:t>
      </w:r>
    </w:p>
    <w:bookmarkEnd w:id="20"/>
    <w:bookmarkStart w:id="21" w:name="data-import-and-cleaning"/>
    <w:p>
      <w:pPr>
        <w:pStyle w:val="Heading2"/>
      </w:pPr>
      <w:r>
        <w:t xml:space="preserve">1.2 Data import and cleaning</w:t>
      </w:r>
    </w:p>
    <w:p>
      <w:pPr>
        <w:pStyle w:val="FirstParagraph"/>
      </w:pPr>
      <w:r>
        <w:t xml:space="preserve">The GitHub repository for this project includes all relevant materials. All discussions of data import are detailed in the files</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The original raw data, the codebook, and the processed data are available in the</w:t>
      </w:r>
      <w:r>
        <w:t xml:space="preserve"> </w:t>
      </w:r>
      <w:r>
        <w:rPr>
          <w:rStyle w:val="VerbatimChar"/>
        </w:rPr>
        <w:t xml:space="preserve">data</w:t>
      </w:r>
      <w:r>
        <w:t xml:space="preserve"> </w:t>
      </w:r>
      <w:r>
        <w:t xml:space="preserve">folder.</w:t>
      </w:r>
    </w:p>
    <w:bookmarkEnd w:id="21"/>
    <w:bookmarkStart w:id="24" w:name="data-source"/>
    <w:p>
      <w:pPr>
        <w:pStyle w:val="Heading2"/>
      </w:pPr>
      <w:r>
        <w:t xml:space="preserve">1.3 Data Source</w:t>
      </w:r>
    </w:p>
    <w:p>
      <w:pPr>
        <w:pStyle w:val="FirstParagraph"/>
      </w:pPr>
      <w:r>
        <w:t xml:space="preserve">In this paper, I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rPr>
          <w:rStyle w:val="FootnoteReference"/>
        </w:rPr>
        <w:footnoteReference w:id="22"/>
      </w:r>
    </w:p>
    <w:p>
      <w:pPr>
        <w:pStyle w:val="BodyText"/>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 For more information on this as a source, see my other publications.</w:t>
      </w:r>
      <w:r>
        <w:rPr>
          <w:rStyle w:val="FootnoteReference"/>
        </w:rPr>
        <w:footnoteReference w:id="23"/>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w:t>
      </w:r>
    </w:p>
    <w:bookmarkEnd w:id="24"/>
    <w:bookmarkStart w:id="27" w:name="study-measures"/>
    <w:p>
      <w:pPr>
        <w:pStyle w:val="Heading2"/>
      </w:pPr>
      <w:r>
        <w:t xml:space="preserve">1.4 Study Measures</w:t>
      </w:r>
    </w:p>
    <w:p>
      <w:pPr>
        <w:pStyle w:val="FirstParagraph"/>
      </w:pPr>
      <w:r>
        <w:t xml:space="preserve">There are three continuous variables: maternal age, infant birth weight, and infant length. There are nine categorical variables: skin color; ancestry; parity; nationality; combined nationality; birth outcome; maternal outcome; fetal outcome; and fetal sex.</w:t>
      </w:r>
    </w:p>
    <w:bookmarkStart w:id="26" w:name="full-summary-table"/>
    <w:p>
      <w:pPr>
        <w:pStyle w:val="Heading3"/>
      </w:pPr>
      <w:r>
        <w:t xml:space="preserve">1.4.1 Full Summary Table</w:t>
      </w:r>
    </w:p>
    <w:p>
      <w:pPr>
        <w:pStyle w:val="FirstParagraph"/>
      </w:pPr>
      <w:r>
        <w:t xml:space="preserve">Here is the code for the full summary table of all variables.</w:t>
      </w:r>
    </w:p>
    <w:tbl>
      <w:tblPr>
        <w:tblStyle w:val="Table"/>
        <w:tblW w:type="pct" w:w="5000"/>
        <w:tblLook w:firstRow="0" w:lastRow="0" w:firstColumn="0" w:lastColumn="0" w:noHBand="0" w:noVBand="0" w:val="0000"/>
        <w:jc w:val="start"/>
        <w:tblLayout w:type="fixed"/>
      </w:tblPr>
      <w:tblGrid>
        <w:gridCol w:w="7920"/>
      </w:tblGrid>
      <w:tr>
        <w:tc>
          <w:tcPr/>
          <w:bookmarkStart w:id="25" w:name="tbl-tablesupplemental"/>
          <w:p>
            <w:pPr>
              <w:jc w:val="center"/>
            </w:pPr>
            <w:pPr>
              <w:jc w:val="start"/>
              <w:spacing w:before="200"/>
              <w:pStyle w:val="ImageCaption"/>
            </w:pPr>
            <w:r>
              <w:t xml:space="preserve">Table 1: Supplemental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06"/>
              <w:gridCol w:w="961"/>
              <w:gridCol w:w="1609"/>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or Gravidity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(5.0%)</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(0.2%)</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 (18%)</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 (35%)</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1,084 (38%)</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(2.4%)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(5.8)</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(0.5%)</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59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59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(3.9)</w:t>
                  </w:r>
                </w:p>
              </w:tc>
            </w:tr>
            <w:tr>
              <w:trPr>
                <w:trHeight w:val="620" w:hRule="auto"/>
              </w:trPr>
              body58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(grms)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(567)</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w:t>
                  </w:r>
                </w:p>
              </w:tc>
            </w:tr>
          </w:tbl>
          <w:bookmarkEnd w:id="25"/>
        </w:tc>
      </w:tr>
    </w:tbl>
    <w:bookmarkEnd w:id="26"/>
    <w:bookmarkEnd w:id="27"/>
    <w:bookmarkStart w:id="49" w:name="basic-statistical-analysis"/>
    <w:p>
      <w:pPr>
        <w:pStyle w:val="Heading2"/>
      </w:pPr>
      <w:r>
        <w:t xml:space="preserve">1.5 Basic Statistical Analysis</w:t>
      </w:r>
    </w:p>
    <w:p>
      <w:pPr>
        <w:pStyle w:val="FirstParagraph"/>
      </w:pPr>
      <w:r>
        <w:t xml:space="preserve">To better understand our outcome of interest, birth weight, the exploratory analysis includes the distribution of the data. Figure 1 is a histogram of the birth weight data, with the two dotted red lines marking the upper and lower limits of what the WHO now defines as normal birth weight.</w:t>
      </w:r>
      <w:r>
        <w:rPr>
          <w:rStyle w:val="FootnoteReference"/>
        </w:rPr>
        <w:footnoteReference w:id="28"/>
      </w:r>
    </w:p>
    <w:tbl>
      <w:tblPr>
        <w:tblStyle w:val="Table"/>
        <w:tblW w:type="pct" w:w="5000"/>
        <w:tblLook w:firstRow="0" w:lastRow="0" w:firstColumn="0" w:lastColumn="0" w:noHBand="0" w:noVBand="0" w:val="0000"/>
        <w:jc w:val="start"/>
        <w:tblLayout w:type="fixed"/>
      </w:tblPr>
      <w:tblGrid>
        <w:gridCol w:w="7920"/>
      </w:tblGrid>
      <w:tr>
        <w:tc>
          <w:tcPr/>
          <w:bookmarkStart w:id="32" w:name="fig-schematic-1"/>
          <w:p>
            <w:pPr>
              <w:pStyle w:val="Compact"/>
              <w:jc w:val="center"/>
            </w:pPr>
            <w:r>
              <w:drawing>
                <wp:inline>
                  <wp:extent cx="5334000" cy="3295031"/>
                  <wp:effectExtent b="0" l="0" r="0" t="0"/>
                  <wp:docPr descr="" title="" id="30" name="Picture"/>
                  <a:graphic>
                    <a:graphicData uri="http://schemas.openxmlformats.org/drawingml/2006/picture">
                      <pic:pic>
                        <pic:nvPicPr>
                          <pic:cNvPr descr="../../../results/figures/weight_distribution.png" id="31" name="Picture"/>
                          <pic:cNvPicPr>
                            <a:picLocks noChangeArrowheads="1" noChangeAspect="1"/>
                          </pic:cNvPicPr>
                        </pic:nvPicPr>
                        <pic:blipFill>
                          <a:blip r:embed="rId29"/>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32"/>
        </w:tc>
      </w:tr>
    </w:tbl>
    <w:p>
      <w:pPr>
        <w:pStyle w:val="BodyText"/>
      </w:pPr>
      <w:r>
        <w:t xml:space="preserve">Because the data are missing gestational age, birth length is less important for our analysis. Nonetheless, Figure 2 shows a histogram of the distribution of birth lengths in the sample. The red line marks the average birth length for both male and female infants (49 centimeters), which is in line with current estimates on birth length globally.</w:t>
      </w:r>
      <w:r>
        <w:rPr>
          <w:rStyle w:val="FootnoteReference"/>
        </w:rPr>
        <w:footnoteReference w:id="33"/>
      </w:r>
    </w:p>
    <w:tbl>
      <w:tblPr>
        <w:tblStyle w:val="Table"/>
        <w:tblW w:type="pct" w:w="5000"/>
        <w:tblLook w:firstRow="0" w:lastRow="0" w:firstColumn="0" w:lastColumn="0" w:noHBand="0" w:noVBand="0" w:val="0000"/>
        <w:jc w:val="start"/>
        <w:tblLayout w:type="fixed"/>
      </w:tblPr>
      <w:tblGrid>
        <w:gridCol w:w="7920"/>
      </w:tblGrid>
      <w:tr>
        <w:tc>
          <w:tcPr/>
          <w:bookmarkStart w:id="38" w:name="fig-schematic-2"/>
          <w:p>
            <w:pPr>
              <w:pStyle w:val="Compact"/>
              <w:jc w:val="center"/>
            </w:pPr>
            <w:r>
              <w:drawing>
                <wp:inline>
                  <wp:extent cx="5334000" cy="3295031"/>
                  <wp:effectExtent b="0" l="0" r="0" t="0"/>
                  <wp:docPr descr="" title="" id="36" name="Picture"/>
                  <a:graphic>
                    <a:graphicData uri="http://schemas.openxmlformats.org/drawingml/2006/picture">
                      <pic:pic>
                        <pic:nvPicPr>
                          <pic:cNvPr descr="../../../results/figures/length_distribution.png" id="37" name="Picture"/>
                          <pic:cNvPicPr>
                            <a:picLocks noChangeArrowheads="1" noChangeAspect="1"/>
                          </pic:cNvPicPr>
                        </pic:nvPicPr>
                        <pic:blipFill>
                          <a:blip r:embed="rId35"/>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8"/>
        </w:tc>
      </w:tr>
    </w:tbl>
    <w:p>
      <w:pPr>
        <w:pStyle w:val="BodyText"/>
      </w:pPr>
      <w:r>
        <w:t xml:space="preserve">Figure 3 visualizes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42" w:name="fig-schematic-3"/>
          <w:p>
            <w:pPr>
              <w:pStyle w:val="Compact"/>
              <w:jc w:val="center"/>
            </w:pPr>
            <w:r>
              <w:drawing>
                <wp:inline>
                  <wp:extent cx="5334000" cy="3295031"/>
                  <wp:effectExtent b="0" l="0" r="0" t="0"/>
                  <wp:docPr descr="" title="" id="40" name="Picture"/>
                  <a:graphic>
                    <a:graphicData uri="http://schemas.openxmlformats.org/drawingml/2006/picture">
                      <pic:pic>
                        <pic:nvPicPr>
                          <pic:cNvPr descr="../../../results/figures/length_weight.png" id="41" name="Picture"/>
                          <pic:cNvPicPr>
                            <a:picLocks noChangeArrowheads="1" noChangeAspect="1"/>
                          </pic:cNvPicPr>
                        </pic:nvPicPr>
                        <pic:blipFill>
                          <a:blip r:embed="rId39"/>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42"/>
        </w:tc>
      </w:tr>
    </w:tbl>
    <w:p>
      <w:pPr>
        <w:pStyle w:val="BodyText"/>
      </w:pPr>
      <w:r>
        <w:t xml:space="preserve">Finally, Figure 4 visualizes the relationship of birth weight and length, stratified by sex since male infants are usually slightly heavier and longer than females</w:t>
      </w:r>
      <w:r>
        <w:t xml:space="preserve"> </w:t>
      </w:r>
      <w:r>
        <w:t xml:space="preserve">K Maršál et al.</w:t>
      </w:r>
      <w:r>
        <w:rPr>
          <w:rStyle w:val="FootnoteReference"/>
        </w:rPr>
        <w:footnoteReference w:id="43"/>
      </w:r>
    </w:p>
    <w:tbl>
      <w:tblPr>
        <w:tblStyle w:val="Table"/>
        <w:tblW w:type="pct" w:w="5000"/>
        <w:tblLook w:firstRow="0" w:lastRow="0" w:firstColumn="0" w:lastColumn="0" w:noHBand="0" w:noVBand="0" w:val="0000"/>
        <w:jc w:val="start"/>
        <w:tblLayout w:type="fixed"/>
      </w:tblPr>
      <w:tblGrid>
        <w:gridCol w:w="7920"/>
      </w:tblGrid>
      <w:tr>
        <w:tc>
          <w:tcPr/>
          <w:bookmarkStart w:id="48" w:name="fig-schematic-4"/>
          <w:p>
            <w:pPr>
              <w:pStyle w:val="Compact"/>
              <w:jc w:val="center"/>
            </w:pPr>
            <w:r>
              <w:drawing>
                <wp:inline>
                  <wp:extent cx="5334000" cy="3295031"/>
                  <wp:effectExtent b="0" l="0" r="0" t="0"/>
                  <wp:docPr descr="" title="" id="46" name="Picture"/>
                  <a:graphic>
                    <a:graphicData uri="http://schemas.openxmlformats.org/drawingml/2006/picture">
                      <pic:pic>
                        <pic:nvPicPr>
                          <pic:cNvPr descr="../../../results/figures/length_weight_sex.png" id="47" name="Picture"/>
                          <pic:cNvPicPr>
                            <a:picLocks noChangeArrowheads="1" noChangeAspect="1"/>
                          </pic:cNvPicPr>
                        </pic:nvPicPr>
                        <pic:blipFill>
                          <a:blip r:embed="rId45"/>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8"/>
        </w:tc>
      </w:tr>
    </w:tbl>
    <w:bookmarkEnd w:id="49"/>
    <w:bookmarkStart w:id="65" w:name="models"/>
    <w:p>
      <w:pPr>
        <w:pStyle w:val="Heading2"/>
      </w:pPr>
      <w:r>
        <w:t xml:space="preserve">1.6 Models</w:t>
      </w:r>
    </w:p>
    <w:bookmarkStart w:id="58" w:name="linear-models"/>
    <w:p>
      <w:pPr>
        <w:pStyle w:val="Heading3"/>
      </w:pPr>
      <w:r>
        <w:t xml:space="preserve">1.6.1 Linear Models</w:t>
      </w:r>
    </w:p>
    <w:p>
      <w:pPr>
        <w:pStyle w:val="FirstParagraph"/>
      </w:pPr>
      <w:r>
        <w:t xml:space="preserve">For the basic statistical analysis, I ran three linear models to understand the relationship between maternal factors and infant birth weight. The first model is a simple linear regression with outcome variable (birthweight in grams) and exposure variable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0" w:name="tbl-table1"/>
          <w:p>
            <w:pPr>
              <w:jc w:val="center"/>
            </w:pPr>
            <w:pPr>
              <w:jc w:val="start"/>
              <w:spacing w:before="200"/>
              <w:pStyle w:val="ImageCaption"/>
            </w:pPr>
            <w:r>
              <w:t xml:space="preserve">Table 2: Model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961"/>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3,153, 3,222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0"/>
        </w:tc>
      </w:tr>
    </w:tbl>
    <w:p>
      <w:pPr>
        <w:pStyle w:val="BodyText"/>
      </w:pPr>
      <w:r>
        <w:t xml:space="preserve">The second simple bivariate linear analysis, looks at infant birth weight as a function of maternal age.</w:t>
      </w:r>
    </w:p>
    <w:tbl>
      <w:tblPr>
        <w:tblStyle w:val="Table"/>
        <w:tblW w:type="pct" w:w="5000"/>
        <w:tblLook w:firstRow="0" w:lastRow="0" w:firstColumn="0" w:lastColumn="0" w:noHBand="0" w:noVBand="0" w:val="0000"/>
        <w:jc w:val="start"/>
        <w:tblLayout w:type="fixed"/>
      </w:tblPr>
      <w:tblGrid>
        <w:gridCol w:w="7920"/>
      </w:tblGrid>
      <w:tr>
        <w:tc>
          <w:tcPr/>
          <w:bookmarkStart w:id="51" w:name="tbl-table2"/>
          <w:p>
            <w:pPr>
              <w:jc w:val="center"/>
            </w:pPr>
            <w:pPr>
              <w:jc w:val="start"/>
              <w:spacing w:before="200"/>
              <w:pStyle w:val="ImageCaption"/>
            </w:pPr>
            <w:r>
              <w:t xml:space="preserve">Table 3: Model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61"/>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2,831, 3,034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1"/>
        </w:tc>
      </w:tr>
    </w:tbl>
    <w:p>
      <w:pPr>
        <w:pStyle w:val="BodyText"/>
      </w:pPr>
      <w:r>
        <w:t xml:space="preserve">The third exploratory statistical model is a multilinear regression, looking at the relationship of maternal skin color, age, nationality, and gestational status on infant birth weight.</w:t>
      </w:r>
    </w:p>
    <w:tbl>
      <w:tblPr>
        <w:tblStyle w:val="Table"/>
        <w:tblW w:type="pct" w:w="5000"/>
        <w:tblLook w:firstRow="0" w:lastRow="0" w:firstColumn="0" w:lastColumn="0" w:noHBand="0" w:noVBand="0" w:val="0000"/>
        <w:jc w:val="start"/>
        <w:tblLayout w:type="fixed"/>
      </w:tblPr>
      <w:tblGrid>
        <w:gridCol w:w="7920"/>
      </w:tblGrid>
      <w:tr>
        <w:tc>
          <w:tcPr/>
          <w:bookmarkStart w:id="52" w:name="tbl-table3"/>
          <w:p>
            <w:pPr>
              <w:jc w:val="center"/>
            </w:pPr>
            <w:pPr>
              <w:jc w:val="start"/>
              <w:spacing w:before="200"/>
              <w:pStyle w:val="ImageCaption"/>
            </w:pPr>
            <w:r>
              <w:t xml:space="preserve">Table 4: Model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3,041, 3,318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-278, 374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-463, 1,465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2"/>
        </w:tc>
      </w:tr>
    </w:tbl>
    <w:p>
      <w:pPr>
        <w:pStyle w:val="BodyText"/>
      </w:pPr>
      <w:r>
        <w:t xml:space="preserve">In the first and third models, there appears to be an association between maternal skin color and infant birth weight, with Euro-descended women (the reference group) having infants with higher birth weights than Afro-descended women. In the second model, older mothers are associated with giving birth to infants with higher birth weights.</w:t>
      </w:r>
    </w:p>
    <w:p>
      <w:pPr>
        <w:pStyle w:val="BodyText"/>
      </w:pPr>
      <w:r>
        <w:t xml:space="preserve">For all three models, the r-squared is very small (0.007, 0.006, and 0.008), indicating that the model does not explain much of the variance in birth weight. This is likely due to the fact that birth weight is a complex trait influenced by many factors, including genetic, environmental, and social factors.</w:t>
      </w:r>
    </w:p>
    <w:p>
      <w:pPr>
        <w:pStyle w:val="BodyText"/>
      </w:pPr>
      <w:r>
        <w:t xml:space="preserve">The fourth exploratory model again runs a multivariate linear regression, this time using skin color as it was differentiated in the original data, or with three categories (White, Black, and Mixed Race).</w:t>
      </w:r>
    </w:p>
    <w:tbl>
      <w:tblPr>
        <w:tblStyle w:val="Table"/>
        <w:tblW w:type="pct" w:w="5000"/>
        <w:tblLook w:firstRow="0" w:lastRow="0" w:firstColumn="0" w:lastColumn="0" w:noHBand="0" w:noVBand="0" w:val="0000"/>
        <w:jc w:val="start"/>
        <w:tblLayout w:type="fixed"/>
      </w:tblPr>
      <w:tblGrid>
        <w:gridCol w:w="7920"/>
      </w:tblGrid>
      <w:tr>
        <w:tc>
          <w:tcPr/>
          <w:bookmarkStart w:id="53" w:name="tbl-table4"/>
          <w:p>
            <w:pPr>
              <w:jc w:val="center"/>
            </w:pPr>
            <w:pPr>
              <w:jc w:val="start"/>
              <w:spacing w:before="200"/>
              <w:pStyle w:val="ImageCaption"/>
            </w:pPr>
            <w:r>
              <w:t xml:space="preserve">Table 5: Model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3,042, 3,320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0.018</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-278, 374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-464, 1,465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3"/>
        </w:tc>
      </w:tr>
    </w:tbl>
    <w:p>
      <w:pPr>
        <w:pStyle w:val="BodyText"/>
      </w:pPr>
      <w:r>
        <w:t xml:space="preserve">For all models in this study, the</w:t>
      </w:r>
      <w:r>
        <w:t xml:space="preserve"> </w:t>
      </w:r>
      <m:oMath>
        <m:d>
          <m:dPr>
            <m:begChr m:val="("/>
            <m:endChr m:val=")"/>
            <m:sepChr m:val=""/>
            <m:grow/>
          </m:dPr>
          <m:e>
            <m:sSup>
              <m:e>
                <m:r>
                  <m:t>R</m:t>
                </m:r>
              </m:e>
              <m:sup>
                <m:r>
                  <m:t>2</m:t>
                </m:r>
              </m:sup>
            </m:sSup>
          </m:e>
        </m:d>
      </m:oMath>
      <w:r>
        <w:t xml:space="preserve"> </w:t>
      </w:r>
      <w:r>
        <w:t xml:space="preserve">is small, indicating that the model does not explain much of the variance in birth weight. This is likely due to the fact that birth weight is a complex trait influenced by genetic (not related to skin color), environmental, and social factors.</w:t>
      </w:r>
      <w:r>
        <w:rPr>
          <w:rStyle w:val="FootnoteReference"/>
        </w:rPr>
        <w:footnoteReference w:id="54"/>
      </w:r>
      <w:r>
        <w:t xml:space="preserve"> Yet, as Claudia Goldin and Robert A. Margo have shown for nineteenth-century Philadelphia, the inclusion of gestational age greatly improved the regression fit in their studies, demonstrating that gestational age could explain much of the variance of birth weight in this study.</w:t>
      </w:r>
      <w:r>
        <w:rPr>
          <w:rStyle w:val="FootnoteReference"/>
        </w:rPr>
        <w:footnoteReference w:id="56"/>
      </w:r>
      <w:r>
        <w:t xml:space="preserve"> Nonetheless, other scholars have shown that even though differential rates of PTB explain some of the variance in birth weight according to maternal skin color in the United States, up to 91 percent of influenced birth weight, as the lack of historical data precludes this line of inquiry. Rather, it is exploring if maternal skin color is associated with lower infant birth weight during this specific time period in Rio de Janeiro. Given my hypothesis, that the legacies of slavery affected maternal-fetal health, then maternal skin color is also probably associated with premature birth, which is correlated to infant birth weight.</w:t>
      </w:r>
    </w:p>
    <w:bookmarkEnd w:id="58"/>
    <w:bookmarkStart w:id="64" w:name="logistic-models"/>
    <w:p>
      <w:pPr>
        <w:pStyle w:val="Heading3"/>
      </w:pPr>
      <w:r>
        <w:t xml:space="preserve">1.6.2 Logistic Models</w:t>
      </w:r>
    </w:p>
    <w:p>
      <w:pPr>
        <w:pStyle w:val="FirstParagraph"/>
      </w:pPr>
      <w:r>
        <w:t xml:space="preserve">Now we will still consider</w:t>
      </w:r>
      <w:r>
        <w:t xml:space="preserve"> </w:t>
      </w:r>
      <w:r>
        <w:rPr>
          <w:rStyle w:val="VerbatimChar"/>
        </w:rPr>
        <w:t xml:space="preserve">Birthweight</w:t>
      </w:r>
      <w:r>
        <w:t xml:space="preserve"> </w:t>
      </w:r>
      <w:r>
        <w:t xml:space="preserve">as the outcome of interest, but we will transform it into a categorical outcome of &lt;=2500 (low birth weight, LBW) and &gt;2500 (normal birth weight, NBW) and fit a logistic model, using the main predictor of interest,</w:t>
      </w:r>
      <w:r>
        <w:t xml:space="preserve"> </w:t>
      </w:r>
      <w:r>
        <w:rPr>
          <w:rStyle w:val="VerbatimChar"/>
        </w:rPr>
        <w:t xml:space="preserve">ModifiedColor</w:t>
      </w:r>
      <w:r>
        <w:t xml:space="preserve">.</w:t>
      </w:r>
    </w:p>
    <w:p>
      <w:pPr>
        <w:pStyle w:val="BodyText"/>
      </w:pPr>
      <w:r>
        <w:t xml:space="preserve">The first model is a simple logistic regression, with modified maternal skin color as the predictor variable.</w:t>
      </w:r>
    </w:p>
    <w:tbl>
      <w:tblPr>
        <w:tblStyle w:val="Table"/>
        <w:tblW w:type="pct" w:w="5000"/>
        <w:tblLook w:firstRow="0" w:lastRow="0" w:firstColumn="0" w:lastColumn="0" w:noHBand="0" w:noVBand="0" w:val="0000"/>
        <w:jc w:val="start"/>
        <w:tblLayout w:type="fixed"/>
      </w:tblPr>
      <w:tblGrid>
        <w:gridCol w:w="7920"/>
      </w:tblGrid>
      <w:tr>
        <w:tc>
          <w:tcPr/>
          <w:bookmarkStart w:id="59" w:name="tbl-table5"/>
          <w:p>
            <w:pPr>
              <w:jc w:val="center"/>
            </w:pPr>
            <w:pPr>
              <w:jc w:val="start"/>
              <w:spacing w:before="200"/>
              <w:pStyle w:val="ImageCaption"/>
            </w:pPr>
            <w:r>
              <w:t xml:space="preserve">Table 6: Model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2"/>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1.07, 1.95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9"/>
        </w:tc>
      </w:tr>
    </w:tbl>
    <w:p>
      <w:pPr>
        <w:pStyle w:val="BodyText"/>
      </w:pPr>
      <w:r>
        <w:t xml:space="preserve">The second model is also a simple logistic regression, this time using</w:t>
      </w:r>
      <w:r>
        <w:t xml:space="preserve"> </w:t>
      </w:r>
      <w:r>
        <w:rPr>
          <w:rStyle w:val="VerbatimChar"/>
        </w:rPr>
        <w:t xml:space="preserve">Color</w:t>
      </w:r>
      <w:r>
        <w:t xml:space="preserve"> </w:t>
      </w:r>
      <w:r>
        <w:t xml:space="preserve">as the predictor variable (so three categories, Black, mixed race, and White).</w:t>
      </w:r>
    </w:p>
    <w:tbl>
      <w:tblPr>
        <w:tblStyle w:val="Table"/>
        <w:tblW w:type="pct" w:w="5000"/>
        <w:tblLook w:firstRow="0" w:lastRow="0" w:firstColumn="0" w:lastColumn="0" w:noHBand="0" w:noVBand="0" w:val="0000"/>
        <w:jc w:val="start"/>
        <w:tblLayout w:type="fixed"/>
      </w:tblPr>
      <w:tblGrid>
        <w:gridCol w:w="7920"/>
      </w:tblGrid>
      <w:tr>
        <w:tc>
          <w:tcPr/>
          <w:bookmarkStart w:id="60" w:name="tbl-table6"/>
          <w:p>
            <w:pPr>
              <w:jc w:val="center"/>
            </w:pPr>
            <w:pPr>
              <w:jc w:val="start"/>
              <w:spacing w:before="200"/>
              <w:pStyle w:val="ImageCaption"/>
            </w:pPr>
            <w:r>
              <w:t xml:space="preserve">Table 7: Model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0.004</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60"/>
        </w:tc>
      </w:tr>
    </w:tbl>
    <w:p>
      <w:pPr>
        <w:pStyle w:val="BodyText"/>
      </w:pPr>
      <w:r>
        <w:t xml:space="preserve">Then, I ran two more logistic models, one with</w:t>
      </w:r>
      <w:r>
        <w:t xml:space="preserve"> </w:t>
      </w:r>
      <w:r>
        <w:rPr>
          <w:rStyle w:val="VerbatimChar"/>
        </w:rPr>
        <w:t xml:space="preserve">ModifiedColor</w:t>
      </w:r>
      <w:r>
        <w:t xml:space="preserve"> </w:t>
      </w:r>
      <w:r>
        <w:t xml:space="preserve">and the other covariates</w:t>
      </w:r>
      <w:r>
        <w:t xml:space="preserve"> </w:t>
      </w:r>
      <w:r>
        <w:rPr>
          <w:rStyle w:val="VerbatimChar"/>
        </w:rPr>
        <w:t xml:space="preserve">Age</w:t>
      </w:r>
      <w:r>
        <w:t xml:space="preserve">,</w:t>
      </w:r>
      <w:r>
        <w:t xml:space="preserve"> </w:t>
      </w:r>
      <w:r>
        <w:rPr>
          <w:rStyle w:val="VerbatimChar"/>
        </w:rPr>
        <w:t xml:space="preserve">ModifiedStatus</w:t>
      </w:r>
      <w:r>
        <w:t xml:space="preserve">,</w:t>
      </w:r>
      <w:r>
        <w:t xml:space="preserve"> </w:t>
      </w:r>
      <w:r>
        <w:rPr>
          <w:rStyle w:val="VerbatimChar"/>
        </w:rPr>
        <w:t xml:space="preserve">ModifiedNationality</w:t>
      </w:r>
      <w:r>
        <w:t xml:space="preserve">, and one with</w:t>
      </w:r>
      <w:r>
        <w:t xml:space="preserve"> </w:t>
      </w:r>
      <w:r>
        <w:rPr>
          <w:rStyle w:val="VerbatimChar"/>
        </w:rPr>
        <w:t xml:space="preserve">Color</w:t>
      </w:r>
      <w:r>
        <w:t xml:space="preserve"> </w:t>
      </w:r>
      <w:r>
        <w:t xml:space="preserve">and these same covariates. The results are below.</w:t>
      </w:r>
    </w:p>
    <w:tbl>
      <w:tblPr>
        <w:tblStyle w:val="Table"/>
        <w:tblW w:type="pct" w:w="5000"/>
        <w:tblLook w:firstRow="0" w:lastRow="0" w:firstColumn="0" w:lastColumn="0" w:noHBand="0" w:noVBand="0" w:val="0000"/>
        <w:jc w:val="start"/>
        <w:tblLayout w:type="fixed"/>
      </w:tblPr>
      <w:tblGrid>
        <w:gridCol w:w="7920"/>
      </w:tblGrid>
      <w:tr>
        <w:tc>
          <w:tcPr/>
          <w:bookmarkStart w:id="61" w:name="tbl-table7"/>
          <w:p>
            <w:pPr>
              <w:jc w:val="center"/>
            </w:pPr>
            <w:pPr>
              <w:jc w:val="start"/>
              <w:spacing w:before="200"/>
              <w:pStyle w:val="ImageCaption"/>
            </w:pPr>
            <w:r>
              <w:t xml:space="preserve">Table 8: Model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73"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2" w:name="tbl-table8"/>
          <w:p>
            <w:pPr>
              <w:jc w:val="center"/>
            </w:pPr>
            <w:pPr>
              <w:jc w:val="start"/>
              <w:spacing w:before="200"/>
              <w:pStyle w:val="ImageCaption"/>
            </w:pPr>
            <w:r>
              <w:t xml:space="preserve">Table 9: Model 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59"/>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0.031</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18"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618"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ModifiedNationality_Middle.Eastern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62"/>
        </w:tc>
      </w:tr>
    </w:tbl>
    <w:p>
      <w:pPr>
        <w:pStyle w:val="BodyText"/>
      </w:pPr>
      <w:r>
        <w:t xml:space="preserve">In these two models, the only significant finding is the final logistic model, in which infants born to mixed-race mothers had 21% higher odds of being born with low birth weight compared to infants born to white mothers. The other models did not show significant results.</w:t>
      </w:r>
    </w:p>
    <w:p>
      <w:pPr>
        <w:pStyle w:val="BodyText"/>
      </w:pPr>
      <w:r>
        <w:t xml:space="preserve">Best practice is to not categorize continuous variables, as this can include arbitrary cutoffs for variables that are best understood continuously.</w:t>
      </w:r>
      <w:r>
        <w:rPr>
          <w:rStyle w:val="FootnoteReference"/>
        </w:rPr>
        <w:footnoteReference w:id="63"/>
      </w:r>
      <w:r>
        <w:t xml:space="preserve"> Thus, I will not include these logistic regressions in the final analysis.</w:t>
      </w:r>
    </w:p>
    <w:bookmarkEnd w:id="64"/>
    <w:bookmarkEnd w:id="65"/>
    <w:bookmarkStart w:id="70" w:name="performance-measures"/>
    <w:p>
      <w:pPr>
        <w:pStyle w:val="Heading2"/>
      </w:pPr>
      <w:r>
        <w:t xml:space="preserve">1.7 Performance Measures</w:t>
      </w:r>
    </w:p>
    <w:p>
      <w:pPr>
        <w:pStyle w:val="FirstParagraph"/>
      </w:pPr>
      <w:r>
        <w:t xml:space="preserve">Given that this study is an inferential, hypothesis-supporting approach that is exploring how specific maternal predictors affect the outcome of interest, birth weight, please see the</w:t>
      </w:r>
      <w:r>
        <w:t xml:space="preserve"> </w:t>
      </w:r>
      <w:r>
        <w:rPr>
          <w:rStyle w:val="VerbatimChar"/>
        </w:rPr>
        <w:t xml:space="preserve">fullanalysis-v1.qmd</w:t>
      </w:r>
      <w:r>
        <w:t xml:space="preserve"> </w:t>
      </w:r>
      <w:r>
        <w:t xml:space="preserve">for all predictive metrics, where test/train and cross-validation were applied to test performance. Model performance did not significantly improve with these additional tests. When run on testing data, most results were insignificant.</w:t>
      </w:r>
    </w:p>
    <w:p>
      <w:pPr>
        <w:pStyle w:val="BodyText"/>
      </w:pPr>
      <w:r>
        <w:t xml:space="preserve">Test/train (75-25 split) and cross-validation were performed on all models. Model prediction performance did not improve greatly using these tests. Model performance resulted in insignificant results when run on the testing data given the smaller sample size.</w:t>
      </w:r>
    </w:p>
    <w:p>
      <w:pPr>
        <w:pStyle w:val="BodyText"/>
      </w:pPr>
      <w:r>
        <w:t xml:space="preserve">Here I include the cross-validation results for the linear models.</w:t>
      </w:r>
    </w:p>
    <w:tbl>
      <w:tblPr>
        <w:tblStyle w:val="Table"/>
        <w:tblW w:type="pct" w:w="5000"/>
        <w:tblLook w:firstRow="0" w:lastRow="0" w:firstColumn="0" w:lastColumn="0" w:noHBand="0" w:noVBand="0" w:val="0000"/>
        <w:jc w:val="start"/>
        <w:tblLayout w:type="fixed"/>
      </w:tblPr>
      <w:tblGrid>
        <w:gridCol w:w="7920"/>
      </w:tblGrid>
      <w:tr>
        <w:tc>
          <w:tcPr/>
          <w:bookmarkStart w:id="66" w:name="tbl-table9"/>
          <w:p>
            <w:pPr>
              <w:jc w:val="center"/>
            </w:pPr>
            <w:pPr>
              <w:jc w:val="start"/>
              <w:spacing w:before="200"/>
              <w:pStyle w:val="ImageCaption"/>
            </w:pPr>
            <w:r>
              <w:t xml:space="preserve">Table 10: Cross-Validation Model 1</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488.        10 14.8    </w:t>
            </w:r>
            <w:r>
              <w:br/>
            </w:r>
            <w:r>
              <w:rPr>
                <w:rStyle w:val="VerbatimChar"/>
              </w:rPr>
              <w:t xml:space="preserve">2 rsq     standard     0.0150    10  0.00668</w:t>
            </w:r>
          </w:p>
          <w:bookmarkEnd w:id="66"/>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67" w:name="tbl-table10"/>
          <w:p>
            <w:pPr>
              <w:jc w:val="center"/>
            </w:pPr>
            <w:pPr>
              <w:jc w:val="start"/>
              <w:spacing w:before="200"/>
              <w:pStyle w:val="ImageCaption"/>
            </w:pPr>
            <w:r>
              <w:t xml:space="preserve">Table 11: Cross-Validation Model 2</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484.        10 15.0    </w:t>
            </w:r>
            <w:r>
              <w:br/>
            </w:r>
            <w:r>
              <w:rPr>
                <w:rStyle w:val="VerbatimChar"/>
              </w:rPr>
              <w:t xml:space="preserve">2 rsq     standard     0.0260    10  0.00377</w:t>
            </w:r>
          </w:p>
          <w:bookmarkEnd w:id="67"/>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68" w:name="tbl-table11"/>
          <w:p>
            <w:pPr>
              <w:jc w:val="center"/>
            </w:pPr>
            <w:pPr>
              <w:jc w:val="start"/>
              <w:spacing w:before="200"/>
              <w:pStyle w:val="ImageCaption"/>
            </w:pPr>
            <w:r>
              <w:t xml:space="preserve">Table 12: Cross-Validation Model 3</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488.        10 14.9    </w:t>
            </w:r>
            <w:r>
              <w:br/>
            </w:r>
            <w:r>
              <w:rPr>
                <w:rStyle w:val="VerbatimChar"/>
              </w:rPr>
              <w:t xml:space="preserve">2 rsq     standard     0.0110    10  0.00418</w:t>
            </w:r>
          </w:p>
          <w:bookmarkEnd w:id="68"/>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69" w:name="tbl-table12"/>
          <w:p>
            <w:pPr>
              <w:jc w:val="center"/>
            </w:pPr>
            <w:pPr>
              <w:jc w:val="start"/>
              <w:spacing w:before="200"/>
              <w:pStyle w:val="ImageCaption"/>
            </w:pPr>
            <w:r>
              <w:t xml:space="preserve">Table 13: Cross-Validation Model 4</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484.        10 15.1    </w:t>
            </w:r>
            <w:r>
              <w:br/>
            </w:r>
            <w:r>
              <w:rPr>
                <w:rStyle w:val="VerbatimChar"/>
              </w:rPr>
              <w:t xml:space="preserve">2 rsq     standard     0.0249    10  0.00382</w:t>
            </w:r>
          </w:p>
          <w:bookmarkEnd w:id="69"/>
        </w:tc>
      </w:tr>
    </w:tbl>
    <w:p>
      <w:pPr>
        <w:pStyle w:val="FirstParagraph"/>
      </w:pPr>
      <w:r>
        <w:t xml:space="preserve">The performance metrics for the logistic models are available in the</w:t>
      </w:r>
      <w:r>
        <w:t xml:space="preserve"> </w:t>
      </w:r>
      <w:r>
        <w:rPr>
          <w:rStyle w:val="VerbatimChar"/>
        </w:rPr>
        <w:t xml:space="preserve">introanalysis-v1.qmd</w:t>
      </w:r>
      <w:r>
        <w:t xml:space="preserve"> </w:t>
      </w:r>
      <w:r>
        <w:t xml:space="preserve">file.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Glenn D. Posner et al., eds.,</w:t>
      </w:r>
      <w:r>
        <w:t xml:space="preserve"> </w:t>
      </w:r>
      <w:r>
        <w:rPr>
          <w:iCs/>
          <w:i/>
        </w:rPr>
        <w:t xml:space="preserve">Oxorn-</w:t>
      </w:r>
      <w:r>
        <w:rPr>
          <w:iCs/>
          <w:i/>
        </w:rPr>
        <w:t xml:space="preserve">Foote Human Labor</w:t>
      </w:r>
      <w:r>
        <w:rPr>
          <w:iCs/>
          <w:i/>
        </w:rPr>
        <w:t xml:space="preserve"> </w:t>
      </w:r>
      <w:r>
        <w:rPr>
          <w:iCs/>
          <w:i/>
        </w:rPr>
        <w:t xml:space="preserve">&amp;</w:t>
      </w:r>
      <w:r>
        <w:rPr>
          <w:iCs/>
          <w:i/>
        </w:rPr>
        <w:t xml:space="preserve"> </w:t>
      </w:r>
      <w:r>
        <w:rPr>
          <w:iCs/>
          <w:i/>
        </w:rPr>
        <w:t xml:space="preserve">Birth</w:t>
      </w:r>
      <w:r>
        <w:t xml:space="preserve">, 6th ed. (New York: McGraw Hill Education, 2013).</w:t>
      </w:r>
    </w:p>
  </w:footnote>
  <w:footnote w:id="23">
    <w:p>
      <w:pPr>
        <w:pStyle w:val="FootnoteText"/>
      </w:pPr>
      <w:r>
        <w:rPr>
          <w:rStyle w:val="FootnoteReference"/>
        </w:rPr>
        <w:footnoteRef/>
      </w:r>
      <w:r>
        <w:t xml:space="preserve"> </w:t>
      </w:r>
      <w:r>
        <w:t xml:space="preserve">Cassia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Reproductive Lives</w:t>
      </w:r>
      <w:r>
        <w:rPr>
          <w:iCs/>
          <w:i/>
        </w:rPr>
        <w:t xml:space="preserve"> </w:t>
      </w:r>
      <w:r>
        <w:rPr>
          <w:iCs/>
          <w:i/>
        </w:rPr>
        <w:t xml:space="preserve">and the</w:t>
      </w:r>
      <w:r>
        <w:rPr>
          <w:iCs/>
          <w:i/>
        </w:rPr>
        <w:t xml:space="preserve"> </w:t>
      </w:r>
      <w:r>
        <w:rPr>
          <w:iCs/>
          <w:i/>
        </w:rPr>
        <w:t xml:space="preserve">Law</w:t>
      </w:r>
      <w:r>
        <w:rPr>
          <w:iCs/>
          <w:i/>
        </w:rPr>
        <w:t xml:space="preserve"> </w:t>
      </w:r>
      <w:r>
        <w:rPr>
          <w:iCs/>
          <w:i/>
        </w:rPr>
        <w:t xml:space="preserve">in</w:t>
      </w:r>
      <w:r>
        <w:rPr>
          <w:iCs/>
          <w:i/>
        </w:rPr>
        <w:t xml:space="preserve"> </w:t>
      </w:r>
      <w:r>
        <w:rPr>
          <w:iCs/>
          <w:i/>
        </w:rPr>
        <w:t xml:space="preserve">Early Twentieth-Century Brazil</w:t>
      </w:r>
      <w:r>
        <w:t xml:space="preserve"> </w:t>
      </w:r>
      <w:r>
        <w:t xml:space="preserve">(Stanford, CA: Stanford University Press, 2020); Cassia Roth,</w:t>
      </w:r>
      <w:r>
        <w:t xml:space="preserve"> </w:t>
      </w:r>
      <w:r>
        <w:t xml:space="preserve">“</w:t>
      </w:r>
      <w:r>
        <w:t xml:space="preserve">Viol</w:t>
      </w:r>
      <w:r>
        <w:t xml:space="preserve">ê</w:t>
      </w:r>
      <w:r>
        <w:t xml:space="preserve">ncia obst</w:t>
      </w:r>
      <w:r>
        <w:t xml:space="preserve">é</w:t>
      </w:r>
      <w:r>
        <w:t xml:space="preserve">trica na Maternidade de Laranjeiras: fontes para pesquisas futuras</w:t>
      </w:r>
      <w:r>
        <w:t xml:space="preserve">,”</w:t>
      </w:r>
      <w:r>
        <w:t xml:space="preserve"> </w:t>
      </w:r>
      <w:r>
        <w:t xml:space="preserve">in</w:t>
      </w:r>
      <w:r>
        <w:t xml:space="preserve"> </w:t>
      </w:r>
      <w:r>
        <w:rPr>
          <w:iCs/>
          <w:i/>
        </w:rPr>
        <w:t xml:space="preserve">Medicaliza</w:t>
      </w:r>
      <w:r>
        <w:rPr>
          <w:iCs/>
          <w:i/>
        </w:rPr>
        <w:t xml:space="preserve">ç</w:t>
      </w:r>
      <w:r>
        <w:rPr>
          <w:iCs/>
          <w:i/>
        </w:rPr>
        <w:t xml:space="preserve">ã</w:t>
      </w:r>
      <w:r>
        <w:rPr>
          <w:iCs/>
          <w:i/>
        </w:rPr>
        <w:t xml:space="preserve">o do parto: saberes e pr</w:t>
      </w:r>
      <w:r>
        <w:rPr>
          <w:iCs/>
          <w:i/>
        </w:rPr>
        <w:t xml:space="preserve">á</w:t>
      </w:r>
      <w:r>
        <w:rPr>
          <w:iCs/>
          <w:i/>
        </w:rPr>
        <w:t xml:space="preserve">ticas</w:t>
      </w:r>
      <w:r>
        <w:t xml:space="preserve">, ed. Luiz Antonio Teixeira et al. (S</w:t>
      </w:r>
      <w:r>
        <w:t xml:space="preserve">ã</w:t>
      </w:r>
      <w:r>
        <w:t xml:space="preserve">o Paulo: Hucitec Editora, 2020), 211–36.</w:t>
      </w:r>
    </w:p>
  </w:footnote>
  <w:footnote w:id="28">
    <w:p>
      <w:pPr>
        <w:pStyle w:val="FootnoteText"/>
      </w:pPr>
      <w:r>
        <w:rPr>
          <w:rStyle w:val="FootnoteReference"/>
        </w:rPr>
        <w:footnoteRef/>
      </w:r>
      <w:r>
        <w:t xml:space="preserve"> </w:t>
      </w:r>
      <w:r>
        <w:t xml:space="preserve">World Health Organization,</w:t>
      </w:r>
      <w:r>
        <w:t xml:space="preserve"> </w:t>
      </w:r>
      <w:r>
        <w:rPr>
          <w:iCs/>
          <w:i/>
        </w:rPr>
        <w:t xml:space="preserve">International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Diseases</w:t>
      </w:r>
      <w:r>
        <w:rPr>
          <w:iCs/>
          <w:i/>
        </w:rPr>
        <w:t xml:space="preserve">,</w:t>
      </w:r>
      <w:r>
        <w:rPr>
          <w:iCs/>
          <w:i/>
        </w:rPr>
        <w:t xml:space="preserve"> </w:t>
      </w:r>
      <w:r>
        <w:rPr>
          <w:iCs/>
          <w:i/>
        </w:rPr>
        <w:t xml:space="preserve">Eleventh Revision</w:t>
      </w:r>
      <w:r>
        <w:rPr>
          <w:iCs/>
          <w:i/>
        </w:rPr>
        <w:t xml:space="preserve"> </w:t>
      </w:r>
      <w:r>
        <w:rPr>
          <w:iCs/>
          <w:i/>
        </w:rPr>
        <w:t xml:space="preserve">(</w:t>
      </w:r>
      <w:r>
        <w:rPr>
          <w:iCs/>
          <w:i/>
        </w:rPr>
        <w:t xml:space="preserve">ICD-11</w:t>
      </w:r>
      <w:r>
        <w:rPr>
          <w:iCs/>
          <w:i/>
        </w:rPr>
        <w:t xml:space="preserve">)</w:t>
      </w:r>
      <w:r>
        <w:t xml:space="preserve"> </w:t>
      </w:r>
      <w:r>
        <w:t xml:space="preserve">(Geneva: World Health Organization, 2022).</w:t>
      </w:r>
    </w:p>
  </w:footnote>
  <w:footnote w:id="33">
    <w:p>
      <w:pPr>
        <w:pStyle w:val="FootnoteText"/>
      </w:pPr>
      <w:r>
        <w:rPr>
          <w:rStyle w:val="FootnoteReference"/>
        </w:rPr>
        <w:footnoteRef/>
      </w:r>
      <w:r>
        <w:t xml:space="preserve"> </w:t>
      </w:r>
      <w:r>
        <w:t xml:space="preserve">Saira Jamshed et al.,</w:t>
      </w:r>
      <w:r>
        <w:t xml:space="preserve"> </w:t>
      </w:r>
      <w:r>
        <w:t xml:space="preserve">“Frequency of</w:t>
      </w:r>
      <w:r>
        <w:t xml:space="preserve"> </w:t>
      </w:r>
      <w:r>
        <w:t xml:space="preserve">Normal Birth Length</w:t>
      </w:r>
      <w:r>
        <w:t xml:space="preserve"> </w:t>
      </w:r>
      <w:r>
        <w:t xml:space="preserve">and</w:t>
      </w:r>
      <w:r>
        <w:t xml:space="preserve"> </w:t>
      </w:r>
      <w:r>
        <w:t xml:space="preserve">Its Determinants</w:t>
      </w:r>
      <w:r>
        <w:t xml:space="preserve">:</w:t>
      </w:r>
      <w:r>
        <w:t xml:space="preserve"> </w:t>
      </w:r>
      <w:r>
        <w:t xml:space="preserve">A Cross-Sectional Study</w:t>
      </w:r>
      <w:r>
        <w:t xml:space="preserve"> </w:t>
      </w:r>
      <w:r>
        <w:t xml:space="preserve">in</w:t>
      </w:r>
      <w:r>
        <w:t xml:space="preserve"> </w:t>
      </w:r>
      <w:r>
        <w:t xml:space="preserve">Newborns</w:t>
      </w:r>
      <w:r>
        <w:t xml:space="preserve">,”</w:t>
      </w:r>
      <w:r>
        <w:t xml:space="preserve"> </w:t>
      </w:r>
      <w:r>
        <w:rPr>
          <w:iCs/>
          <w:i/>
        </w:rPr>
        <w:t xml:space="preserve">Cureus</w:t>
      </w:r>
      <w:r>
        <w:t xml:space="preserve"> </w:t>
      </w:r>
      <w:r>
        <w:t xml:space="preserve">12, no. 9 (2020): e10556,</w:t>
      </w:r>
      <w:r>
        <w:t xml:space="preserve"> </w:t>
      </w:r>
      <w:hyperlink r:id="rId34">
        <w:r>
          <w:rPr>
            <w:rStyle w:val="Hyperlink"/>
          </w:rPr>
          <w:t xml:space="preserve">https://doi.org/10.7759/cureus.10556</w:t>
        </w:r>
      </w:hyperlink>
      <w:r>
        <w:t xml:space="preserve">.</w:t>
      </w:r>
    </w:p>
  </w:footnote>
  <w:footnote w:id="43">
    <w:p>
      <w:pPr>
        <w:pStyle w:val="FootnoteText"/>
      </w:pPr>
      <w:r>
        <w:rPr>
          <w:rStyle w:val="FootnoteReference"/>
        </w:rPr>
        <w:footnoteRef/>
      </w:r>
      <w:r>
        <w:t xml:space="preserve"> </w:t>
      </w:r>
      <w:r>
        <w:t xml:space="preserve">“Intrauterine Growth Curves Based on Ultrasonically Estimated Foetal Weights,”</w:t>
      </w:r>
      <w:r>
        <w:t xml:space="preserve"> </w:t>
      </w:r>
      <w:r>
        <w:rPr>
          <w:iCs/>
          <w:i/>
        </w:rPr>
        <w:t xml:space="preserve">Acta Paediatrica</w:t>
      </w:r>
      <w:r>
        <w:t xml:space="preserve"> </w:t>
      </w:r>
      <w:r>
        <w:t xml:space="preserve">85, no. 7 (1996): 843–48,</w:t>
      </w:r>
      <w:r>
        <w:t xml:space="preserve"> </w:t>
      </w:r>
      <w:hyperlink r:id="rId44">
        <w:r>
          <w:rPr>
            <w:rStyle w:val="Hyperlink"/>
          </w:rPr>
          <w:t xml:space="preserve">https://doi.org/10.1111/j.1651-2227.1996.tb14164.x</w:t>
        </w:r>
      </w:hyperlink>
      <w:r>
        <w:t xml:space="preserve">.</w:t>
      </w:r>
    </w:p>
  </w:footnote>
  <w:footnote w:id="54">
    <w:p>
      <w:pPr>
        <w:pStyle w:val="FootnoteText"/>
      </w:pPr>
      <w:r>
        <w:rPr>
          <w:rStyle w:val="FootnoteReference"/>
        </w:rPr>
        <w:footnoteRef/>
      </w:r>
      <w:r>
        <w:t xml:space="preserve"> </w:t>
      </w:r>
      <w:r>
        <w:t xml:space="preserve">Kelycia B Leimert and David M Olson,</w:t>
      </w:r>
      <w:r>
        <w:t xml:space="preserve"> </w:t>
      </w:r>
      <w:r>
        <w:t xml:space="preserve">“Racial Disparities in Pregnancy Outcomes: Genetics, Epigenetics, and Allostatic Load,”</w:t>
      </w:r>
      <w:r>
        <w:t xml:space="preserve"> </w:t>
      </w:r>
      <w:r>
        <w:rPr>
          <w:iCs/>
          <w:i/>
        </w:rPr>
        <w:t xml:space="preserve">Current Opinion in Physiology</w:t>
      </w:r>
      <w:r>
        <w:t xml:space="preserve"> </w:t>
      </w:r>
      <w:r>
        <w:t xml:space="preserve">13 (February 2020): 155–65,</w:t>
      </w:r>
      <w:r>
        <w:t xml:space="preserve"> </w:t>
      </w:r>
      <w:hyperlink r:id="rId55">
        <w:r>
          <w:rPr>
            <w:rStyle w:val="Hyperlink"/>
          </w:rPr>
          <w:t xml:space="preserve">https://doi.org/10.1016/j.cophys.2019.12.003</w:t>
        </w:r>
      </w:hyperlink>
      <w:r>
        <w:t xml:space="preserve">.</w:t>
      </w:r>
    </w:p>
  </w:footnote>
  <w:footnote w:id="56">
    <w:p>
      <w:pPr>
        <w:pStyle w:val="FootnoteText"/>
      </w:pPr>
      <w:r>
        <w:rPr>
          <w:rStyle w:val="FootnoteReference"/>
        </w:rPr>
        <w:footnoteRef/>
      </w:r>
      <w:r>
        <w:t xml:space="preserve"> </w:t>
      </w:r>
      <w:r>
        <w:t xml:space="preserve">Claudia Goldin and Robert A Margo,</w:t>
      </w:r>
      <w:r>
        <w:t xml:space="preserve"> </w:t>
      </w:r>
      <w:r>
        <w:t xml:space="preserve">“The Poor at Birth:</w:t>
      </w:r>
      <w:r>
        <w:t xml:space="preserve"> </w:t>
      </w:r>
      <w:r>
        <w:t xml:space="preserve">Birth</w:t>
      </w:r>
      <w:r>
        <w:t xml:space="preserve"> </w:t>
      </w:r>
      <w:r>
        <w:t xml:space="preserve">Weights and Infant Mortality at</w:t>
      </w:r>
      <w:r>
        <w:t xml:space="preserve"> </w:t>
      </w:r>
      <w:r>
        <w:t xml:space="preserve">Philadelphia</w:t>
      </w:r>
      <w:r>
        <w:t xml:space="preserve">’s Almshouse Hospital, 1848–1873,”</w:t>
      </w:r>
      <w:r>
        <w:t xml:space="preserve"> </w:t>
      </w:r>
      <w:r>
        <w:rPr>
          <w:iCs/>
          <w:i/>
        </w:rPr>
        <w:t xml:space="preserve">Explorations in Economic History</w:t>
      </w:r>
      <w:r>
        <w:t xml:space="preserve"> </w:t>
      </w:r>
      <w:r>
        <w:t xml:space="preserve">26, no. 3 (1989): 360–79,</w:t>
      </w:r>
      <w:r>
        <w:t xml:space="preserve"> </w:t>
      </w:r>
      <w:hyperlink r:id="rId57">
        <w:r>
          <w:rPr>
            <w:rStyle w:val="Hyperlink"/>
          </w:rPr>
          <w:t xml:space="preserve">https://doi.org/10.1016/0014-4983(89)90026-0</w:t>
        </w:r>
      </w:hyperlink>
      <w:r>
        <w:t xml:space="preserve">.</w:t>
      </w:r>
    </w:p>
  </w:footnote>
  <w:footnote w:id="63">
    <w:p>
      <w:pPr>
        <w:pStyle w:val="FootnoteText"/>
      </w:pPr>
      <w:r>
        <w:rPr>
          <w:rStyle w:val="FootnoteReference"/>
        </w:rPr>
        <w:footnoteRef/>
      </w:r>
      <w:r>
        <w:t xml:space="preserve"> </w:t>
      </w:r>
      <w:r>
        <w:t xml:space="preserve">Stephen Senn,</w:t>
      </w:r>
      <w:r>
        <w:t xml:space="preserve"> </w:t>
      </w:r>
      <w:r>
        <w:t xml:space="preserve">“Dichotomania:</w:t>
      </w:r>
      <w:r>
        <w:t xml:space="preserve"> </w:t>
      </w:r>
      <w:r>
        <w:t xml:space="preserve">An Obsessive Compulsive Disorder</w:t>
      </w:r>
      <w:r>
        <w:t xml:space="preserve"> </w:t>
      </w:r>
      <w:r>
        <w:t xml:space="preserve">That Is</w:t>
      </w:r>
      <w:r>
        <w:t xml:space="preserve"> </w:t>
      </w:r>
      <w:r>
        <w:t xml:space="preserve">Badly Affecting</w:t>
      </w:r>
      <w:r>
        <w:t xml:space="preserve"> </w:t>
      </w:r>
      <w:r>
        <w:t xml:space="preserve">the</w:t>
      </w:r>
      <w:r>
        <w:t xml:space="preserve"> </w:t>
      </w:r>
      <w:r>
        <w:t xml:space="preserve">Quality</w:t>
      </w:r>
      <w:r>
        <w:t xml:space="preserve"> </w:t>
      </w:r>
      <w:r>
        <w:t xml:space="preserve">of</w:t>
      </w:r>
      <w:r>
        <w:t xml:space="preserve"> </w:t>
      </w:r>
      <w:r>
        <w:t xml:space="preserve">Analysis</w:t>
      </w:r>
      <w:r>
        <w:t xml:space="preserve"> </w:t>
      </w:r>
      <w:r>
        <w:t xml:space="preserve">of</w:t>
      </w:r>
      <w:r>
        <w:t xml:space="preserve"> </w:t>
      </w:r>
      <w:r>
        <w:t xml:space="preserve">Pharmaceutical Trials</w:t>
      </w:r>
      <w:r>
        <w:t xml:space="preserve">,”</w:t>
      </w:r>
      <w:r>
        <w:t xml:space="preserve"> </w:t>
      </w:r>
      <w:r>
        <w:rPr>
          <w:iCs/>
          <w:i/>
        </w:rPr>
        <w:t xml:space="preserve">Proceedings of the International Statistical Institute, 55th Session, Sydney</w:t>
      </w:r>
      <w:r>
        <w:t xml:space="preserve">, 2005, 1–13.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hyperlink" Id="rId57" Target="https://doi.org/10.1016/0014-4983(89)90026-0" TargetMode="External" /><Relationship Type="http://schemas.openxmlformats.org/officeDocument/2006/relationships/hyperlink" Id="rId55" Target="https://doi.org/10.1016/j.cophys.2019.12.003" TargetMode="External" /><Relationship Type="http://schemas.openxmlformats.org/officeDocument/2006/relationships/hyperlink" Id="rId44" Target="https://doi.org/10.1111/j.1651-2227.1996.tb14164.x" TargetMode="External" /><Relationship Type="http://schemas.openxmlformats.org/officeDocument/2006/relationships/hyperlink" Id="rId34" Target="https://doi.org/10.7759/cureus.10556"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16/0014-4983(89)90026-0" TargetMode="External" /><Relationship Type="http://schemas.openxmlformats.org/officeDocument/2006/relationships/hyperlink" Id="rId55" Target="https://doi.org/10.1016/j.cophys.2019.12.003" TargetMode="External" /><Relationship Type="http://schemas.openxmlformats.org/officeDocument/2006/relationships/hyperlink" Id="rId44" Target="https://doi.org/10.1111/j.1651-2227.1996.tb14164.x" TargetMode="External" /><Relationship Type="http://schemas.openxmlformats.org/officeDocument/2006/relationships/hyperlink" Id="rId34" Target="https://doi.org/10.7759/cureus.105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Cassia Roth</dc:creator>
  <cp:keywords/>
  <dcterms:created xsi:type="dcterms:W3CDTF">2024-07-24T12:46:31Z</dcterms:created>
  <dcterms:modified xsi:type="dcterms:W3CDTF">2024-07-24T12:46:31Z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../../../assets/chicago-fullnote-bibliography.csl</vt:lpwstr>
  </property>
  <property fmtid="{D5CDD505-2E9C-101B-9397-08002B2CF9AE}" pid="7" name="date">
    <vt:lpwstr>2024-07-24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ppress-bibliography">
    <vt:lpwstr>True</vt:lpwstr>
  </property>
  <property fmtid="{D5CDD505-2E9C-101B-9397-08002B2CF9AE}" pid="13" name="toc-title">
    <vt:lpwstr>Table of contents</vt:lpwstr>
  </property>
</Properties>
</file>