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7BEA2" w14:textId="77777777" w:rsidR="00197EF8" w:rsidRPr="00557E29" w:rsidRDefault="00000000" w:rsidP="00557E29">
      <w:pPr>
        <w:pStyle w:val="Title"/>
        <w:rPr>
          <w:rFonts w:cstheme="majorHAnsi"/>
        </w:rPr>
      </w:pPr>
      <w:r w:rsidRPr="00557E29">
        <w:rPr>
          <w:rFonts w:cstheme="majorHAnsi"/>
        </w:rPr>
        <w:t>Infant Birth Weight in Brazil</w:t>
      </w:r>
    </w:p>
    <w:p w14:paraId="0B693B86" w14:textId="77777777" w:rsidR="00197EF8" w:rsidRPr="00557E29" w:rsidRDefault="00000000" w:rsidP="00557E29">
      <w:pPr>
        <w:pStyle w:val="Subtitle"/>
        <w:rPr>
          <w:rFonts w:cstheme="majorHAnsi"/>
        </w:rPr>
      </w:pPr>
      <w:r w:rsidRPr="00557E29">
        <w:rPr>
          <w:rFonts w:cstheme="majorHAnsi"/>
        </w:rPr>
        <w:t>A Cross-Sectional Historical Approach</w:t>
      </w:r>
    </w:p>
    <w:p w14:paraId="5F1D4218" w14:textId="77777777" w:rsidR="00197EF8" w:rsidRPr="00557E29" w:rsidRDefault="00000000" w:rsidP="00557E29">
      <w:pPr>
        <w:pStyle w:val="Author"/>
        <w:rPr>
          <w:rFonts w:asciiTheme="majorHAnsi" w:hAnsiTheme="majorHAnsi" w:cstheme="majorHAnsi"/>
        </w:rPr>
      </w:pPr>
      <w:r w:rsidRPr="00557E29">
        <w:rPr>
          <w:rFonts w:asciiTheme="majorHAnsi" w:hAnsiTheme="majorHAnsi" w:cstheme="majorHAnsi"/>
        </w:rPr>
        <w:t>Cassia Roth</w:t>
      </w:r>
    </w:p>
    <w:p w14:paraId="007D7853" w14:textId="77777777" w:rsidR="00197EF8" w:rsidRPr="00557E29" w:rsidRDefault="00000000" w:rsidP="00557E29">
      <w:pPr>
        <w:pStyle w:val="Date"/>
        <w:rPr>
          <w:rFonts w:asciiTheme="majorHAnsi" w:hAnsiTheme="majorHAnsi" w:cstheme="majorHAnsi"/>
        </w:rPr>
      </w:pPr>
      <w:r w:rsidRPr="00557E29">
        <w:rPr>
          <w:rFonts w:asciiTheme="majorHAnsi" w:hAnsiTheme="majorHAnsi" w:cstheme="majorHAnsi"/>
        </w:rPr>
        <w:t>2024-08-12</w:t>
      </w:r>
    </w:p>
    <w:p w14:paraId="687DC751" w14:textId="77777777" w:rsidR="00197EF8" w:rsidRPr="00557E29" w:rsidRDefault="00000000" w:rsidP="00557E29">
      <w:pPr>
        <w:pStyle w:val="Heading1"/>
        <w:jc w:val="both"/>
        <w:rPr>
          <w:rFonts w:cstheme="majorHAnsi"/>
        </w:rPr>
      </w:pPr>
      <w:bookmarkStart w:id="0" w:name="abstract"/>
      <w:r w:rsidRPr="00557E29">
        <w:rPr>
          <w:rFonts w:cstheme="majorHAnsi"/>
        </w:rPr>
        <w:t>1. Abstract</w:t>
      </w:r>
    </w:p>
    <w:p w14:paraId="3C544CFD" w14:textId="77777777" w:rsidR="00197EF8" w:rsidRPr="00557E29" w:rsidRDefault="00000000" w:rsidP="00557E29">
      <w:pPr>
        <w:pStyle w:val="Heading2"/>
        <w:jc w:val="both"/>
        <w:rPr>
          <w:rFonts w:cstheme="majorHAnsi"/>
        </w:rPr>
      </w:pPr>
      <w:bookmarkStart w:id="1" w:name="background"/>
      <w:r w:rsidRPr="00557E29">
        <w:rPr>
          <w:rFonts w:cstheme="majorHAnsi"/>
        </w:rPr>
        <w:t>1.1 Background</w:t>
      </w:r>
    </w:p>
    <w:p w14:paraId="091A4DB2"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In 1888 Brazil became the last country in the Western Hemisphere to abolish slavery after nearly four centuries of its existence. After abolition, the state did not create programs to incorporate people formerly enslaved and their descendants into economic, civil, or political life. Qualitative historical research has outlined the gendered and racialized health disparities of people of African descent at the turn-of-the-twentieth century. Public health studies have shown that health disparities continue to mirror patterns from over a century ago. The goal of this study is to quantify health disparities in infant birth weights by maternal characteristics in the post-abolition period in one of Brazil’s first public maternity hospitals.</w:t>
      </w:r>
    </w:p>
    <w:p w14:paraId="51235997" w14:textId="77777777" w:rsidR="00197EF8" w:rsidRPr="00557E29" w:rsidRDefault="00000000" w:rsidP="00557E29">
      <w:pPr>
        <w:pStyle w:val="Heading2"/>
        <w:jc w:val="both"/>
        <w:rPr>
          <w:rFonts w:cstheme="majorHAnsi"/>
        </w:rPr>
      </w:pPr>
      <w:bookmarkStart w:id="2" w:name="methods"/>
      <w:bookmarkEnd w:id="1"/>
      <w:r w:rsidRPr="00557E29">
        <w:rPr>
          <w:rFonts w:cstheme="majorHAnsi"/>
        </w:rPr>
        <w:t>1.2 Methods</w:t>
      </w:r>
    </w:p>
    <w:p w14:paraId="5430CAF9"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This cross-sectional analysis uses hospital records on infants delivered between 1922-1926 at the Maternidade Laranjeiras (now Maternidade Escola) in Rio de Janeiro, Brazil, the city’s first public maternity hospital. I used linear models to assess differences in infant birth weight by maternal skin color, age, parity, and nationality.</w:t>
      </w:r>
    </w:p>
    <w:p w14:paraId="6EE7997B" w14:textId="77777777" w:rsidR="00197EF8" w:rsidRPr="00557E29" w:rsidRDefault="00000000" w:rsidP="00557E29">
      <w:pPr>
        <w:pStyle w:val="Heading2"/>
        <w:jc w:val="both"/>
        <w:rPr>
          <w:rFonts w:cstheme="majorHAnsi"/>
        </w:rPr>
      </w:pPr>
      <w:bookmarkStart w:id="3" w:name="findings"/>
      <w:bookmarkEnd w:id="2"/>
      <w:r w:rsidRPr="00557E29">
        <w:rPr>
          <w:rFonts w:cstheme="majorHAnsi"/>
        </w:rPr>
        <w:t>1.3 Findings</w:t>
      </w:r>
    </w:p>
    <w:p w14:paraId="45F7FA85"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Infants born to Afro-descendant women had birth weights estimated to be 85 grams lighter (p-value &lt;0.01) than infants born to Euro-descendant women, whether Brazilian or immigrant. Among Afro-descendant women, infants born to Black (</w:t>
      </w:r>
      <w:r w:rsidRPr="00557E29">
        <w:rPr>
          <w:rFonts w:asciiTheme="majorHAnsi" w:hAnsiTheme="majorHAnsi" w:cstheme="majorHAnsi"/>
          <w:i/>
          <w:iCs/>
        </w:rPr>
        <w:t>preta</w:t>
      </w:r>
      <w:r w:rsidRPr="00557E29">
        <w:rPr>
          <w:rFonts w:asciiTheme="majorHAnsi" w:hAnsiTheme="majorHAnsi" w:cstheme="majorHAnsi"/>
        </w:rPr>
        <w:t>) women had birth weights estimated to be 96 grams lighter (p-value &lt;0.01) than infants born to White women, and infants born to mixed-race (</w:t>
      </w:r>
      <w:r w:rsidRPr="00557E29">
        <w:rPr>
          <w:rFonts w:asciiTheme="majorHAnsi" w:hAnsiTheme="majorHAnsi" w:cstheme="majorHAnsi"/>
          <w:i/>
          <w:iCs/>
        </w:rPr>
        <w:t>parda</w:t>
      </w:r>
      <w:r w:rsidRPr="00557E29">
        <w:rPr>
          <w:rFonts w:asciiTheme="majorHAnsi" w:hAnsiTheme="majorHAnsi" w:cstheme="majorHAnsi"/>
        </w:rPr>
        <w:t>) women had birth weights estimated to be 72 grams lighter (p-value &lt;0.05) than infants born to White women.</w:t>
      </w:r>
    </w:p>
    <w:p w14:paraId="55529D4D" w14:textId="77777777" w:rsidR="00197EF8" w:rsidRPr="00557E29" w:rsidRDefault="00000000" w:rsidP="00557E29">
      <w:pPr>
        <w:pStyle w:val="Heading2"/>
        <w:jc w:val="both"/>
        <w:rPr>
          <w:rFonts w:cstheme="majorHAnsi"/>
        </w:rPr>
      </w:pPr>
      <w:bookmarkStart w:id="4" w:name="interpretations"/>
      <w:bookmarkEnd w:id="3"/>
      <w:r w:rsidRPr="00557E29">
        <w:rPr>
          <w:rFonts w:cstheme="majorHAnsi"/>
        </w:rPr>
        <w:t>1.4 Interpretations</w:t>
      </w:r>
    </w:p>
    <w:p w14:paraId="5D697CC5"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The findings were likely the consequence of the historical legacies of slavery, particularly race-based socioeconomic inequality – including more strenuous work schedules, poorer nutrition, and less sanitary living environments for women of color – and possible epigenetic effects from the lived experience of racism. The findings are consistent with current-day research on </w:t>
      </w:r>
      <w:r w:rsidRPr="00557E29">
        <w:rPr>
          <w:rFonts w:asciiTheme="majorHAnsi" w:hAnsiTheme="majorHAnsi" w:cstheme="majorHAnsi"/>
        </w:rPr>
        <w:lastRenderedPageBreak/>
        <w:t>racialized health disparities in Brazil, demonstrating the need to address the root causes of racism and its effects on health.</w:t>
      </w:r>
    </w:p>
    <w:p w14:paraId="32E47DB0" w14:textId="77777777" w:rsidR="00197EF8" w:rsidRPr="00557E29" w:rsidRDefault="00000000" w:rsidP="00557E29">
      <w:pPr>
        <w:pStyle w:val="Heading2"/>
        <w:jc w:val="both"/>
        <w:rPr>
          <w:rFonts w:cstheme="majorHAnsi"/>
        </w:rPr>
      </w:pPr>
      <w:bookmarkStart w:id="5" w:name="funding"/>
      <w:bookmarkEnd w:id="4"/>
      <w:r w:rsidRPr="00557E29">
        <w:rPr>
          <w:rFonts w:cstheme="majorHAnsi"/>
        </w:rPr>
        <w:t>1.5 Funding</w:t>
      </w:r>
    </w:p>
    <w:p w14:paraId="02B6A6E7"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This archival research for this project was funded by the National Science Foundation (NSF) and the Fulbright IIE Student Program.</w:t>
      </w:r>
    </w:p>
    <w:p w14:paraId="342D96DA" w14:textId="77777777" w:rsidR="00197EF8" w:rsidRPr="00557E29" w:rsidRDefault="00000000" w:rsidP="00557E29">
      <w:pPr>
        <w:jc w:val="both"/>
        <w:rPr>
          <w:rFonts w:asciiTheme="majorHAnsi" w:hAnsiTheme="majorHAnsi" w:cstheme="majorHAnsi"/>
        </w:rPr>
      </w:pPr>
      <w:r w:rsidRPr="00557E29">
        <w:rPr>
          <w:rFonts w:asciiTheme="majorHAnsi" w:hAnsiTheme="majorHAnsi" w:cstheme="majorHAnsi"/>
        </w:rPr>
        <w:br w:type="page"/>
      </w:r>
    </w:p>
    <w:p w14:paraId="5401061C" w14:textId="77777777" w:rsidR="00197EF8" w:rsidRPr="00557E29" w:rsidRDefault="00000000" w:rsidP="00557E29">
      <w:pPr>
        <w:pStyle w:val="Heading1"/>
        <w:jc w:val="both"/>
        <w:rPr>
          <w:rFonts w:cstheme="majorHAnsi"/>
        </w:rPr>
      </w:pPr>
      <w:bookmarkStart w:id="6" w:name="introduction"/>
      <w:bookmarkEnd w:id="0"/>
      <w:bookmarkEnd w:id="5"/>
      <w:r w:rsidRPr="00557E29">
        <w:rPr>
          <w:rFonts w:cstheme="majorHAnsi"/>
        </w:rPr>
        <w:lastRenderedPageBreak/>
        <w:t>2. Introduction</w:t>
      </w:r>
    </w:p>
    <w:p w14:paraId="465433A4"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 (1,2). In the field of maternal-infant health, both low birth weight (LBW) and preterm birth (PTB) within and across communities is a focal point of research, as LBW is associated with higher rates of neonatal and infant mortality and possible health problems over the life course (3–5).</w:t>
      </w:r>
    </w:p>
    <w:p w14:paraId="274E01C2"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Contemporary studies in Brazil have shown that non-White mothers have higher rates of LBW (5–7). These trends also hold true in the United States, the other major slave society in the Americas, where today Black newborns have higher rates of LBW than White newborns, with trends worsening over time (8). Racism is a major factor in these outcomes, as studies demonstrate that U.S.-born Black women have higher rates of LBW and PTB than Black immigrant women (9–11).</w:t>
      </w:r>
    </w:p>
    <w:p w14:paraId="76A62785"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Scholars across disciplines have argued that racialized health disparities in countries with histories of race-based chattel slavery are longstanding and tied to the unequal and violent social relations produced under that institution (12–15).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 (16–18).</w:t>
      </w:r>
    </w:p>
    <w:p w14:paraId="5F47146C"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Brazil imported over five million enslaved Africans during the nearly four centuries of the existence of chattel slavery in the country, compared to around 300,000 for the United States (19). Mortality rates that outstripped fertility rates in Brazil, in addition to higher rates of individual manumission or the freeing of an enslaved person, can help explain Brazil reliance on the transatlantic slave trade in comparison with the United States, where endogenous growth among the enslaved population occurred by the early nineteenth century (20).</w:t>
      </w:r>
    </w:p>
    <w:p w14:paraId="44E75DDB"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Brazil was also the last country to abolish slavery (1888) in the Western Hemisphere. In the nineteenth century, population-level health was poor for all Brazilians, but particularly so for enslaved individuals, who not only experienced the epidemic diseases such as cholera, plague, and yellow fever that affected the entire population, but also suffered from nutritional deficiencies (21,22).</w:t>
      </w:r>
    </w:p>
    <w:p w14:paraId="7B08869A"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In the immediate aftermath of the abolition of slavery, which coincided with the implementation of the country’s first republican form of government in 1889, no state-run efforts to incorporate formerly enslaved, African-descended peoples into economic, civic, or political life occurred (23). Scholars have shown how Black and mixed-race Brazilians were incarcerated at higher rates, had lower educational and literacy levels, and had worse health outcomes including infant mortality than their White and White immigrant counterparts (16,17,24,25).</w:t>
      </w:r>
    </w:p>
    <w:p w14:paraId="1120BF4E"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lastRenderedPageBreak/>
        <w:t>Yet recent studies also show an overall improvement in human welfare during this period, measured in increased height at the population level, particularly in Brazil’s southeastern region, where Rio de Janeiro is located (26). The early twentieth century was a period of advancement in both the provision of clinical care and the implementation of public health initiatives in Brazil and across the globe. Improved sanitation measures helped stem infectious disease outbreaks and improve quality of life (27,28).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 (17). Worldwide, the combination of these advancements in medical care and overall improvements in nutrition resulted in dramatic and sustained drops in maternal and infant mortality after World War II (29,30).</w:t>
      </w:r>
    </w:p>
    <w:p w14:paraId="3057C278"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By the 1920s, at least in Brazil’s large cities, public maternity hospitals, established in the previous three decades, had grown in number and size as obstetricians and public health officials worked to provide prenatal care and hospitalize labor and delivery (17,31–33). Dedicated maternity hospitals such as Laranjeiras were central to this hospitalization process. There, obstetricians and gynecologists began implementing surgical advances in labor and delivery (32,34). Underlying these structural and technological changes was an ideology scholars have described as “scientific motherhood,” supported by both physicians and elite women, which relied on a technocratic model towards pregnancy and motherhood and, in doing so, essentialized notions of gender and foregrounded physicians’ scientific authority (16,32,35).</w:t>
      </w:r>
    </w:p>
    <w:p w14:paraId="31CC32BD"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At the same time, longstanding racial hierarchies forged under racial slavery morphed into “scientific” ways to categorize humans based on skin color in post-abolition contexts. In Brazil, with a large Black and mixed-race population, early twentieth-century racist thinkers first embraced a theory of “whitening” in which they believed that racial mixture would eventually lead to a White population and then more preventive eugenic theories in the 1920s and 1930s that focused on improving environmental factors rather than restricting reproduction through sterilization (36,37). Although some eugenicists called for sterilization of citizens they deemed unfit, they never couched these discussions in explicitly racial terms (38,39). Whiteness remained a cultural and social goal even if the state did not engage in coercive measures of reproductive control.</w:t>
      </w:r>
    </w:p>
    <w:p w14:paraId="01C33888"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Maternidade Laranjeiras, which opened in 1904 and was the teaching hospital for the obstetrics and gynecology program at Rio de Janeiro’s medical school, was ground zero for the intersection of these forces. Laranjeiras provided gynecological and obstetric care free of charge; its clientele came from the city’s poor and working classes (17,31). Most patients were women of color defined as either Black or mixed race, and most White patients were immigrants. Because most clinical notes were short – only those that described surgical births such as cesarean sections included details – they do not show if racist thought affected how physicians, all male and mostly White, practiced medicine (34). Although the notes show no direct evidence of racist medical practice, the hospital space was one of gender and racial hierarchy – not separate from Brazilian society but its microcosm.</w:t>
      </w:r>
    </w:p>
    <w:p w14:paraId="395C71E7"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lastRenderedPageBreak/>
        <w:t>This study builds on an important body of work in economic history that uses hospital records to explore historical trends in birth weights (15,40–44). It also dialogues with studies in the human sciences that hypothesize an intergenerational effect of the poor health conditions, including poor nutrition and excessive workloads, experienced by enslaved individuals on their descendants across multiple generations (12,14,45).</w:t>
      </w:r>
    </w:p>
    <w:p w14:paraId="2A8A831D"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In exploring differences in infant birth weight according to maternal skin color in early twentieth-century Brazil, my aim is not to reify race as a genetic or epigenetic phenomenon. In our current postgenomic era, in which race as a biological category has been rejected, the possibility for the reaffirmation of centuries-old patterns of hierarchical scientific thinking remains very real (46). Contemporary research on epigenetic markers stemming from common experiences can create essentialist racial thinking just as past, debunked research into any genetic existence of race did (1). The working-class women and their children who relied on Laranjeiras for prenatal and delivery care were not “pathologically” different or part of permanently “damaged” communities (socially or biologically) but rather were living the consequences of centuries of chattel slavery and its aftermath (47).</w:t>
      </w:r>
    </w:p>
    <w:p w14:paraId="1ED4B200"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This study analyzes infant birth weight as a proxy for general fetal and neonatal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p w14:paraId="60BD61E5" w14:textId="77777777" w:rsidR="00197EF8" w:rsidRPr="00557E29" w:rsidRDefault="00000000" w:rsidP="00557E29">
      <w:pPr>
        <w:pStyle w:val="Heading1"/>
        <w:jc w:val="both"/>
        <w:rPr>
          <w:rFonts w:cstheme="majorHAnsi"/>
        </w:rPr>
      </w:pPr>
      <w:bookmarkStart w:id="7" w:name="methods-1"/>
      <w:bookmarkEnd w:id="6"/>
      <w:r w:rsidRPr="00557E29">
        <w:rPr>
          <w:rFonts w:cstheme="majorHAnsi"/>
        </w:rPr>
        <w:t>3. Methods</w:t>
      </w:r>
    </w:p>
    <w:p w14:paraId="5C617B5C" w14:textId="77777777" w:rsidR="00197EF8" w:rsidRPr="00557E29" w:rsidRDefault="00000000" w:rsidP="00557E29">
      <w:pPr>
        <w:pStyle w:val="Heading2"/>
        <w:jc w:val="both"/>
        <w:rPr>
          <w:rFonts w:cstheme="majorHAnsi"/>
        </w:rPr>
      </w:pPr>
      <w:bookmarkStart w:id="8" w:name="data"/>
      <w:r w:rsidRPr="00557E29">
        <w:rPr>
          <w:rFonts w:cstheme="majorHAnsi"/>
        </w:rPr>
        <w:t>3.1 Data</w:t>
      </w:r>
    </w:p>
    <w:p w14:paraId="22C66B37"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This analysis draws on a unique sample of 2,845 recorded clinical visits to Maternidade Laranjeiras between 1922 and 1926. I extracted the sample from Brazil’s premier obstetrics and gynecology journal, the </w:t>
      </w:r>
      <w:r w:rsidRPr="00557E29">
        <w:rPr>
          <w:rFonts w:asciiTheme="majorHAnsi" w:hAnsiTheme="majorHAnsi" w:cstheme="majorHAnsi"/>
          <w:i/>
          <w:iCs/>
        </w:rPr>
        <w:t>Revista de Gynecologia e d’Obstetricia</w:t>
      </w:r>
      <w:r w:rsidRPr="00557E29">
        <w:rPr>
          <w:rFonts w:asciiTheme="majorHAnsi" w:hAnsiTheme="majorHAnsi" w:cstheme="majorHAnsi"/>
        </w:rPr>
        <w:t xml:space="preserve"> (RGO).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 (17,48).</w:t>
      </w:r>
    </w:p>
    <w:p w14:paraId="310BDAF3"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lastRenderedPageBreak/>
        <w:t>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14:paraId="2EDB5812"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journal is held at the Biblioteca Nacional (BN), the Maternidade Escola, Rio de Janeiro (ME-UFRJ), and the Biblioteca CB/A-Biomédica A, Universidade Estadual do Rio de Janeiro (UERJ),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14:paraId="2FCE826E"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 xml:space="preserve">The project’s Github repository, particularly the </w:t>
      </w:r>
      <w:r w:rsidRPr="00557E29">
        <w:rPr>
          <w:rStyle w:val="VerbatimChar"/>
          <w:rFonts w:asciiTheme="majorHAnsi" w:hAnsiTheme="majorHAnsi" w:cstheme="majorHAnsi"/>
        </w:rPr>
        <w:t>Supplemental_Materials</w:t>
      </w:r>
      <w:r w:rsidRPr="00557E29">
        <w:rPr>
          <w:rFonts w:asciiTheme="majorHAnsi" w:hAnsiTheme="majorHAnsi" w:cstheme="majorHAnsi"/>
        </w:rPr>
        <w:t xml:space="preserve"> file, includes summary information on data processing, exploratory analysis, and model fitting. All materials, including the data set, are open access and reproducible, with instructions on the schematic of the workflow available online (49).</w:t>
      </w:r>
    </w:p>
    <w:p w14:paraId="206E9246" w14:textId="77777777" w:rsidR="00197EF8" w:rsidRPr="00557E29" w:rsidRDefault="00000000" w:rsidP="00557E29">
      <w:pPr>
        <w:pStyle w:val="Heading2"/>
        <w:jc w:val="both"/>
        <w:rPr>
          <w:rFonts w:cstheme="majorHAnsi"/>
        </w:rPr>
      </w:pPr>
      <w:bookmarkStart w:id="9" w:name="variables"/>
      <w:bookmarkEnd w:id="8"/>
      <w:r w:rsidRPr="00557E29">
        <w:rPr>
          <w:rFonts w:cstheme="majorHAnsi"/>
        </w:rPr>
        <w:t>3.2 Variables</w:t>
      </w:r>
    </w:p>
    <w:p w14:paraId="4CEE58E0" w14:textId="77777777" w:rsidR="00197EF8" w:rsidRPr="00557E29" w:rsidRDefault="00000000" w:rsidP="00557E29">
      <w:pPr>
        <w:pStyle w:val="Heading3"/>
        <w:jc w:val="both"/>
        <w:rPr>
          <w:rFonts w:cstheme="majorHAnsi"/>
        </w:rPr>
      </w:pPr>
      <w:bookmarkStart w:id="10" w:name="outcome"/>
      <w:r w:rsidRPr="00557E29">
        <w:rPr>
          <w:rFonts w:cstheme="majorHAnsi"/>
        </w:rPr>
        <w:t>3.2.1 Outcome</w:t>
      </w:r>
    </w:p>
    <w:p w14:paraId="094EF351" w14:textId="2042EA60"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i/>
          <w:iCs/>
        </w:rPr>
        <w:t>Birth weight</w:t>
      </w:r>
      <w:r w:rsidRPr="00557E29">
        <w:rPr>
          <w:rFonts w:asciiTheme="majorHAnsi" w:hAnsiTheme="majorHAnsi" w:cstheme="majorHAnsi"/>
        </w:rPr>
        <w:t>. The outcome was birth weight measured as a continuous variable in grams for live births only. In a secondary analysis, I also evaluated birth weight as a binary variable (either normal birth weight, NBW (≥2500 g) or LBW (&lt;2500 g), according to current WHO classifications) (50).</w:t>
      </w:r>
    </w:p>
    <w:p w14:paraId="34D92193" w14:textId="77777777" w:rsidR="00197EF8" w:rsidRPr="00557E29" w:rsidRDefault="00000000" w:rsidP="00557E29">
      <w:pPr>
        <w:pStyle w:val="Heading3"/>
        <w:jc w:val="both"/>
        <w:rPr>
          <w:rFonts w:cstheme="majorHAnsi"/>
        </w:rPr>
      </w:pPr>
      <w:bookmarkStart w:id="11" w:name="key-independent-variables"/>
      <w:bookmarkEnd w:id="10"/>
      <w:r w:rsidRPr="00557E29">
        <w:rPr>
          <w:rFonts w:cstheme="majorHAnsi"/>
        </w:rPr>
        <w:t>3.2.2 Key Independent Variables</w:t>
      </w:r>
    </w:p>
    <w:p w14:paraId="08E9D242"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i/>
          <w:iCs/>
        </w:rPr>
        <w:t>Maternal skin color</w:t>
      </w:r>
      <w:r w:rsidRPr="00557E29">
        <w:rPr>
          <w:rFonts w:asciiTheme="majorHAnsi" w:hAnsiTheme="majorHAnsi" w:cstheme="majorHAnsi"/>
        </w:rPr>
        <w:t>. The original records categorized maternal racial categories as White (</w:t>
      </w:r>
      <w:r w:rsidRPr="00557E29">
        <w:rPr>
          <w:rFonts w:asciiTheme="majorHAnsi" w:hAnsiTheme="majorHAnsi" w:cstheme="majorHAnsi"/>
          <w:i/>
          <w:iCs/>
        </w:rPr>
        <w:t>branca</w:t>
      </w:r>
      <w:r w:rsidRPr="00557E29">
        <w:rPr>
          <w:rFonts w:asciiTheme="majorHAnsi" w:hAnsiTheme="majorHAnsi" w:cstheme="majorHAnsi"/>
        </w:rPr>
        <w:t>), the reference group; mixed-race (</w:t>
      </w:r>
      <w:r w:rsidRPr="00557E29">
        <w:rPr>
          <w:rFonts w:asciiTheme="majorHAnsi" w:hAnsiTheme="majorHAnsi" w:cstheme="majorHAnsi"/>
          <w:i/>
          <w:iCs/>
        </w:rPr>
        <w:t>parda</w:t>
      </w:r>
      <w:r w:rsidRPr="00557E29">
        <w:rPr>
          <w:rFonts w:asciiTheme="majorHAnsi" w:hAnsiTheme="majorHAnsi" w:cstheme="majorHAnsi"/>
        </w:rPr>
        <w:t>); and Black (</w:t>
      </w:r>
      <w:r w:rsidRPr="00557E29">
        <w:rPr>
          <w:rFonts w:asciiTheme="majorHAnsi" w:hAnsiTheme="majorHAnsi" w:cstheme="majorHAnsi"/>
          <w:i/>
          <w:iCs/>
        </w:rPr>
        <w:t>preta</w:t>
      </w:r>
      <w:r w:rsidRPr="00557E29">
        <w:rPr>
          <w:rFonts w:asciiTheme="majorHAnsi" w:hAnsiTheme="majorHAnsi" w:cstheme="majorHAnsi"/>
        </w:rPr>
        <w:t xml:space="preserve">). I maintained this categorization. However, I also created a new dummy variable for skin color, combining Black and mixed-race patients into one category, </w:t>
      </w:r>
      <w:r w:rsidRPr="00557E29">
        <w:rPr>
          <w:rStyle w:val="VerbatimChar"/>
          <w:rFonts w:asciiTheme="majorHAnsi" w:hAnsiTheme="majorHAnsi" w:cstheme="majorHAnsi"/>
        </w:rPr>
        <w:t>Afro-Descent</w:t>
      </w:r>
      <w:r w:rsidRPr="00557E29">
        <w:rPr>
          <w:rFonts w:asciiTheme="majorHAnsi" w:hAnsiTheme="majorHAnsi" w:cstheme="majorHAnsi"/>
        </w:rPr>
        <w:t xml:space="preserve">, and White patients into a </w:t>
      </w:r>
      <w:r w:rsidRPr="00557E29">
        <w:rPr>
          <w:rStyle w:val="VerbatimChar"/>
          <w:rFonts w:asciiTheme="majorHAnsi" w:hAnsiTheme="majorHAnsi" w:cstheme="majorHAnsi"/>
        </w:rPr>
        <w:t>Euro-Descent</w:t>
      </w:r>
      <w:r w:rsidRPr="00557E29">
        <w:rPr>
          <w:rFonts w:asciiTheme="majorHAnsi" w:hAnsiTheme="majorHAnsi" w:cstheme="majorHAnsi"/>
        </w:rPr>
        <w:t xml:space="preserve"> category.</w:t>
      </w:r>
    </w:p>
    <w:p w14:paraId="0D33D6E4"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Racial terminology in Brazil was, and continues to be, complex and dynamic (2,51). Racial categories and skin color exist on a spectrum rather than a Black-White binary (51). Analyzing both specific categories of skin color and more general categories of ancestry can help address these different understandings of race and is also in line with recent studies, which look at all African-descended peoples as a group and then stratify by racial mixing (6,7).</w:t>
      </w:r>
    </w:p>
    <w:p w14:paraId="18C7A30D"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Maternal age</w:t>
      </w:r>
      <w:r w:rsidRPr="00557E29">
        <w:rPr>
          <w:rFonts w:asciiTheme="majorHAnsi" w:hAnsiTheme="majorHAnsi" w:cstheme="majorHAnsi"/>
        </w:rPr>
        <w:t>. I maintained the original data of maternal age in years.</w:t>
      </w:r>
    </w:p>
    <w:p w14:paraId="3DC6E25E"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Gestational status</w:t>
      </w:r>
      <w:r w:rsidRPr="00557E29">
        <w:rPr>
          <w:rFonts w:asciiTheme="majorHAnsi" w:hAnsiTheme="majorHAnsi" w:cstheme="majorHAnsi"/>
        </w:rP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 </w:t>
      </w:r>
      <w:r w:rsidRPr="00557E29">
        <w:rPr>
          <w:rStyle w:val="VerbatimChar"/>
          <w:rFonts w:asciiTheme="majorHAnsi" w:hAnsiTheme="majorHAnsi" w:cstheme="majorHAnsi"/>
        </w:rPr>
        <w:t>nulliparous</w:t>
      </w:r>
      <w:r w:rsidRPr="00557E29">
        <w:rPr>
          <w:rFonts w:asciiTheme="majorHAnsi" w:hAnsiTheme="majorHAnsi" w:cstheme="majorHAnsi"/>
        </w:rPr>
        <w:t xml:space="preserve"> (or any </w:t>
      </w:r>
      <w:r w:rsidRPr="00557E29">
        <w:rPr>
          <w:rFonts w:asciiTheme="majorHAnsi" w:hAnsiTheme="majorHAnsi" w:cstheme="majorHAnsi"/>
        </w:rPr>
        <w:lastRenderedPageBreak/>
        <w:t xml:space="preserve">woman who is giving birth for the first time); and 2) secundiparous, multiparous, secundigravida, trigravida, and multigravida into </w:t>
      </w:r>
      <w:r w:rsidRPr="00557E29">
        <w:rPr>
          <w:rStyle w:val="VerbatimChar"/>
          <w:rFonts w:asciiTheme="majorHAnsi" w:hAnsiTheme="majorHAnsi" w:cstheme="majorHAnsi"/>
        </w:rPr>
        <w:t>multiparous</w:t>
      </w:r>
      <w:r w:rsidRPr="00557E29">
        <w:rPr>
          <w:rFonts w:asciiTheme="majorHAnsi" w:hAnsiTheme="majorHAnsi" w:cstheme="majorHAnsi"/>
        </w:rPr>
        <w:t xml:space="preserve"> (or any woman who has given birth more than once).</w:t>
      </w:r>
    </w:p>
    <w:p w14:paraId="11E71647"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Maternal nationality</w:t>
      </w:r>
      <w:r w:rsidRPr="00557E29">
        <w:rPr>
          <w:rFonts w:asciiTheme="majorHAnsi" w:hAnsiTheme="majorHAnsi" w:cstheme="majorHAnsi"/>
        </w:rPr>
        <w:t>. The original hospital records recorded maternal nationality by country, which are available in the supplemental file. For analysis here, I created categories based on individual country (</w:t>
      </w:r>
      <w:r w:rsidRPr="00557E29">
        <w:rPr>
          <w:rStyle w:val="VerbatimChar"/>
          <w:rFonts w:asciiTheme="majorHAnsi" w:hAnsiTheme="majorHAnsi" w:cstheme="majorHAnsi"/>
        </w:rPr>
        <w:t>nationality</w:t>
      </w:r>
      <w:r w:rsidRPr="00557E29">
        <w:rPr>
          <w:rFonts w:asciiTheme="majorHAnsi" w:hAnsiTheme="majorHAnsi" w:cstheme="majorHAnsi"/>
        </w:rPr>
        <w:t>) and a dummy variable based on region (</w:t>
      </w:r>
      <w:r w:rsidRPr="00557E29">
        <w:rPr>
          <w:rStyle w:val="VerbatimChar"/>
          <w:rFonts w:asciiTheme="majorHAnsi" w:hAnsiTheme="majorHAnsi" w:cstheme="majorHAnsi"/>
        </w:rPr>
        <w:t>modifiednationality</w:t>
      </w:r>
      <w:r w:rsidRPr="00557E29">
        <w:rPr>
          <w:rFonts w:asciiTheme="majorHAnsi" w:hAnsiTheme="majorHAnsi" w:cstheme="majorHAnsi"/>
        </w:rPr>
        <w:t xml:space="preserve">). I recategorized the latter as follows: </w:t>
      </w:r>
      <w:r w:rsidRPr="00557E29">
        <w:rPr>
          <w:rStyle w:val="VerbatimChar"/>
          <w:rFonts w:asciiTheme="majorHAnsi" w:hAnsiTheme="majorHAnsi" w:cstheme="majorHAnsi"/>
        </w:rPr>
        <w:t>Brazilian</w:t>
      </w:r>
      <w:r w:rsidRPr="00557E29">
        <w:rPr>
          <w:rFonts w:asciiTheme="majorHAnsi" w:hAnsiTheme="majorHAnsi" w:cstheme="majorHAnsi"/>
        </w:rPr>
        <w:t xml:space="preserve">; </w:t>
      </w:r>
      <w:r w:rsidRPr="00557E29">
        <w:rPr>
          <w:rStyle w:val="VerbatimChar"/>
          <w:rFonts w:asciiTheme="majorHAnsi" w:hAnsiTheme="majorHAnsi" w:cstheme="majorHAnsi"/>
        </w:rPr>
        <w:t>Latin American</w:t>
      </w:r>
      <w:r w:rsidRPr="00557E29">
        <w:rPr>
          <w:rFonts w:asciiTheme="majorHAnsi" w:hAnsiTheme="majorHAnsi" w:cstheme="majorHAnsi"/>
        </w:rPr>
        <w:t xml:space="preserve"> (Argentine, Paraguayan, Uruguayan); </w:t>
      </w:r>
      <w:r w:rsidRPr="00557E29">
        <w:rPr>
          <w:rStyle w:val="VerbatimChar"/>
          <w:rFonts w:asciiTheme="majorHAnsi" w:hAnsiTheme="majorHAnsi" w:cstheme="majorHAnsi"/>
        </w:rPr>
        <w:t>European</w:t>
      </w:r>
      <w:r w:rsidRPr="00557E29">
        <w:rPr>
          <w:rFonts w:asciiTheme="majorHAnsi" w:hAnsiTheme="majorHAnsi" w:cstheme="majorHAnsi"/>
        </w:rPr>
        <w:t xml:space="preserve"> (Austrian, French, German, Italian, Polish, Portuguese, Romanian, Russian, Spanish, and Swiss); and </w:t>
      </w:r>
      <w:r w:rsidRPr="00557E29">
        <w:rPr>
          <w:rStyle w:val="VerbatimChar"/>
          <w:rFonts w:asciiTheme="majorHAnsi" w:hAnsiTheme="majorHAnsi" w:cstheme="majorHAnsi"/>
        </w:rPr>
        <w:t>Middle Eastern</w:t>
      </w:r>
      <w:r w:rsidRPr="00557E29">
        <w:rPr>
          <w:rFonts w:asciiTheme="majorHAnsi" w:hAnsiTheme="majorHAnsi" w:cstheme="majorHAnsi"/>
        </w:rPr>
        <w:t xml:space="preserve"> (Syrian).</w:t>
      </w:r>
    </w:p>
    <w:p w14:paraId="694E6B5F" w14:textId="77777777" w:rsidR="00197EF8" w:rsidRPr="00557E29" w:rsidRDefault="00000000" w:rsidP="00557E29">
      <w:pPr>
        <w:pStyle w:val="Heading3"/>
        <w:jc w:val="both"/>
        <w:rPr>
          <w:rFonts w:cstheme="majorHAnsi"/>
        </w:rPr>
      </w:pPr>
      <w:bookmarkStart w:id="12" w:name="key-descriptive-variables"/>
      <w:bookmarkEnd w:id="11"/>
      <w:r w:rsidRPr="00557E29">
        <w:rPr>
          <w:rFonts w:cstheme="majorHAnsi"/>
        </w:rPr>
        <w:t>3.2.3 Key Descriptive Variables</w:t>
      </w:r>
    </w:p>
    <w:p w14:paraId="007A0397"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i/>
          <w:iCs/>
        </w:rPr>
        <w:t>Birth</w:t>
      </w:r>
      <w:r w:rsidRPr="00557E29">
        <w:rPr>
          <w:rFonts w:asciiTheme="majorHAnsi" w:hAnsiTheme="majorHAnsi" w:cstheme="majorHAnsi"/>
        </w:rPr>
        <w:t>. I followed the original clinical categorizations for type of delivery in the following cases: natural, indicating minimal medical intervention and a vaginal delivery; interventionist, indicating medium medical intervention using forceps and a vaginal delivery;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 within this variable.</w:t>
      </w:r>
    </w:p>
    <w:p w14:paraId="63E876CB"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Infant length</w:t>
      </w:r>
      <w:r w:rsidRPr="00557E29">
        <w:rPr>
          <w:rFonts w:asciiTheme="majorHAnsi" w:hAnsiTheme="majorHAnsi" w:cstheme="majorHAnsi"/>
        </w:rPr>
        <w:t>. Infant length was recorded in centimeters in the original records. A more complete analysis would further explore interactions between birth weight and birth length, which can be a proxy for the nutritional and health status of the mother later in pregnancy (52). The third trimester is when most fetal weight gain occurs, and maternal malnutrition during this period can have a dramatic effect on infant birth weight (12).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 (53,54).</w:t>
      </w:r>
    </w:p>
    <w:p w14:paraId="682239C3"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Maternal outcome</w:t>
      </w:r>
      <w:r w:rsidRPr="00557E29">
        <w:rPr>
          <w:rFonts w:asciiTheme="majorHAnsi" w:hAnsiTheme="majorHAnsi" w:cstheme="majorHAnsi"/>
        </w:rPr>
        <w:t>. Hospital records recorded maternal outcome was recorded as death, discharge, or hospital transferal, which I maintain here. I assume that hospital transferal did not result in maternal death in my calculations of maternal mortality below.</w:t>
      </w:r>
    </w:p>
    <w:p w14:paraId="040EE85A"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Fetal outcome</w:t>
      </w:r>
      <w:r w:rsidRPr="00557E29">
        <w:rPr>
          <w:rFonts w:asciiTheme="majorHAnsi" w:hAnsiTheme="majorHAnsi" w:cstheme="majorHAnsi"/>
        </w:rPr>
        <w:t>. I recorded fetal outcome as live birth or stillbirth. For the statistical models, I excluded both spontaneous abortions (recorded in the birth variable) and any recorded live births weighing &lt;500 grams to avoid the inclusion of any possible stillbirths that were misrecorded as live births in the original data, which is standard methodology for looking at infant birth weight today (6,7,55). The clinic records recorded 20 neonatal deaths, which I included in the live birth category. These numbers could be higher, as the clinic only recorded deaths within the first week of life, probably because those infants died in the hospital rather than at home.</w:t>
      </w:r>
    </w:p>
    <w:p w14:paraId="4AF4777F"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Fetal sex</w:t>
      </w:r>
      <w:r w:rsidRPr="00557E29">
        <w:rPr>
          <w:rFonts w:asciiTheme="majorHAnsi" w:hAnsiTheme="majorHAnsi" w:cstheme="majorHAnsi"/>
        </w:rPr>
        <w:t>. I maintained the original hospital categories of fetal sex as male and female.</w:t>
      </w:r>
    </w:p>
    <w:p w14:paraId="1F9922D3" w14:textId="77777777" w:rsidR="00197EF8" w:rsidRPr="00557E29" w:rsidRDefault="00000000" w:rsidP="00557E29">
      <w:pPr>
        <w:pStyle w:val="Heading2"/>
        <w:jc w:val="both"/>
        <w:rPr>
          <w:rFonts w:cstheme="majorHAnsi"/>
        </w:rPr>
      </w:pPr>
      <w:bookmarkStart w:id="13" w:name="descriptive-statistics"/>
      <w:bookmarkEnd w:id="9"/>
      <w:bookmarkEnd w:id="12"/>
      <w:r w:rsidRPr="00557E29">
        <w:rPr>
          <w:rFonts w:cstheme="majorHAnsi"/>
        </w:rPr>
        <w:lastRenderedPageBreak/>
        <w:t>3.3 Descriptive statistics</w:t>
      </w:r>
    </w:p>
    <w:p w14:paraId="50D9AA67"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I calculated summary statistics for the sample, including sample proportions for maternal skin color, maternal ancestry, parity, maternal nationality, birth outcome, maternal outcome, fetal outcome, and fetal sex. I also calculated mean maternal age, infant birth length, and infant birth weight, as a whole and stratified by fetal sex and maternal skin color.</w:t>
      </w:r>
    </w:p>
    <w:p w14:paraId="496B22A2"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I also calculated the maternal mortality ratio (MMR), the mean stillbirth rate (SBR), and the sex ratio at birth (SRaB).</w:t>
      </w:r>
    </w:p>
    <w:p w14:paraId="2E1C8C4D"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(MMR) is:</w:t>
      </w:r>
    </w:p>
    <w:p w14:paraId="183F2B95" w14:textId="77777777" w:rsidR="00197EF8" w:rsidRPr="00557E29" w:rsidRDefault="00000000" w:rsidP="00557E29">
      <w:pPr>
        <w:pStyle w:val="BodyText"/>
        <w:jc w:val="both"/>
        <w:rPr>
          <w:rFonts w:asciiTheme="majorHAnsi" w:hAnsiTheme="majorHAnsi" w:cstheme="majorHAnsi"/>
        </w:rPr>
      </w:pPr>
      <m:oMathPara>
        <m:oMathParaPr>
          <m:jc m:val="center"/>
        </m:oMathParaPr>
        <m:oMath>
          <m:r>
            <w:rPr>
              <w:rFonts w:ascii="Cambria Math" w:hAnsi="Cambria Math" w:cstheme="majorHAnsi"/>
            </w:rPr>
            <m:t>MMR</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MD</m:t>
              </m:r>
            </m:num>
            <m:den>
              <m:r>
                <w:rPr>
                  <w:rFonts w:ascii="Cambria Math" w:hAnsi="Cambria Math" w:cstheme="majorHAnsi"/>
                </w:rPr>
                <m:t>LB</m:t>
              </m:r>
            </m:den>
          </m:f>
          <m:r>
            <m:rPr>
              <m:sty m:val="p"/>
            </m:rPr>
            <w:rPr>
              <w:rFonts w:ascii="Cambria Math" w:hAnsi="Cambria Math" w:cstheme="majorHAnsi"/>
            </w:rPr>
            <m:t>×</m:t>
          </m:r>
          <m:r>
            <w:rPr>
              <w:rFonts w:ascii="Cambria Math" w:hAnsi="Cambria Math" w:cstheme="majorHAnsi"/>
            </w:rPr>
            <m:t>10</m:t>
          </m:r>
          <m:r>
            <m:rPr>
              <m:sty m:val="p"/>
            </m:rPr>
            <w:rPr>
              <w:rFonts w:ascii="Cambria Math" w:hAnsi="Cambria Math" w:cstheme="majorHAnsi"/>
            </w:rPr>
            <m:t>,</m:t>
          </m:r>
          <m:r>
            <w:rPr>
              <w:rFonts w:ascii="Cambria Math" w:hAnsi="Cambria Math" w:cstheme="majorHAnsi"/>
            </w:rPr>
            <m:t>000</m:t>
          </m:r>
        </m:oMath>
      </m:oMathPara>
    </w:p>
    <w:p w14:paraId="4A77C327"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where maternal deaths (MD) are divided by 10,000 live births (LB). In current studies, MD are divided by 100,000 live births, but I use 10,000 in the denominator, which is in line with historical studies given the higher rates of deaths in the past and reporting uncertainties (29).</w:t>
      </w:r>
    </w:p>
    <w:p w14:paraId="6F8688B4"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SBR (excluding spontaneous abortion but including intrapartum death defined here as stillbirth) for the hospital, is:</w:t>
      </w:r>
    </w:p>
    <w:p w14:paraId="173763EB" w14:textId="77777777" w:rsidR="00197EF8" w:rsidRPr="00557E29" w:rsidRDefault="00000000" w:rsidP="00557E29">
      <w:pPr>
        <w:pStyle w:val="BodyText"/>
        <w:jc w:val="both"/>
        <w:rPr>
          <w:rFonts w:asciiTheme="majorHAnsi" w:hAnsiTheme="majorHAnsi" w:cstheme="majorHAnsi"/>
        </w:rPr>
      </w:pPr>
      <m:oMathPara>
        <m:oMathParaPr>
          <m:jc m:val="center"/>
        </m:oMathParaPr>
        <m:oMath>
          <m:r>
            <w:rPr>
              <w:rFonts w:ascii="Cambria Math" w:hAnsi="Cambria Math" w:cstheme="majorHAnsi"/>
            </w:rPr>
            <m:t>SBR</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SB</m:t>
              </m:r>
            </m:num>
            <m:den>
              <m:r>
                <w:rPr>
                  <w:rFonts w:ascii="Cambria Math" w:hAnsi="Cambria Math" w:cstheme="majorHAnsi"/>
                </w:rPr>
                <m:t>TB</m:t>
              </m:r>
            </m:den>
          </m:f>
          <m:r>
            <m:rPr>
              <m:sty m:val="p"/>
            </m:rPr>
            <w:rPr>
              <w:rFonts w:ascii="Cambria Math" w:hAnsi="Cambria Math" w:cstheme="majorHAnsi"/>
            </w:rPr>
            <m:t>×</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000</m:t>
          </m:r>
        </m:oMath>
      </m:oMathPara>
    </w:p>
    <w:p w14:paraId="4300F1E2"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where the total number of stillbirths (SB) is divided by 1000 total births (TB).</w:t>
      </w:r>
    </w:p>
    <w:p w14:paraId="164C37D5"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SRaB is:</w:t>
      </w:r>
    </w:p>
    <w:p w14:paraId="050699DC" w14:textId="77777777" w:rsidR="00197EF8" w:rsidRPr="00557E29" w:rsidRDefault="00000000" w:rsidP="00557E29">
      <w:pPr>
        <w:pStyle w:val="BodyText"/>
        <w:jc w:val="both"/>
        <w:rPr>
          <w:rFonts w:asciiTheme="majorHAnsi" w:hAnsiTheme="majorHAnsi" w:cstheme="majorHAnsi"/>
        </w:rPr>
      </w:pPr>
      <m:oMathPara>
        <m:oMathParaPr>
          <m:jc m:val="center"/>
        </m:oMathParaPr>
        <m:oMath>
          <m:r>
            <w:rPr>
              <w:rFonts w:ascii="Cambria Math" w:hAnsi="Cambria Math" w:cstheme="majorHAnsi"/>
            </w:rPr>
            <m:t>SRaB</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M</m:t>
              </m:r>
            </m:num>
            <m:den>
              <m:r>
                <w:rPr>
                  <w:rFonts w:ascii="Cambria Math" w:hAnsi="Cambria Math" w:cstheme="majorHAnsi"/>
                </w:rPr>
                <m:t>F</m:t>
              </m:r>
            </m:den>
          </m:f>
          <m:r>
            <m:rPr>
              <m:sty m:val="p"/>
            </m:rPr>
            <w:rPr>
              <w:rFonts w:ascii="Cambria Math" w:hAnsi="Cambria Math" w:cstheme="majorHAnsi"/>
            </w:rPr>
            <m:t>×</m:t>
          </m:r>
          <m:r>
            <w:rPr>
              <w:rFonts w:ascii="Cambria Math" w:hAnsi="Cambria Math" w:cstheme="majorHAnsi"/>
            </w:rPr>
            <m:t>100</m:t>
          </m:r>
        </m:oMath>
      </m:oMathPara>
    </w:p>
    <w:p w14:paraId="6949383A"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where the total number of live male births (M) is divided by 100 live female births (F) in a given period.</w:t>
      </w:r>
    </w:p>
    <w:p w14:paraId="38FF08D3" w14:textId="77777777" w:rsidR="00197EF8" w:rsidRPr="00557E29" w:rsidRDefault="00000000" w:rsidP="00557E29">
      <w:pPr>
        <w:pStyle w:val="Heading2"/>
        <w:jc w:val="both"/>
        <w:rPr>
          <w:rFonts w:cstheme="majorHAnsi"/>
        </w:rPr>
      </w:pPr>
      <w:bookmarkStart w:id="14" w:name="statistical-analysis"/>
      <w:bookmarkEnd w:id="13"/>
      <w:r w:rsidRPr="00557E29">
        <w:rPr>
          <w:rFonts w:cstheme="majorHAnsi"/>
        </w:rPr>
        <w:t>3.4 Statistical analysis</w:t>
      </w:r>
    </w:p>
    <w:p w14:paraId="2B0254E1"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I used Ordinary Least Squares (OLS) to estimate the relationship of maternal variables on infant birth weight. I employ birth weight as a continuous variable in line with both current and historical studies (11,40,41,56–58). Due to the lack of comprehensive information on gestational age in these data, I did not consider birth weight in reference to gestational age, as is best practice for disentangling PTB from LBW (59). I discuss this constraint in the discussion below.</w:t>
      </w:r>
    </w:p>
    <w:p w14:paraId="137F077E"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I further ran logistic models that estimated the relationship of maternal variables on infant birth weight as a categorical variable, in line with some studies on birth weight (4,6,7,55,60,61). Because most results were not statistically significant in these models, I do not include adjusted models here. Unadjusted and adjusted logistic models and results are included in the supplemental analysis.</w:t>
      </w:r>
    </w:p>
    <w:p w14:paraId="0B4F38C1"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lastRenderedPageBreak/>
        <w:t>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14:paraId="7940FEA1"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simple linear regression model for modified ancestry is as follows:</w:t>
      </w:r>
    </w:p>
    <w:p w14:paraId="4D75615F" w14:textId="77777777" w:rsidR="00197EF8" w:rsidRPr="00557E29" w:rsidRDefault="00000000" w:rsidP="00557E29">
      <w:pPr>
        <w:pStyle w:val="BodyText"/>
        <w:jc w:val="both"/>
        <w:rPr>
          <w:rFonts w:asciiTheme="majorHAnsi" w:hAnsiTheme="majorHAnsi" w:cstheme="majorHAnsi"/>
        </w:rPr>
      </w:pPr>
      <m:oMathPara>
        <m:oMathParaPr>
          <m:jc m:val="center"/>
        </m:oMathParaPr>
        <m:oMath>
          <m:r>
            <m:rPr>
              <m:nor/>
            </m:rPr>
            <w:rPr>
              <w:rFonts w:asciiTheme="majorHAnsi" w:hAnsiTheme="majorHAnsi" w:cstheme="majorHAnsi"/>
            </w:rPr>
            <m:t>BW</m:t>
          </m:r>
          <m:r>
            <m:rPr>
              <m:sty m:val="p"/>
            </m:rPr>
            <w:rPr>
              <w:rFonts w:ascii="Cambria Math" w:hAnsi="Cambria Math" w:cstheme="majorHAnsi"/>
            </w:rPr>
            <m:t>=</m:t>
          </m:r>
          <m:r>
            <w:rPr>
              <w:rFonts w:ascii="Cambria Math" w:hAnsi="Cambria Math" w:cstheme="majorHAnsi"/>
            </w:rPr>
            <m:t>α</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r>
            <m:rPr>
              <m:nor/>
            </m:rPr>
            <w:rPr>
              <w:rFonts w:asciiTheme="majorHAnsi" w:hAnsiTheme="majorHAnsi" w:cstheme="majorHAnsi"/>
            </w:rPr>
            <m:t>MA</m:t>
          </m:r>
          <m:r>
            <m:rPr>
              <m:sty m:val="p"/>
            </m:rPr>
            <w:rPr>
              <w:rFonts w:ascii="Cambria Math" w:hAnsi="Cambria Math" w:cstheme="majorHAnsi"/>
            </w:rPr>
            <m:t>+</m:t>
          </m:r>
          <m:r>
            <w:rPr>
              <w:rFonts w:ascii="Cambria Math" w:hAnsi="Cambria Math" w:cstheme="majorHAnsi"/>
            </w:rPr>
            <m:t>ϵ</m:t>
          </m:r>
        </m:oMath>
      </m:oMathPara>
    </w:p>
    <w:p w14:paraId="2B254F28"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whereas </w:t>
      </w:r>
      <w:r w:rsidRPr="00557E29">
        <w:rPr>
          <w:rStyle w:val="VerbatimChar"/>
          <w:rFonts w:asciiTheme="majorHAnsi" w:hAnsiTheme="majorHAnsi" w:cstheme="majorHAnsi"/>
        </w:rPr>
        <w:t>BW</w:t>
      </w:r>
      <w:r w:rsidRPr="00557E29">
        <w:rPr>
          <w:rFonts w:asciiTheme="majorHAnsi" w:hAnsiTheme="majorHAnsi" w:cstheme="majorHAnsi"/>
        </w:rPr>
        <w:t xml:space="preserve"> is birth weight in grams, </w:t>
      </w:r>
      <w:r w:rsidRPr="00557E29">
        <w:rPr>
          <w:rStyle w:val="VerbatimChar"/>
          <w:rFonts w:asciiTheme="majorHAnsi" w:hAnsiTheme="majorHAnsi" w:cstheme="majorHAnsi"/>
        </w:rPr>
        <w:t>MA</w:t>
      </w:r>
      <w:r w:rsidRPr="00557E29">
        <w:rPr>
          <w:rFonts w:asciiTheme="majorHAnsi" w:hAnsiTheme="majorHAnsi" w:cstheme="majorHAnsi"/>
        </w:rPr>
        <w:t xml:space="preserve"> is maternal ancestry (Euro-descent, Afro-descent), and </w:t>
      </w:r>
      <m:oMath>
        <m:r>
          <w:rPr>
            <w:rFonts w:ascii="Cambria Math" w:hAnsi="Cambria Math" w:cstheme="majorHAnsi"/>
          </w:rPr>
          <m:t>ϵ</m:t>
        </m:r>
      </m:oMath>
      <w:r w:rsidRPr="00557E29">
        <w:rPr>
          <w:rFonts w:asciiTheme="majorHAnsi" w:hAnsiTheme="majorHAnsi" w:cstheme="majorHAnsi"/>
        </w:rPr>
        <w:t xml:space="preserve"> is the error term.</w:t>
      </w:r>
    </w:p>
    <w:p w14:paraId="515A7C9C"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multiple linear regression model for modified ancestry is as follows:</w:t>
      </w:r>
    </w:p>
    <w:p w14:paraId="176B46AA" w14:textId="77777777" w:rsidR="00197EF8" w:rsidRPr="00557E29" w:rsidRDefault="00000000" w:rsidP="00557E29">
      <w:pPr>
        <w:pStyle w:val="BodyText"/>
        <w:jc w:val="both"/>
        <w:rPr>
          <w:rFonts w:asciiTheme="majorHAnsi" w:hAnsiTheme="majorHAnsi" w:cstheme="majorHAnsi"/>
        </w:rPr>
      </w:pPr>
      <m:oMathPara>
        <m:oMathParaPr>
          <m:jc m:val="center"/>
        </m:oMathParaPr>
        <m:oMath>
          <m:r>
            <m:rPr>
              <m:nor/>
            </m:rPr>
            <w:rPr>
              <w:rFonts w:asciiTheme="majorHAnsi" w:hAnsiTheme="majorHAnsi" w:cstheme="majorHAnsi"/>
            </w:rPr>
            <m:t>BW</m:t>
          </m:r>
          <m:r>
            <m:rPr>
              <m:sty m:val="p"/>
            </m:rPr>
            <w:rPr>
              <w:rFonts w:ascii="Cambria Math" w:hAnsi="Cambria Math" w:cstheme="majorHAnsi"/>
            </w:rPr>
            <m:t>=</m:t>
          </m:r>
          <m:r>
            <w:rPr>
              <w:rFonts w:ascii="Cambria Math" w:hAnsi="Cambria Math" w:cstheme="majorHAnsi"/>
            </w:rPr>
            <m:t>α</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r>
            <m:rPr>
              <m:nor/>
            </m:rPr>
            <w:rPr>
              <w:rFonts w:asciiTheme="majorHAnsi" w:hAnsiTheme="majorHAnsi" w:cstheme="majorHAnsi"/>
            </w:rPr>
            <m:t>MA</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r>
            <m:rPr>
              <m:nor/>
            </m:rPr>
            <w:rPr>
              <w:rFonts w:asciiTheme="majorHAnsi" w:hAnsiTheme="majorHAnsi" w:cstheme="majorHAnsi"/>
            </w:rPr>
            <m:t>Gest</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r>
            <m:rPr>
              <m:nor/>
            </m:rPr>
            <w:rPr>
              <w:rFonts w:asciiTheme="majorHAnsi" w:hAnsiTheme="majorHAnsi" w:cstheme="majorHAnsi"/>
            </w:rPr>
            <m:t>Nat</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r>
            <m:rPr>
              <m:nor/>
            </m:rPr>
            <w:rPr>
              <w:rFonts w:asciiTheme="majorHAnsi" w:hAnsiTheme="majorHAnsi" w:cstheme="majorHAnsi"/>
            </w:rPr>
            <m:t>Age</m:t>
          </m:r>
          <m:r>
            <m:rPr>
              <m:sty m:val="p"/>
            </m:rPr>
            <w:rPr>
              <w:rFonts w:ascii="Cambria Math" w:hAnsi="Cambria Math" w:cstheme="majorHAnsi"/>
            </w:rPr>
            <m:t>+</m:t>
          </m:r>
          <m:r>
            <w:rPr>
              <w:rFonts w:ascii="Cambria Math" w:hAnsi="Cambria Math" w:cstheme="majorHAnsi"/>
            </w:rPr>
            <m:t>ϵ</m:t>
          </m:r>
        </m:oMath>
      </m:oMathPara>
    </w:p>
    <w:p w14:paraId="0982A102"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whereas </w:t>
      </w:r>
      <w:r w:rsidRPr="00557E29">
        <w:rPr>
          <w:rStyle w:val="VerbatimChar"/>
          <w:rFonts w:asciiTheme="majorHAnsi" w:hAnsiTheme="majorHAnsi" w:cstheme="majorHAnsi"/>
        </w:rPr>
        <w:t>BW</w:t>
      </w:r>
      <w:r w:rsidRPr="00557E29">
        <w:rPr>
          <w:rFonts w:asciiTheme="majorHAnsi" w:hAnsiTheme="majorHAnsi" w:cstheme="majorHAnsi"/>
        </w:rPr>
        <w:t xml:space="preserve"> is birth weight in grams, </w:t>
      </w:r>
      <w:r w:rsidRPr="00557E29">
        <w:rPr>
          <w:rStyle w:val="VerbatimChar"/>
          <w:rFonts w:asciiTheme="majorHAnsi" w:hAnsiTheme="majorHAnsi" w:cstheme="majorHAnsi"/>
        </w:rPr>
        <w:t>MA</w:t>
      </w:r>
      <w:r w:rsidRPr="00557E29">
        <w:rPr>
          <w:rFonts w:asciiTheme="majorHAnsi" w:hAnsiTheme="majorHAnsi" w:cstheme="majorHAnsi"/>
        </w:rPr>
        <w:t xml:space="preserve"> is maternal ancestry (Euro-descent, Afro-descent), </w:t>
      </w:r>
      <w:r w:rsidRPr="00557E29">
        <w:rPr>
          <w:rStyle w:val="VerbatimChar"/>
          <w:rFonts w:asciiTheme="majorHAnsi" w:hAnsiTheme="majorHAnsi" w:cstheme="majorHAnsi"/>
        </w:rPr>
        <w:t>Gest</w:t>
      </w:r>
      <w:r w:rsidRPr="00557E29">
        <w:rPr>
          <w:rFonts w:asciiTheme="majorHAnsi" w:hAnsiTheme="majorHAnsi" w:cstheme="majorHAnsi"/>
        </w:rPr>
        <w:t xml:space="preserve"> is gestational status (nulliparous or multiparous), </w:t>
      </w:r>
      <w:r w:rsidRPr="00557E29">
        <w:rPr>
          <w:rStyle w:val="VerbatimChar"/>
          <w:rFonts w:asciiTheme="majorHAnsi" w:hAnsiTheme="majorHAnsi" w:cstheme="majorHAnsi"/>
        </w:rPr>
        <w:t>Age</w:t>
      </w:r>
      <w:r w:rsidRPr="00557E29">
        <w:rPr>
          <w:rFonts w:asciiTheme="majorHAnsi" w:hAnsiTheme="majorHAnsi" w:cstheme="majorHAnsi"/>
        </w:rPr>
        <w:t xml:space="preserve"> is maternal age in years, and </w:t>
      </w:r>
      <m:oMath>
        <m:r>
          <w:rPr>
            <w:rFonts w:ascii="Cambria Math" w:hAnsi="Cambria Math" w:cstheme="majorHAnsi"/>
          </w:rPr>
          <m:t>ϵ</m:t>
        </m:r>
      </m:oMath>
      <w:r w:rsidRPr="00557E29">
        <w:rPr>
          <w:rFonts w:asciiTheme="majorHAnsi" w:hAnsiTheme="majorHAnsi" w:cstheme="majorHAnsi"/>
        </w:rPr>
        <w:t xml:space="preserve"> is the error term.</w:t>
      </w:r>
    </w:p>
    <w:p w14:paraId="73677482"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simple linear regression model for original color is as follows:</w:t>
      </w:r>
    </w:p>
    <w:p w14:paraId="62ED9490" w14:textId="77777777" w:rsidR="00197EF8" w:rsidRPr="00557E29" w:rsidRDefault="00000000" w:rsidP="00557E29">
      <w:pPr>
        <w:pStyle w:val="BodyText"/>
        <w:jc w:val="both"/>
        <w:rPr>
          <w:rFonts w:asciiTheme="majorHAnsi" w:hAnsiTheme="majorHAnsi" w:cstheme="majorHAnsi"/>
        </w:rPr>
      </w:pPr>
      <m:oMathPara>
        <m:oMathParaPr>
          <m:jc m:val="center"/>
        </m:oMathParaPr>
        <m:oMath>
          <m:r>
            <m:rPr>
              <m:nor/>
            </m:rPr>
            <w:rPr>
              <w:rFonts w:asciiTheme="majorHAnsi" w:hAnsiTheme="majorHAnsi" w:cstheme="majorHAnsi"/>
            </w:rPr>
            <m:t>BW</m:t>
          </m:r>
          <m:r>
            <m:rPr>
              <m:sty m:val="p"/>
            </m:rPr>
            <w:rPr>
              <w:rFonts w:ascii="Cambria Math" w:hAnsi="Cambria Math" w:cstheme="majorHAnsi"/>
            </w:rPr>
            <m:t>=</m:t>
          </m:r>
          <m:r>
            <w:rPr>
              <w:rFonts w:ascii="Cambria Math" w:hAnsi="Cambria Math" w:cstheme="majorHAnsi"/>
            </w:rPr>
            <m:t>α</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r>
            <m:rPr>
              <m:nor/>
            </m:rPr>
            <w:rPr>
              <w:rFonts w:asciiTheme="majorHAnsi" w:hAnsiTheme="majorHAnsi" w:cstheme="majorHAnsi"/>
            </w:rPr>
            <m:t>MC</m:t>
          </m:r>
          <m:r>
            <m:rPr>
              <m:sty m:val="p"/>
            </m:rPr>
            <w:rPr>
              <w:rFonts w:ascii="Cambria Math" w:hAnsi="Cambria Math" w:cstheme="majorHAnsi"/>
            </w:rPr>
            <m:t>+</m:t>
          </m:r>
          <m:r>
            <w:rPr>
              <w:rFonts w:ascii="Cambria Math" w:hAnsi="Cambria Math" w:cstheme="majorHAnsi"/>
            </w:rPr>
            <m:t>ϵ</m:t>
          </m:r>
        </m:oMath>
      </m:oMathPara>
    </w:p>
    <w:p w14:paraId="4F694362"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whereas </w:t>
      </w:r>
      <w:r w:rsidRPr="00557E29">
        <w:rPr>
          <w:rStyle w:val="VerbatimChar"/>
          <w:rFonts w:asciiTheme="majorHAnsi" w:hAnsiTheme="majorHAnsi" w:cstheme="majorHAnsi"/>
        </w:rPr>
        <w:t>BW</w:t>
      </w:r>
      <w:r w:rsidRPr="00557E29">
        <w:rPr>
          <w:rFonts w:asciiTheme="majorHAnsi" w:hAnsiTheme="majorHAnsi" w:cstheme="majorHAnsi"/>
        </w:rPr>
        <w:t xml:space="preserve"> is birth weight in grams, </w:t>
      </w:r>
      <w:r w:rsidRPr="00557E29">
        <w:rPr>
          <w:rStyle w:val="VerbatimChar"/>
          <w:rFonts w:asciiTheme="majorHAnsi" w:hAnsiTheme="majorHAnsi" w:cstheme="majorHAnsi"/>
        </w:rPr>
        <w:t>MC</w:t>
      </w:r>
      <w:r w:rsidRPr="00557E29">
        <w:rPr>
          <w:rFonts w:asciiTheme="majorHAnsi" w:hAnsiTheme="majorHAnsi" w:cstheme="majorHAnsi"/>
        </w:rPr>
        <w:t xml:space="preserve"> is maternal skin color (White, Black, and mixed race), and </w:t>
      </w:r>
      <m:oMath>
        <m:r>
          <w:rPr>
            <w:rFonts w:ascii="Cambria Math" w:hAnsi="Cambria Math" w:cstheme="majorHAnsi"/>
          </w:rPr>
          <m:t>ϵ</m:t>
        </m:r>
      </m:oMath>
      <w:r w:rsidRPr="00557E29">
        <w:rPr>
          <w:rFonts w:asciiTheme="majorHAnsi" w:hAnsiTheme="majorHAnsi" w:cstheme="majorHAnsi"/>
        </w:rPr>
        <w:t xml:space="preserve"> is the error term. Results are displayed in Table 4.</w:t>
      </w:r>
    </w:p>
    <w:p w14:paraId="144AF619"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multiple linear regression model for original color is as follows:</w:t>
      </w:r>
    </w:p>
    <w:p w14:paraId="1ACFDB5A" w14:textId="77777777" w:rsidR="00197EF8" w:rsidRPr="00557E29" w:rsidRDefault="00000000" w:rsidP="00557E29">
      <w:pPr>
        <w:pStyle w:val="BodyText"/>
        <w:jc w:val="both"/>
        <w:rPr>
          <w:rFonts w:asciiTheme="majorHAnsi" w:hAnsiTheme="majorHAnsi" w:cstheme="majorHAnsi"/>
        </w:rPr>
      </w:pPr>
      <m:oMathPara>
        <m:oMathParaPr>
          <m:jc m:val="center"/>
        </m:oMathParaPr>
        <m:oMath>
          <m:r>
            <m:rPr>
              <m:nor/>
            </m:rPr>
            <w:rPr>
              <w:rFonts w:asciiTheme="majorHAnsi" w:hAnsiTheme="majorHAnsi" w:cstheme="majorHAnsi"/>
            </w:rPr>
            <m:t>BW</m:t>
          </m:r>
          <m:r>
            <m:rPr>
              <m:sty m:val="p"/>
            </m:rPr>
            <w:rPr>
              <w:rFonts w:ascii="Cambria Math" w:hAnsi="Cambria Math" w:cstheme="majorHAnsi"/>
            </w:rPr>
            <m:t>=</m:t>
          </m:r>
          <m:r>
            <w:rPr>
              <w:rFonts w:ascii="Cambria Math" w:hAnsi="Cambria Math" w:cstheme="majorHAnsi"/>
            </w:rPr>
            <m:t>α</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r>
            <m:rPr>
              <m:nor/>
            </m:rPr>
            <w:rPr>
              <w:rFonts w:asciiTheme="majorHAnsi" w:hAnsiTheme="majorHAnsi" w:cstheme="majorHAnsi"/>
            </w:rPr>
            <m:t>MC</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r>
            <m:rPr>
              <m:nor/>
            </m:rPr>
            <w:rPr>
              <w:rFonts w:asciiTheme="majorHAnsi" w:hAnsiTheme="majorHAnsi" w:cstheme="majorHAnsi"/>
            </w:rPr>
            <m:t>Gest</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r>
            <m:rPr>
              <m:nor/>
            </m:rPr>
            <w:rPr>
              <w:rFonts w:asciiTheme="majorHAnsi" w:hAnsiTheme="majorHAnsi" w:cstheme="majorHAnsi"/>
            </w:rPr>
            <m:t>Nat</m:t>
          </m:r>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r>
            <m:rPr>
              <m:nor/>
            </m:rPr>
            <w:rPr>
              <w:rFonts w:asciiTheme="majorHAnsi" w:hAnsiTheme="majorHAnsi" w:cstheme="majorHAnsi"/>
            </w:rPr>
            <m:t>Age</m:t>
          </m:r>
          <m:r>
            <m:rPr>
              <m:sty m:val="p"/>
            </m:rPr>
            <w:rPr>
              <w:rFonts w:ascii="Cambria Math" w:hAnsi="Cambria Math" w:cstheme="majorHAnsi"/>
            </w:rPr>
            <m:t>+</m:t>
          </m:r>
          <m:r>
            <w:rPr>
              <w:rFonts w:ascii="Cambria Math" w:hAnsi="Cambria Math" w:cstheme="majorHAnsi"/>
            </w:rPr>
            <m:t>ϵ</m:t>
          </m:r>
        </m:oMath>
      </m:oMathPara>
    </w:p>
    <w:p w14:paraId="331EBD00"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whereas </w:t>
      </w:r>
      <w:r w:rsidRPr="00557E29">
        <w:rPr>
          <w:rStyle w:val="VerbatimChar"/>
          <w:rFonts w:asciiTheme="majorHAnsi" w:hAnsiTheme="majorHAnsi" w:cstheme="majorHAnsi"/>
        </w:rPr>
        <w:t>BW</w:t>
      </w:r>
      <w:r w:rsidRPr="00557E29">
        <w:rPr>
          <w:rFonts w:asciiTheme="majorHAnsi" w:hAnsiTheme="majorHAnsi" w:cstheme="majorHAnsi"/>
        </w:rPr>
        <w:t xml:space="preserve"> is birth weight in grams, </w:t>
      </w:r>
      <w:r w:rsidRPr="00557E29">
        <w:rPr>
          <w:rStyle w:val="VerbatimChar"/>
          <w:rFonts w:asciiTheme="majorHAnsi" w:hAnsiTheme="majorHAnsi" w:cstheme="majorHAnsi"/>
        </w:rPr>
        <w:t>MC</w:t>
      </w:r>
      <w:r w:rsidRPr="00557E29">
        <w:rPr>
          <w:rFonts w:asciiTheme="majorHAnsi" w:hAnsiTheme="majorHAnsi" w:cstheme="majorHAnsi"/>
        </w:rPr>
        <w:t xml:space="preserve"> is maternal skin color (White, Black, and mixed race), </w:t>
      </w:r>
      <w:r w:rsidRPr="00557E29">
        <w:rPr>
          <w:rStyle w:val="VerbatimChar"/>
          <w:rFonts w:asciiTheme="majorHAnsi" w:hAnsiTheme="majorHAnsi" w:cstheme="majorHAnsi"/>
        </w:rPr>
        <w:t>Gest</w:t>
      </w:r>
      <w:r w:rsidRPr="00557E29">
        <w:rPr>
          <w:rFonts w:asciiTheme="majorHAnsi" w:hAnsiTheme="majorHAnsi" w:cstheme="majorHAnsi"/>
        </w:rPr>
        <w:t xml:space="preserve"> is gestational status (nulliparous or multiparous), </w:t>
      </w:r>
      <w:r w:rsidRPr="00557E29">
        <w:rPr>
          <w:rStyle w:val="VerbatimChar"/>
          <w:rFonts w:asciiTheme="majorHAnsi" w:hAnsiTheme="majorHAnsi" w:cstheme="majorHAnsi"/>
        </w:rPr>
        <w:t>Nat</w:t>
      </w:r>
      <w:r w:rsidRPr="00557E29">
        <w:rPr>
          <w:rFonts w:asciiTheme="majorHAnsi" w:hAnsiTheme="majorHAnsi" w:cstheme="majorHAnsi"/>
        </w:rPr>
        <w:t xml:space="preserve"> is maternal nationality (Brazilian, Latin American, European, Middle Eastern), </w:t>
      </w:r>
      <w:r w:rsidRPr="00557E29">
        <w:rPr>
          <w:rStyle w:val="VerbatimChar"/>
          <w:rFonts w:asciiTheme="majorHAnsi" w:hAnsiTheme="majorHAnsi" w:cstheme="majorHAnsi"/>
        </w:rPr>
        <w:t>Age</w:t>
      </w:r>
      <w:r w:rsidRPr="00557E29">
        <w:rPr>
          <w:rFonts w:asciiTheme="majorHAnsi" w:hAnsiTheme="majorHAnsi" w:cstheme="majorHAnsi"/>
        </w:rPr>
        <w:t xml:space="preserve"> is maternal age in years, and </w:t>
      </w:r>
      <m:oMath>
        <m:r>
          <w:rPr>
            <w:rFonts w:ascii="Cambria Math" w:hAnsi="Cambria Math" w:cstheme="majorHAnsi"/>
          </w:rPr>
          <m:t>ϵ</m:t>
        </m:r>
      </m:oMath>
      <w:r w:rsidRPr="00557E29">
        <w:rPr>
          <w:rFonts w:asciiTheme="majorHAnsi" w:hAnsiTheme="majorHAnsi" w:cstheme="majorHAnsi"/>
        </w:rPr>
        <w:t xml:space="preserve"> is the error term.</w:t>
      </w:r>
    </w:p>
    <w:p w14:paraId="3D457068" w14:textId="77777777" w:rsidR="00197EF8" w:rsidRPr="00557E29" w:rsidRDefault="00000000" w:rsidP="00557E29">
      <w:pPr>
        <w:pStyle w:val="Heading1"/>
        <w:jc w:val="both"/>
        <w:rPr>
          <w:rFonts w:cstheme="majorHAnsi"/>
        </w:rPr>
      </w:pPr>
      <w:bookmarkStart w:id="15" w:name="results"/>
      <w:bookmarkEnd w:id="7"/>
      <w:bookmarkEnd w:id="14"/>
      <w:r w:rsidRPr="00557E29">
        <w:rPr>
          <w:rFonts w:cstheme="majorHAnsi"/>
        </w:rPr>
        <w:t>4. Results</w:t>
      </w:r>
    </w:p>
    <w:p w14:paraId="2BF62398"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 xml:space="preserve">Table 1 provides summary statistics for the sample. In the hospital records, 58% were of African descent (defined as </w:t>
      </w:r>
      <w:r w:rsidRPr="00557E29">
        <w:rPr>
          <w:rFonts w:asciiTheme="majorHAnsi" w:hAnsiTheme="majorHAnsi" w:cstheme="majorHAnsi"/>
          <w:i/>
          <w:iCs/>
        </w:rPr>
        <w:t>preta</w:t>
      </w:r>
      <w:r w:rsidRPr="00557E29">
        <w:rPr>
          <w:rFonts w:asciiTheme="majorHAnsi" w:hAnsiTheme="majorHAnsi" w:cstheme="majorHAnsi"/>
        </w:rPr>
        <w:t xml:space="preserve"> or </w:t>
      </w:r>
      <w:r w:rsidRPr="00557E29">
        <w:rPr>
          <w:rFonts w:asciiTheme="majorHAnsi" w:hAnsiTheme="majorHAnsi" w:cstheme="majorHAnsi"/>
          <w:i/>
          <w:iCs/>
        </w:rPr>
        <w:t>parda</w:t>
      </w:r>
      <w:r w:rsidRPr="00557E29">
        <w:rPr>
          <w:rFonts w:asciiTheme="majorHAnsi" w:hAnsiTheme="majorHAnsi" w:cstheme="majorHAnsi"/>
        </w:rPr>
        <w:t>) and 42% were of European descent (</w:t>
      </w:r>
      <w:r w:rsidRPr="00557E29">
        <w:rPr>
          <w:rFonts w:asciiTheme="majorHAnsi" w:hAnsiTheme="majorHAnsi" w:cstheme="majorHAnsi"/>
          <w:i/>
          <w:iCs/>
        </w:rPr>
        <w:t>branca</w:t>
      </w:r>
      <w:r w:rsidRPr="00557E29">
        <w:rPr>
          <w:rFonts w:asciiTheme="majorHAnsi" w:hAnsiTheme="majorHAnsi" w:cstheme="majorHAnsi"/>
        </w:rPr>
        <w:t>). First-time mothers (“nulliparous”) were 41% of the sample. Of the total sample, 84% were Brazilian. Of the nearly 16% immigrant patients, 15% were from Europe.</w:t>
      </w:r>
    </w:p>
    <w:p w14:paraId="1CC04195"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94.1%. </w:t>
      </w:r>
      <w:r w:rsidRPr="00557E29">
        <w:rPr>
          <w:rFonts w:asciiTheme="majorHAnsi" w:hAnsiTheme="majorHAnsi" w:cstheme="majorHAnsi"/>
        </w:rPr>
        <w:lastRenderedPageBreak/>
        <w:t>The SBR was 82.9%. The sex ratio was 1.2: there were 120 male live births per 100 female live births. This is much higher than the current range of between 103 and 107 male births per 100 female births (62).</w:t>
      </w:r>
    </w:p>
    <w:p w14:paraId="16A0AFEC"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The overall rate of LBW for infants born to Afro-descended mothers was 12.4%, compared to 9.7% for Euro-descended mothers. Results for all linear models are displayed in Tables 2 and 3. All models demonstrate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85 grams lighter than their Euro-descended counterparts (Table 2). In Table 3, which shows the models run using the hospital records’ original skin color categories, Black mothers gave birth to infants weighing on average 100 grams less than White mothers, while mixed-race mothers gave birth to infants weighing on average 72 grams lighter than White mothers. Infants born to women of African descent were both lighter and more likely to be LBW than infants born to women of only European descent.</w:t>
      </w:r>
    </w:p>
    <w:p w14:paraId="2D89AC74"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In models 1 and 2 (Table 2), women who were nulliparous (delivering their first child) had infants weighing on average 113 grams less than multiparous women. In models 3 and 4 (Table 3), the average was 114 grams lighter. This is an association found both in other historical studies and today (40,63). Age and nationality were not significant.</w:t>
      </w:r>
    </w:p>
    <w:p w14:paraId="15A9AF11"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Unadjusted ORs (Table 4) demonstrate that women of African-descent had higher odds of giving birth to infants with lower birth weight than Euro-descended women (OR 1.43, 95% CI 1.07, 1.95, p-value 0.019). When using the hospital records’ original skin color categories, mixed-race women had higher odds of giving birth to infants of lower birth weight (OR 1.64, 95% CI 1.17, 2.30, p-value 0.004), but results for the infants of Black women were not significant (OR 1.23, 95% CI 0.85, 1.77, p-value 0.3).</w:t>
      </w:r>
    </w:p>
    <w:p w14:paraId="29ADD93F" w14:textId="77777777" w:rsidR="00197EF8" w:rsidRPr="00557E29" w:rsidRDefault="00000000" w:rsidP="00557E29">
      <w:pPr>
        <w:pStyle w:val="Heading1"/>
        <w:jc w:val="both"/>
        <w:rPr>
          <w:rFonts w:cstheme="majorHAnsi"/>
        </w:rPr>
      </w:pPr>
      <w:bookmarkStart w:id="16" w:name="discussion"/>
      <w:bookmarkEnd w:id="15"/>
      <w:r w:rsidRPr="00557E29">
        <w:rPr>
          <w:rFonts w:cstheme="majorHAnsi"/>
        </w:rPr>
        <w:t>5. Discussion</w:t>
      </w:r>
    </w:p>
    <w:p w14:paraId="0D7416F6" w14:textId="77777777" w:rsidR="00197EF8" w:rsidRPr="00557E29" w:rsidRDefault="00000000" w:rsidP="00557E29">
      <w:pPr>
        <w:pStyle w:val="FirstParagraph"/>
        <w:jc w:val="both"/>
        <w:rPr>
          <w:rFonts w:asciiTheme="majorHAnsi" w:hAnsiTheme="majorHAnsi" w:cstheme="majorHAnsi"/>
        </w:rPr>
      </w:pPr>
      <w:r w:rsidRPr="00557E29">
        <w:rPr>
          <w:rFonts w:asciiTheme="majorHAnsi" w:hAnsiTheme="majorHAnsi" w:cstheme="majorHAnsi"/>
        </w:rPr>
        <w:t>In general, maternal and infant outcomes were not better in the Maternidade Laranjeiras. Between 1922 and 1926, the clinic’s MMR was 94.26%. For those same years, the MMR for the city of Rio de Janeiro was 65.65% (17). Hospital rates probably reflected a registration effect, as medical personnel recorded all births and deaths, whereas reporting at the city level was less reliable (29). Rio de Janeiro’s vital statistics were still poorly defined and intermittently collected in the 1920s (17). Thus, the city’s rates were probably higher. The same pattern holds true for the SBR, which was 84.8% for Laranjeiras and 73.68% for the city of Rio de Janeiro for the same period (17). Again, registration effects could explain the higher hospital rates.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 (42).</w:t>
      </w:r>
    </w:p>
    <w:p w14:paraId="39A1A360"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lastRenderedPageBreak/>
        <w:t>Laranjeiras also had a high sex ratio (1.2).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 (64). However, this explanation does not hold for a maternity clinic in which women were seeking care to deliver their infants. The skewed sex ratio deserves further study.</w:t>
      </w:r>
    </w:p>
    <w:p w14:paraId="090562B5"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This study found that women of African descent in early twentieth-century Brazil both had infants with lower birth weights and higher rates of LBW than their White counterparts. When compared both historically and contemporaneously, we can see that women at Laranjeiras did not fair as well as their counterparts in other major cities across the globe or with their counterparts today. Although the mean birth weight was still within today’s normal range, the differences between racialized groups demonstrate differential health outcomes that have persisted until today.</w:t>
      </w:r>
    </w:p>
    <w:p w14:paraId="2EA88283"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Table 4 provides the mean birth weights for the Laranjeiras sample, stratified by sex and maternal skin color in comparison with both current-day birth weights from various regions in Brazil and historical studies on birth weight across the Americas and in New Zealand.</w:t>
      </w:r>
    </w:p>
    <w:p w14:paraId="11A39D61"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Black infants born at Laranjeiras had the lowest mean birth weight (3037 grams) when analyzed in conjunction with other historical samples except for estimated enslaved birth weights in the antebellum US South (15), which scholars have since called into question for being too low (41). Black infants born at Laranjeiras were almost 150 grams lighter than Black infants born at the Johns Hopkins hospital during an equivalent historical period. They were less than 100 grams lighter than Black infants born to mothers with incomplete K-12 schooling in early twenty-first century Rio de Janeiro. White infants born at Laranjeiras had a mean birth weight of 3133 grams, slightly more than 50 grams lighter than White infants born to mothers with incomplete K-12 schooling in early twenty-first century Rio de Janeiro. They were nearly 300 grams lighter than White infants born at the Johns Hopkins hospital during an equivalent historical period (3423 grams).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historical period (40–42).</w:t>
      </w:r>
    </w:p>
    <w:p w14:paraId="4CD95825"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 xml:space="preserve">What can explain the differences in birth weight both historically and today? The intrauterine environment is a critical determinant of infant birth weight. Infectious disease, alcohol or drug use, smoking, heavy physical work, and inadequate prenatal care can all influence birth weight. Maternal nutrition can as well, although the relationship is nonlinear in that the pregnant body protects the fetus at the expense of the mother, and a threshold of malnutrition must be met before there is an adverse effect on fetal growth (15,40). Other factors include maternal age, parity, birth spacing, and gestational age. We can imagine that poorer women in early twentieth-century Rio de Janeiro performed physically taxing jobs that required them to stand for long periods of time, including as washerwomen, domestic help, and street vendors (65). These same women might have lived in crowded housing arrangements with lack of access to </w:t>
      </w:r>
      <w:r w:rsidRPr="00557E29">
        <w:rPr>
          <w:rFonts w:asciiTheme="majorHAnsi" w:hAnsiTheme="majorHAnsi" w:cstheme="majorHAnsi"/>
        </w:rPr>
        <w:lastRenderedPageBreak/>
        <w:t>running water (17,25,65). Generalized poverty might have influenced both maternal nutrition and the ability to access prenatal care.</w:t>
      </w:r>
    </w:p>
    <w:p w14:paraId="49176F57"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 (66). The clinical records that comprise this dataset did not consistently record syphilis rates. Scholars have shown how medical and public health professionals viewed it as an important cause of adverse health outcomes and even a possible “scourge” on the future of the Brazilian race during this historical period (67). Although I don’t have accurate rates for Laranjeiras, city-wide rates from the 1930s can provide some context for the prevalence of infection among pregnant women. Of all prenatal syphilis exams performed between 1935 and 1938 at public clinics or hospitals across the city, unadjusted for maternal skin color, 7.92% came back positive (68).</w:t>
      </w:r>
    </w:p>
    <w:p w14:paraId="231725AA"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 (45). Yet, it is crucial to remember that these are not deterministic processes but can be counteracted by social and political interventions that address the root causes of racism and its effects on health (1).</w:t>
      </w:r>
    </w:p>
    <w:p w14:paraId="4A0CA20E"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Strengths and Limitations</w:t>
      </w:r>
      <w:r w:rsidRPr="00557E29">
        <w:rPr>
          <w:rFonts w:asciiTheme="majorHAnsi" w:hAnsiTheme="majorHAnsi" w:cstheme="majorHAnsi"/>
        </w:rPr>
        <w:t xml:space="preserve"> 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14:paraId="61B1CEDF"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rPr>
        <w:t xml:space="preserve">All models based on historical data must contend with limited sample sizes, missing data, and imprecise measures of health and nutrition (26,43,69). In this study, a major limitation was the original published clinical notes’ exclusion of gestational age. Thus, the birth weight variable captured both smaller babies born at term (low weight at-term infants, or small for gestational age, SGA) and pre-term infants, or those born before 37 weeks’ gestation. We are thus unable to know how many of these infants were low birth weight at term (60). This limits our ability to understand the relationship between maternal variables and infant birth weight as pre-term infants are more likely to have lower birth weights (59). Given the absence of accurate technological techniques for determining gestational age in the past, this limitation is inherent </w:t>
      </w:r>
      <w:r w:rsidRPr="00557E29">
        <w:rPr>
          <w:rFonts w:asciiTheme="majorHAnsi" w:hAnsiTheme="majorHAnsi" w:cstheme="majorHAnsi"/>
        </w:rPr>
        <w:lastRenderedPageBreak/>
        <w:t>to any historical inquiry into birth weights, although other historical studies have datasets that include gestational age (40–42). I assume that infants at risk for PTB were also at-risk for LBW.</w:t>
      </w:r>
    </w:p>
    <w:p w14:paraId="7D5A2E67" w14:textId="77777777" w:rsidR="00197EF8" w:rsidRPr="00557E29" w:rsidRDefault="00000000" w:rsidP="00557E29">
      <w:pPr>
        <w:pStyle w:val="BodyText"/>
        <w:jc w:val="both"/>
        <w:rPr>
          <w:rFonts w:asciiTheme="majorHAnsi" w:hAnsiTheme="majorHAnsi" w:cstheme="majorHAnsi"/>
        </w:rPr>
      </w:pPr>
      <w:r w:rsidRPr="00557E29">
        <w:rPr>
          <w:rFonts w:asciiTheme="majorHAnsi" w:hAnsiTheme="majorHAnsi" w:cstheme="majorHAnsi"/>
          <w:i/>
          <w:iCs/>
        </w:rPr>
        <w:t>Conclusion</w:t>
      </w:r>
      <w:r w:rsidRPr="00557E29">
        <w:rPr>
          <w:rFonts w:asciiTheme="majorHAnsi" w:hAnsiTheme="majorHAnsi" w:cstheme="majorHAnsi"/>
        </w:rPr>
        <w:t xml:space="preserve"> Lack of data on maternal nutrition and health status, which cannot be corrected for by using maternal skin color as a proxy for overall health, is a major impediment to understanding the true relationship between maternal variables and infant birth weight in this study. Given the paucity of historical understandings of current-day health disparities in maternal-infant health, this paper demonstrates the need for more research into quantitative associations between socio-demographic categories and health in the past.</w:t>
      </w:r>
    </w:p>
    <w:p w14:paraId="07B32D1E"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tbl>
      <w:tblPr>
        <w:tblStyle w:val="Table"/>
        <w:tblW w:w="5000" w:type="pct"/>
        <w:tblLayout w:type="fixed"/>
        <w:tblLook w:val="0000" w:firstRow="0" w:lastRow="0" w:firstColumn="0" w:lastColumn="0" w:noHBand="0" w:noVBand="0"/>
      </w:tblPr>
      <w:tblGrid>
        <w:gridCol w:w="9576"/>
      </w:tblGrid>
      <w:tr w:rsidR="00197EF8" w:rsidRPr="00557E29" w14:paraId="6A89232C" w14:textId="77777777">
        <w:tc>
          <w:tcPr>
            <w:tcW w:w="7920" w:type="dxa"/>
          </w:tcPr>
          <w:p w14:paraId="7FD68993" w14:textId="77777777" w:rsidR="00197EF8" w:rsidRPr="00557E29" w:rsidRDefault="00000000" w:rsidP="00557E29">
            <w:pPr>
              <w:pStyle w:val="ImageCaption"/>
              <w:spacing w:after="0"/>
              <w:rPr>
                <w:rFonts w:asciiTheme="majorHAnsi" w:hAnsiTheme="majorHAnsi" w:cstheme="majorHAnsi"/>
              </w:rPr>
            </w:pPr>
            <w:bookmarkStart w:id="17" w:name="tbl-table1"/>
            <w:r w:rsidRPr="00557E29">
              <w:rPr>
                <w:rFonts w:asciiTheme="majorHAnsi" w:hAnsiTheme="majorHAnsi" w:cstheme="majorHAnsi"/>
              </w:rPr>
              <w:lastRenderedPageBreak/>
              <w:t>Table 1: Summary Statistics</w:t>
            </w:r>
          </w:p>
          <w:tbl>
            <w:tblPr>
              <w:tblStyle w:val="Table"/>
              <w:tblW w:w="0" w:type="auto"/>
              <w:jc w:val="center"/>
              <w:tblLayout w:type="fixed"/>
              <w:tblLook w:val="0420" w:firstRow="1" w:lastRow="0" w:firstColumn="0" w:lastColumn="0" w:noHBand="0" w:noVBand="1"/>
            </w:tblPr>
            <w:tblGrid>
              <w:gridCol w:w="3195"/>
              <w:gridCol w:w="1265"/>
            </w:tblGrid>
            <w:tr w:rsidR="00197EF8" w:rsidRPr="00557E29" w14:paraId="03396F9D" w14:textId="77777777" w:rsidTr="00197EF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68B6A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033EDE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N = 2,845</w:t>
                  </w:r>
                  <w:r w:rsidRPr="00557E29">
                    <w:rPr>
                      <w:rFonts w:asciiTheme="majorHAnsi" w:eastAsia="Helvetica" w:hAnsiTheme="majorHAnsi" w:cstheme="majorHAnsi"/>
                      <w:color w:val="000000"/>
                      <w:sz w:val="22"/>
                      <w:szCs w:val="22"/>
                      <w:vertAlign w:val="superscript"/>
                    </w:rPr>
                    <w:t>1</w:t>
                  </w:r>
                </w:p>
              </w:tc>
            </w:tr>
            <w:tr w:rsidR="00197EF8" w:rsidRPr="00557E29" w14:paraId="57F2B7EA" w14:textId="77777777" w:rsidTr="00197EF8">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873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Color (n = 2,695)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372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79AA6563"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67E6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Black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CDD1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763 (28%)</w:t>
                  </w:r>
                </w:p>
              </w:tc>
            </w:tr>
            <w:tr w:rsidR="00197EF8" w:rsidRPr="00557E29" w14:paraId="13175437"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835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Mixed Race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B4E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788 (29%)</w:t>
                  </w:r>
                </w:p>
              </w:tc>
            </w:tr>
            <w:tr w:rsidR="00197EF8" w:rsidRPr="00557E29" w14:paraId="43F7579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67D1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White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0DF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1,144 (42%)</w:t>
                  </w:r>
                </w:p>
              </w:tc>
            </w:tr>
            <w:tr w:rsidR="00197EF8" w:rsidRPr="00557E29" w14:paraId="59F2900D"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7EF0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Ancestry (n = 2,695)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E21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3F74E381"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D267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Afro-Descent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00E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1,551 (58%)</w:t>
                  </w:r>
                </w:p>
              </w:tc>
            </w:tr>
            <w:tr w:rsidR="00197EF8" w:rsidRPr="00557E29" w14:paraId="6493A5F8"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8A52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Euro-Descent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9CF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1,144 (42%)</w:t>
                  </w:r>
                </w:p>
              </w:tc>
            </w:tr>
            <w:tr w:rsidR="00197EF8" w:rsidRPr="00557E29" w14:paraId="6C4AB4BB"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FDB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Parity (n = 2,836)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B975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3939AE31"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63F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Multiparous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DD1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1,681 (59%)</w:t>
                  </w:r>
                </w:p>
              </w:tc>
            </w:tr>
            <w:tr w:rsidR="00197EF8" w:rsidRPr="00557E29" w14:paraId="510D5472"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C5F8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Nulliparous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5E3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1,155 (41%)</w:t>
                  </w:r>
                </w:p>
              </w:tc>
            </w:tr>
            <w:tr w:rsidR="00197EF8" w:rsidRPr="00557E29" w14:paraId="73D81DE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D8BE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Maternal Age (n = 2,783)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0BB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25.3 (5.8)</w:t>
                  </w:r>
                </w:p>
              </w:tc>
            </w:tr>
            <w:tr w:rsidR="00197EF8" w:rsidRPr="00557E29" w14:paraId="00F0404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1569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Combined Nationality (n = 2,773)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563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39BC4EA9"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764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European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3CA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416 (15%)</w:t>
                  </w:r>
                </w:p>
              </w:tc>
            </w:tr>
            <w:tr w:rsidR="00197EF8" w:rsidRPr="00557E29" w14:paraId="790CF91E"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7AE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Latin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254D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12 (0.4%)</w:t>
                  </w:r>
                </w:p>
              </w:tc>
            </w:tr>
            <w:tr w:rsidR="00197EF8" w:rsidRPr="00557E29" w14:paraId="482360C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DE54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Middle Eastern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34C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 (0.1%)</w:t>
                  </w:r>
                </w:p>
              </w:tc>
            </w:tr>
            <w:tr w:rsidR="00197EF8" w:rsidRPr="00557E29" w14:paraId="54D9B383"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C8C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Brazilian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4637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2,342 (84%)</w:t>
                  </w:r>
                </w:p>
              </w:tc>
            </w:tr>
            <w:tr w:rsidR="00197EF8" w:rsidRPr="00557E29" w14:paraId="4CF32319"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812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Birth Outcome (n = 2,761)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A9D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02BF0B6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6644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Abortion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2BF3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89 (3.2%)</w:t>
                  </w:r>
                </w:p>
              </w:tc>
            </w:tr>
            <w:tr w:rsidR="00197EF8" w:rsidRPr="00557E29" w14:paraId="128AD9DD"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626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Interventionist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369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183 (6.6%)</w:t>
                  </w:r>
                </w:p>
              </w:tc>
            </w:tr>
            <w:tr w:rsidR="00197EF8" w:rsidRPr="00557E29" w14:paraId="7F6071E1"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4A8E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Natural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B4C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2,429 (88%)</w:t>
                  </w:r>
                </w:p>
              </w:tc>
            </w:tr>
            <w:tr w:rsidR="00197EF8" w:rsidRPr="00557E29" w14:paraId="561D7005"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DCB2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Operative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B87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60 (2.2%)</w:t>
                  </w:r>
                </w:p>
              </w:tc>
            </w:tr>
            <w:tr w:rsidR="00197EF8" w:rsidRPr="00557E29" w14:paraId="07E1F55B"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F5D2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Maternal Outcome (n = 2,829)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4E214"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09B67937"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609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Discharged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CC4C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2,802 (99%)</w:t>
                  </w:r>
                </w:p>
              </w:tc>
            </w:tr>
            <w:tr w:rsidR="00197EF8" w:rsidRPr="00557E29" w14:paraId="025036F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F8D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Death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287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23 (0.8%)</w:t>
                  </w:r>
                </w:p>
              </w:tc>
            </w:tr>
            <w:tr w:rsidR="00197EF8" w:rsidRPr="00557E29" w14:paraId="7F975A6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8E59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Hospital transferal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BA4A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 (0.1%)</w:t>
                  </w:r>
                </w:p>
              </w:tc>
            </w:tr>
            <w:tr w:rsidR="00197EF8" w:rsidRPr="00557E29" w14:paraId="0CFE66AC"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3F7C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Fetal Outcome (n = 2,666)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6AAA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01A92AFC"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5945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Live Birth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04B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2,445 (92%)</w:t>
                  </w:r>
                </w:p>
              </w:tc>
            </w:tr>
            <w:tr w:rsidR="00197EF8" w:rsidRPr="00557E29" w14:paraId="3C60A6C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2C4D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Stillbirth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186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221 (8.3%)</w:t>
                  </w:r>
                </w:p>
              </w:tc>
            </w:tr>
            <w:tr w:rsidR="00197EF8" w:rsidRPr="00557E29" w14:paraId="1BEEE1CE"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AD4F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Sex (n = 2,534)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FC2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5F90DCE3"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949B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EB7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1,153 (46%)</w:t>
                  </w:r>
                </w:p>
              </w:tc>
            </w:tr>
            <w:tr w:rsidR="00197EF8" w:rsidRPr="00557E29" w14:paraId="46B3881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C8F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265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1,381 (54%)</w:t>
                  </w:r>
                </w:p>
              </w:tc>
            </w:tr>
            <w:tr w:rsidR="00197EF8" w:rsidRPr="00557E29" w14:paraId="16B9D2FA"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87B7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Birth Length (cm) (n = 2,405)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B5B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48.3 (3.9)</w:t>
                  </w:r>
                </w:p>
              </w:tc>
            </w:tr>
            <w:tr w:rsidR="00197EF8" w:rsidRPr="00557E29" w14:paraId="3A53F765"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86F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Birth Weight (g) (n = 2,384)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9191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3,087 (567)</w:t>
                  </w:r>
                </w:p>
              </w:tc>
            </w:tr>
            <w:tr w:rsidR="00197EF8" w:rsidRPr="00557E29" w14:paraId="290DD34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C37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Black (g) (n = 643)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B98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3,037 (507)</w:t>
                  </w:r>
                </w:p>
              </w:tc>
            </w:tr>
            <w:tr w:rsidR="00197EF8" w:rsidRPr="00557E29" w14:paraId="658F4C08"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EE18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Mixed-Race (g) (n = 675)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A06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3,064 (579)</w:t>
                  </w:r>
                </w:p>
              </w:tc>
            </w:tr>
            <w:tr w:rsidR="00197EF8" w:rsidRPr="00557E29" w14:paraId="2F59AAD0"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CD1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White (g) (n = 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C9A5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3,133 (590)</w:t>
                  </w:r>
                </w:p>
              </w:tc>
            </w:tr>
            <w:tr w:rsidR="00197EF8" w:rsidRPr="00557E29" w14:paraId="62073373"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AB1A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Female (g) (n = 1,074)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EF19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3,038 (561)</w:t>
                  </w:r>
                </w:p>
              </w:tc>
            </w:tr>
            <w:tr w:rsidR="00197EF8" w:rsidRPr="00557E29" w14:paraId="7420687D"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BDC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Male (g) (n = 1,270)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791C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3,137 (552)</w:t>
                  </w:r>
                </w:p>
              </w:tc>
            </w:tr>
            <w:tr w:rsidR="00197EF8" w:rsidRPr="00557E29" w14:paraId="1396A2B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848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Birth Weight Category (n = 2,231)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6E3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p>
              </w:tc>
            </w:tr>
            <w:tr w:rsidR="00197EF8" w:rsidRPr="00557E29" w14:paraId="48501399"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A1F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LBW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558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255 (11%)</w:t>
                  </w:r>
                </w:p>
              </w:tc>
            </w:tr>
            <w:tr w:rsidR="00197EF8" w:rsidRPr="00557E29" w14:paraId="58DE74A9" w14:textId="77777777" w:rsidTr="00197EF8">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30CB75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NBW</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E2478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1,979 (89%)</w:t>
                  </w:r>
                </w:p>
              </w:tc>
            </w:tr>
            <w:tr w:rsidR="00197EF8" w:rsidRPr="00557E29" w14:paraId="302045C8" w14:textId="77777777" w:rsidTr="00197EF8">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2E4BD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after="0"/>
                    <w:ind w:left="100" w:right="100"/>
                    <w:rPr>
                      <w:rFonts w:asciiTheme="majorHAnsi" w:hAnsiTheme="majorHAnsi" w:cstheme="majorHAnsi"/>
                    </w:rPr>
                  </w:pPr>
                  <w:r w:rsidRPr="00557E29">
                    <w:rPr>
                      <w:rFonts w:asciiTheme="majorHAnsi" w:eastAsia="Helvetica" w:hAnsiTheme="majorHAnsi" w:cstheme="majorHAnsi"/>
                      <w:color w:val="000000"/>
                      <w:sz w:val="22"/>
                      <w:szCs w:val="22"/>
                      <w:vertAlign w:val="superscript"/>
                    </w:rPr>
                    <w:t>1</w:t>
                  </w:r>
                  <w:r w:rsidRPr="00557E29">
                    <w:rPr>
                      <w:rFonts w:asciiTheme="majorHAnsi" w:eastAsia="Helvetica" w:hAnsiTheme="majorHAnsi" w:cstheme="majorHAnsi"/>
                      <w:color w:val="000000"/>
                      <w:sz w:val="22"/>
                      <w:szCs w:val="22"/>
                    </w:rPr>
                    <w:t>n (%); Mean (SD)</w:t>
                  </w:r>
                </w:p>
              </w:tc>
            </w:tr>
            <w:bookmarkEnd w:id="17"/>
          </w:tbl>
          <w:p w14:paraId="6121D8DB" w14:textId="77777777" w:rsidR="00000000" w:rsidRPr="00557E29" w:rsidRDefault="00000000">
            <w:pPr>
              <w:spacing w:after="0"/>
              <w:rPr>
                <w:rFonts w:asciiTheme="majorHAnsi" w:hAnsiTheme="majorHAnsi" w:cstheme="majorHAnsi"/>
              </w:rPr>
            </w:pPr>
          </w:p>
        </w:tc>
      </w:tr>
    </w:tbl>
    <w:p w14:paraId="2A17321E"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tbl>
      <w:tblPr>
        <w:tblStyle w:val="Table"/>
        <w:tblW w:w="5000" w:type="pct"/>
        <w:tblLayout w:type="fixed"/>
        <w:tblLook w:val="0000" w:firstRow="0" w:lastRow="0" w:firstColumn="0" w:lastColumn="0" w:noHBand="0" w:noVBand="0"/>
      </w:tblPr>
      <w:tblGrid>
        <w:gridCol w:w="9576"/>
      </w:tblGrid>
      <w:tr w:rsidR="00197EF8" w:rsidRPr="00557E29" w14:paraId="76C402DB" w14:textId="77777777">
        <w:tc>
          <w:tcPr>
            <w:tcW w:w="7920" w:type="dxa"/>
          </w:tcPr>
          <w:p w14:paraId="56EA6849" w14:textId="77777777" w:rsidR="00197EF8" w:rsidRPr="00557E29" w:rsidRDefault="00000000" w:rsidP="00557E29">
            <w:pPr>
              <w:pStyle w:val="ImageCaption"/>
              <w:spacing w:before="200" w:after="0"/>
              <w:rPr>
                <w:rFonts w:asciiTheme="majorHAnsi" w:hAnsiTheme="majorHAnsi" w:cstheme="majorHAnsi"/>
              </w:rPr>
            </w:pPr>
            <w:bookmarkStart w:id="18" w:name="tbl-table2"/>
            <w:r w:rsidRPr="00557E29">
              <w:rPr>
                <w:rFonts w:asciiTheme="majorHAnsi" w:hAnsiTheme="majorHAnsi" w:cstheme="majorHAnsi"/>
              </w:rPr>
              <w:lastRenderedPageBreak/>
              <w:t>Table 2: Model 1 and 2 Results</w:t>
            </w:r>
          </w:p>
          <w:tbl>
            <w:tblPr>
              <w:tblStyle w:val="Table"/>
              <w:tblW w:w="0" w:type="auto"/>
              <w:jc w:val="center"/>
              <w:tblLayout w:type="fixed"/>
              <w:tblLook w:val="0420" w:firstRow="1" w:lastRow="0" w:firstColumn="0" w:lastColumn="0" w:noHBand="0" w:noVBand="1"/>
            </w:tblPr>
            <w:tblGrid>
              <w:gridCol w:w="1996"/>
              <w:gridCol w:w="1030"/>
              <w:gridCol w:w="591"/>
              <w:gridCol w:w="930"/>
              <w:gridCol w:w="1030"/>
              <w:gridCol w:w="591"/>
              <w:gridCol w:w="930"/>
            </w:tblGrid>
            <w:tr w:rsidR="00197EF8" w:rsidRPr="00557E29" w14:paraId="3ABA1CBE" w14:textId="77777777" w:rsidTr="00197EF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AFABF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xml:space="preserve"> </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65B8D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Model 1</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71D9B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Model 2</w:t>
                  </w:r>
                </w:p>
              </w:tc>
            </w:tr>
            <w:tr w:rsidR="00197EF8" w:rsidRPr="00557E29" w14:paraId="208A3128" w14:textId="77777777" w:rsidTr="00197EF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ED880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rPr>
                      <w:rFonts w:asciiTheme="majorHAnsi" w:hAnsiTheme="majorHAnsi" w:cstheme="majorHAnsi"/>
                    </w:rPr>
                  </w:pPr>
                  <w:r w:rsidRPr="00557E29">
                    <w:rPr>
                      <w:rFonts w:asciiTheme="majorHAnsi" w:eastAsia="Helvetica" w:hAnsiTheme="majorHAnsi" w:cstheme="majorHAnsi"/>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87662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Beta</w:t>
                  </w:r>
                  <w:r w:rsidRPr="00557E29">
                    <w:rPr>
                      <w:rFonts w:asciiTheme="majorHAnsi" w:eastAsia="Helvetica" w:hAnsiTheme="majorHAnsi" w:cstheme="majorHAnsi"/>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67C80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SE</w:t>
                  </w:r>
                  <w:r w:rsidRPr="00557E29">
                    <w:rPr>
                      <w:rFonts w:asciiTheme="majorHAnsi" w:eastAsia="Helvetica" w:hAnsiTheme="majorHAnsi" w:cstheme="majorHAnsi"/>
                      <w:color w:val="000000"/>
                      <w:sz w:val="22"/>
                      <w:szCs w:val="22"/>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7296A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Statistic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0A6F2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Beta</w:t>
                  </w:r>
                  <w:r w:rsidRPr="00557E29">
                    <w:rPr>
                      <w:rFonts w:asciiTheme="majorHAnsi" w:eastAsia="Helvetica" w:hAnsiTheme="majorHAnsi" w:cstheme="majorHAnsi"/>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56963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SE</w:t>
                  </w:r>
                  <w:r w:rsidRPr="00557E29">
                    <w:rPr>
                      <w:rFonts w:asciiTheme="majorHAnsi" w:eastAsia="Helvetica" w:hAnsiTheme="majorHAnsi" w:cstheme="majorHAnsi"/>
                      <w:color w:val="000000"/>
                      <w:sz w:val="22"/>
                      <w:szCs w:val="22"/>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CC8EA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Statistic</w:t>
                  </w:r>
                </w:p>
              </w:tc>
            </w:tr>
            <w:tr w:rsidR="00197EF8" w:rsidRPr="00557E29" w14:paraId="619E0692" w14:textId="77777777" w:rsidTr="00197EF8">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C88B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(Intercept)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F09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3,188***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8853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17.7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C010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180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2B4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3,178***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FBB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71.1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A38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44.7</w:t>
                  </w:r>
                </w:p>
              </w:tc>
            </w:tr>
            <w:tr w:rsidR="00197EF8" w:rsidRPr="00557E29" w14:paraId="2127B1F0"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F066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55E74"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7B7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FFF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4CA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2C5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FA34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1.22</w:t>
                  </w:r>
                </w:p>
              </w:tc>
            </w:tr>
            <w:tr w:rsidR="00197EF8" w:rsidRPr="00557E29" w14:paraId="45B09D75"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012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ModifiedColor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4160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D0B7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ABA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BE5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468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AB8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6FF356FE"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5608E"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Euro-Descent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5F34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3CB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FF72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8346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52F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E049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523C98F2"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D405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Afro-Descent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286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10F5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DDA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759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BCEA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2F4F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-3.17</w:t>
                  </w:r>
                </w:p>
              </w:tc>
            </w:tr>
            <w:tr w:rsidR="00197EF8" w:rsidRPr="00557E29" w14:paraId="346D312B"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675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ModifiedNationality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2BD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55EE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995E"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37AD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DA10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E94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1A9E6117"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4196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European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96D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401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FF88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EB0D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2A80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50DC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3F4642B9"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621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Latin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2985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443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6FB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47E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6432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3D8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0.289</w:t>
                  </w:r>
                </w:p>
              </w:tc>
            </w:tr>
            <w:tr w:rsidR="00197EF8" w:rsidRPr="00557E29" w14:paraId="3740753C"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8A4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Middle Eastern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77BD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D95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FC55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228D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AD9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0C8B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1.01</w:t>
                  </w:r>
                </w:p>
              </w:tc>
            </w:tr>
            <w:tr w:rsidR="00197EF8" w:rsidRPr="00557E29" w14:paraId="75101C92"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627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Brazilian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C5F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DAB8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A595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761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9F4A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747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-0.727</w:t>
                  </w:r>
                </w:p>
              </w:tc>
            </w:tr>
            <w:tr w:rsidR="00197EF8" w:rsidRPr="00557E29" w14:paraId="52C0833C"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0C5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ModifiedStatus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56D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AA1B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B954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482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F53C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D6BE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19DDF52A"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76F3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Multiparous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333D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10F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D3E6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F1B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92D2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6476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1E26ABD6"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0F5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Nulliparous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F861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72CBE"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4473"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AB7F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229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EE1B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-4.47</w:t>
                  </w:r>
                </w:p>
              </w:tc>
            </w:tr>
            <w:tr w:rsidR="00197EF8" w:rsidRPr="00557E29" w14:paraId="1B01B1A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AEF9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No. Obs.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F65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F43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0F9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E86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8808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7396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38E7F68D" w14:textId="77777777" w:rsidTr="00197EF8">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A3FD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R²</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33F2C7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0.010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9893A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65A57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89B5B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0.027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0D5ED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FC0F6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7AFFE5A0" w14:textId="77777777" w:rsidTr="00197EF8">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EA5D0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vertAlign w:val="superscript"/>
                    </w:rPr>
                    <w:t>1</w:t>
                  </w:r>
                  <w:r w:rsidRPr="00557E29">
                    <w:rPr>
                      <w:rFonts w:asciiTheme="majorHAnsi" w:eastAsia="Helvetica" w:hAnsiTheme="majorHAnsi" w:cstheme="majorHAnsi"/>
                      <w:color w:val="000000"/>
                      <w:sz w:val="22"/>
                      <w:szCs w:val="22"/>
                    </w:rPr>
                    <w:t>*p&lt;0.05; **p&lt;0.01; ***p&lt;0.001</w:t>
                  </w:r>
                </w:p>
              </w:tc>
            </w:tr>
            <w:tr w:rsidR="00197EF8" w:rsidRPr="00557E29" w14:paraId="505213A9" w14:textId="77777777" w:rsidTr="00197EF8">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61936A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vertAlign w:val="superscript"/>
                    </w:rPr>
                    <w:t>2</w:t>
                  </w:r>
                  <w:r w:rsidRPr="00557E29">
                    <w:rPr>
                      <w:rFonts w:asciiTheme="majorHAnsi" w:eastAsia="Helvetica" w:hAnsiTheme="majorHAnsi" w:cstheme="majorHAnsi"/>
                      <w:color w:val="000000"/>
                      <w:sz w:val="22"/>
                      <w:szCs w:val="22"/>
                    </w:rPr>
                    <w:t>SE = Standard Error</w:t>
                  </w:r>
                </w:p>
              </w:tc>
            </w:tr>
            <w:bookmarkEnd w:id="18"/>
          </w:tbl>
          <w:p w14:paraId="77C90B50" w14:textId="77777777" w:rsidR="00000000" w:rsidRPr="00557E29" w:rsidRDefault="00000000" w:rsidP="00557E29">
            <w:pPr>
              <w:spacing w:after="0"/>
              <w:rPr>
                <w:rFonts w:asciiTheme="majorHAnsi" w:hAnsiTheme="majorHAnsi" w:cstheme="majorHAnsi"/>
              </w:rPr>
            </w:pPr>
          </w:p>
        </w:tc>
      </w:tr>
    </w:tbl>
    <w:p w14:paraId="58AE8311"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tbl>
      <w:tblPr>
        <w:tblStyle w:val="Table"/>
        <w:tblW w:w="5000" w:type="pct"/>
        <w:tblLayout w:type="fixed"/>
        <w:tblLook w:val="0000" w:firstRow="0" w:lastRow="0" w:firstColumn="0" w:lastColumn="0" w:noHBand="0" w:noVBand="0"/>
      </w:tblPr>
      <w:tblGrid>
        <w:gridCol w:w="9576"/>
      </w:tblGrid>
      <w:tr w:rsidR="00197EF8" w:rsidRPr="00557E29" w14:paraId="122162E1" w14:textId="77777777">
        <w:tc>
          <w:tcPr>
            <w:tcW w:w="7920" w:type="dxa"/>
          </w:tcPr>
          <w:p w14:paraId="39E71897" w14:textId="77777777" w:rsidR="00197EF8" w:rsidRPr="00557E29" w:rsidRDefault="00000000" w:rsidP="00557E29">
            <w:pPr>
              <w:pStyle w:val="ImageCaption"/>
              <w:spacing w:before="200" w:after="0"/>
              <w:rPr>
                <w:rFonts w:asciiTheme="majorHAnsi" w:hAnsiTheme="majorHAnsi" w:cstheme="majorHAnsi"/>
              </w:rPr>
            </w:pPr>
            <w:bookmarkStart w:id="19" w:name="tbl-table3"/>
            <w:r w:rsidRPr="00557E29">
              <w:rPr>
                <w:rFonts w:asciiTheme="majorHAnsi" w:hAnsiTheme="majorHAnsi" w:cstheme="majorHAnsi"/>
              </w:rPr>
              <w:lastRenderedPageBreak/>
              <w:t>Table 3: Model 3 and 4 Results</w:t>
            </w:r>
          </w:p>
          <w:tbl>
            <w:tblPr>
              <w:tblStyle w:val="Table"/>
              <w:tblW w:w="0" w:type="auto"/>
              <w:jc w:val="center"/>
              <w:tblLayout w:type="fixed"/>
              <w:tblLook w:val="0420" w:firstRow="1" w:lastRow="0" w:firstColumn="0" w:lastColumn="0" w:noHBand="0" w:noVBand="1"/>
            </w:tblPr>
            <w:tblGrid>
              <w:gridCol w:w="1996"/>
              <w:gridCol w:w="1030"/>
              <w:gridCol w:w="591"/>
              <w:gridCol w:w="930"/>
              <w:gridCol w:w="1030"/>
              <w:gridCol w:w="591"/>
              <w:gridCol w:w="930"/>
            </w:tblGrid>
            <w:tr w:rsidR="00197EF8" w:rsidRPr="00557E29" w14:paraId="5F6DF29F" w14:textId="77777777" w:rsidTr="00197EF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A7248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 xml:space="preserve"> </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3160C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Model 3</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5A975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Model 4</w:t>
                  </w:r>
                </w:p>
              </w:tc>
            </w:tr>
            <w:tr w:rsidR="00197EF8" w:rsidRPr="00557E29" w14:paraId="108F2A7C" w14:textId="77777777" w:rsidTr="00197EF8">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801B92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rPr>
                      <w:rFonts w:asciiTheme="majorHAnsi" w:hAnsiTheme="majorHAnsi" w:cstheme="majorHAnsi"/>
                    </w:rPr>
                  </w:pPr>
                  <w:r w:rsidRPr="00557E29">
                    <w:rPr>
                      <w:rFonts w:asciiTheme="majorHAnsi" w:eastAsia="Helvetica" w:hAnsiTheme="majorHAnsi" w:cstheme="majorHAnsi"/>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2986A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Beta</w:t>
                  </w:r>
                  <w:r w:rsidRPr="00557E29">
                    <w:rPr>
                      <w:rFonts w:asciiTheme="majorHAnsi" w:eastAsia="Helvetica" w:hAnsiTheme="majorHAnsi" w:cstheme="majorHAnsi"/>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52095C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SE</w:t>
                  </w:r>
                  <w:r w:rsidRPr="00557E29">
                    <w:rPr>
                      <w:rFonts w:asciiTheme="majorHAnsi" w:eastAsia="Helvetica" w:hAnsiTheme="majorHAnsi" w:cstheme="majorHAnsi"/>
                      <w:color w:val="000000"/>
                      <w:sz w:val="22"/>
                      <w:szCs w:val="22"/>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E1FDC7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Statistic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58EEB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Beta</w:t>
                  </w:r>
                  <w:r w:rsidRPr="00557E29">
                    <w:rPr>
                      <w:rFonts w:asciiTheme="majorHAnsi" w:eastAsia="Helvetica" w:hAnsiTheme="majorHAnsi" w:cstheme="majorHAnsi"/>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CB7CB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SE</w:t>
                  </w:r>
                  <w:r w:rsidRPr="00557E29">
                    <w:rPr>
                      <w:rFonts w:asciiTheme="majorHAnsi" w:eastAsia="Helvetica" w:hAnsiTheme="majorHAnsi" w:cstheme="majorHAnsi"/>
                      <w:color w:val="000000"/>
                      <w:sz w:val="22"/>
                      <w:szCs w:val="22"/>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7D1B5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40" w:after="0"/>
                    <w:ind w:left="100" w:right="100"/>
                    <w:jc w:val="center"/>
                    <w:rPr>
                      <w:rFonts w:asciiTheme="majorHAnsi" w:hAnsiTheme="majorHAnsi" w:cstheme="majorHAnsi"/>
                    </w:rPr>
                  </w:pPr>
                  <w:r w:rsidRPr="00557E29">
                    <w:rPr>
                      <w:rFonts w:asciiTheme="majorHAnsi" w:eastAsia="Helvetica" w:hAnsiTheme="majorHAnsi" w:cstheme="majorHAnsi"/>
                      <w:b/>
                      <w:color w:val="000000"/>
                      <w:sz w:val="22"/>
                      <w:szCs w:val="22"/>
                    </w:rPr>
                    <w:t>Statistic</w:t>
                  </w:r>
                </w:p>
              </w:tc>
            </w:tr>
            <w:tr w:rsidR="00197EF8" w:rsidRPr="00557E29" w14:paraId="0B51363F" w14:textId="77777777" w:rsidTr="00197EF8">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81E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(Intercept)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773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3,188***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ACA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17.7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398E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180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D90A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3,180***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8CD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71.1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1D9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44.7</w:t>
                  </w:r>
                </w:p>
              </w:tc>
            </w:tr>
            <w:tr w:rsidR="00197EF8" w:rsidRPr="00557E29" w14:paraId="6EA99AA5"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AB80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8D4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3BBF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736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C4EB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200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CFE0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1.20</w:t>
                  </w:r>
                </w:p>
              </w:tc>
            </w:tr>
            <w:tr w:rsidR="00197EF8" w:rsidRPr="00557E29" w14:paraId="0088DE3C"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E98C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Color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3A8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82F1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F5C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68C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0390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93A27"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47C570B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2652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White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EB22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6521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8D1A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4A4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DCE9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95E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5A44715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213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Black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DD59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77B3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B3E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B27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10E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7B5C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-3.23</w:t>
                  </w:r>
                </w:p>
              </w:tc>
            </w:tr>
            <w:tr w:rsidR="00197EF8" w:rsidRPr="00557E29" w14:paraId="1355DDFA"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E359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Mixed Race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985F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443F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05DA2"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CFD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499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201A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-2.35</w:t>
                  </w:r>
                </w:p>
              </w:tc>
            </w:tr>
            <w:tr w:rsidR="00197EF8" w:rsidRPr="00557E29" w14:paraId="24B2A2F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7AC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ModifiedNationality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6F59"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8C9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305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24A5"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9A50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C1A1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339016A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2B0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European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A053"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7D9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F2510"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DAAA8"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D2B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773B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090130DF"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6A85"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Latin American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3B1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7EC33"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D2A4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AF59F"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D84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53C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0.290</w:t>
                  </w:r>
                </w:p>
              </w:tc>
            </w:tr>
            <w:tr w:rsidR="00197EF8" w:rsidRPr="00557E29" w14:paraId="5C7D31F7"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8F3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Middle Eastern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E1CB"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D8E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CE1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577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447C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040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1.01</w:t>
                  </w:r>
                </w:p>
              </w:tc>
            </w:tr>
            <w:tr w:rsidR="00197EF8" w:rsidRPr="00557E29" w14:paraId="07938421"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B2E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Brazilian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865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02D5E"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66F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FAFE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F8A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36.6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0B8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-0.728</w:t>
                  </w:r>
                </w:p>
              </w:tc>
            </w:tr>
            <w:tr w:rsidR="00197EF8" w:rsidRPr="00557E29" w14:paraId="217E829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950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ModifiedStatus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A38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87EC3"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B6F6"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ED714"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00B2"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6BD4"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7DC8406A"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2416"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Multiparous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91BE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85A7"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2BBD"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C3D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18C5C"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2A387"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w:t>
                  </w:r>
                </w:p>
              </w:tc>
            </w:tr>
            <w:tr w:rsidR="00197EF8" w:rsidRPr="00557E29" w14:paraId="25BD50BD"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C229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300" w:right="100"/>
                    <w:rPr>
                      <w:rFonts w:asciiTheme="majorHAnsi" w:hAnsiTheme="majorHAnsi" w:cstheme="majorHAnsi"/>
                    </w:rPr>
                  </w:pPr>
                  <w:r w:rsidRPr="00557E29">
                    <w:rPr>
                      <w:rFonts w:asciiTheme="majorHAnsi" w:eastAsia="Helvetica" w:hAnsiTheme="majorHAnsi" w:cstheme="majorHAnsi"/>
                      <w:color w:val="000000"/>
                      <w:sz w:val="22"/>
                      <w:szCs w:val="22"/>
                    </w:rPr>
                    <w:t>Nulliparous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6B220"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C37DC"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7E2A3"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E80D3"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0F10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5860"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-4.50</w:t>
                  </w:r>
                </w:p>
              </w:tc>
            </w:tr>
            <w:tr w:rsidR="00197EF8" w:rsidRPr="00557E29" w14:paraId="2DE9B8D4" w14:textId="77777777" w:rsidTr="00197EF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F31DB"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No. Obs.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89E8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6D0E7"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ED4E"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4BCCD"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1,920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DAC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5AD1"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121AE9BC" w14:textId="77777777" w:rsidTr="00197EF8">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6459A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rPr>
                    <w:t>R²</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CF73AA"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0.010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953C78"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B3D76DF"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063A74"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r w:rsidRPr="00557E29">
                    <w:rPr>
                      <w:rFonts w:asciiTheme="majorHAnsi" w:eastAsia="Helvetica" w:hAnsiTheme="majorHAnsi" w:cstheme="majorHAnsi"/>
                      <w:color w:val="000000"/>
                      <w:sz w:val="22"/>
                      <w:szCs w:val="22"/>
                    </w:rPr>
                    <w:t>0.028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9FD4E20"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AB279A" w14:textId="77777777" w:rsidR="00197EF8" w:rsidRPr="00557E29" w:rsidRDefault="00197EF8" w:rsidP="00557E29">
                  <w:pPr>
                    <w:pBdr>
                      <w:top w:val="none" w:sz="0" w:space="0" w:color="000000"/>
                      <w:left w:val="none" w:sz="0" w:space="0" w:color="000000"/>
                      <w:bottom w:val="none" w:sz="0" w:space="0" w:color="000000"/>
                      <w:right w:val="none" w:sz="0" w:space="0" w:color="000000"/>
                    </w:pBdr>
                    <w:spacing w:before="100" w:after="0"/>
                    <w:ind w:left="100" w:right="100"/>
                    <w:jc w:val="center"/>
                    <w:rPr>
                      <w:rFonts w:asciiTheme="majorHAnsi" w:hAnsiTheme="majorHAnsi" w:cstheme="majorHAnsi"/>
                    </w:rPr>
                  </w:pPr>
                </w:p>
              </w:tc>
            </w:tr>
            <w:tr w:rsidR="00197EF8" w:rsidRPr="00557E29" w14:paraId="74A2A45A" w14:textId="77777777" w:rsidTr="00197EF8">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8579E9"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vertAlign w:val="superscript"/>
                    </w:rPr>
                    <w:t>1</w:t>
                  </w:r>
                  <w:r w:rsidRPr="00557E29">
                    <w:rPr>
                      <w:rFonts w:asciiTheme="majorHAnsi" w:eastAsia="Helvetica" w:hAnsiTheme="majorHAnsi" w:cstheme="majorHAnsi"/>
                      <w:color w:val="000000"/>
                      <w:sz w:val="22"/>
                      <w:szCs w:val="22"/>
                    </w:rPr>
                    <w:t>*p&lt;0.05; **p&lt;0.01; ***p&lt;0.001</w:t>
                  </w:r>
                </w:p>
              </w:tc>
            </w:tr>
            <w:tr w:rsidR="00197EF8" w:rsidRPr="00557E29" w14:paraId="627C1610" w14:textId="77777777" w:rsidTr="00197EF8">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880031" w14:textId="77777777" w:rsidR="00197EF8" w:rsidRPr="00557E29" w:rsidRDefault="00000000" w:rsidP="00557E29">
                  <w:pPr>
                    <w:pBdr>
                      <w:top w:val="none" w:sz="0" w:space="0" w:color="000000"/>
                      <w:left w:val="none" w:sz="0" w:space="0" w:color="000000"/>
                      <w:bottom w:val="none" w:sz="0" w:space="0" w:color="000000"/>
                      <w:right w:val="none" w:sz="0" w:space="0" w:color="000000"/>
                    </w:pBdr>
                    <w:spacing w:before="100" w:after="0"/>
                    <w:ind w:left="100" w:right="100"/>
                    <w:rPr>
                      <w:rFonts w:asciiTheme="majorHAnsi" w:hAnsiTheme="majorHAnsi" w:cstheme="majorHAnsi"/>
                    </w:rPr>
                  </w:pPr>
                  <w:r w:rsidRPr="00557E29">
                    <w:rPr>
                      <w:rFonts w:asciiTheme="majorHAnsi" w:eastAsia="Helvetica" w:hAnsiTheme="majorHAnsi" w:cstheme="majorHAnsi"/>
                      <w:color w:val="000000"/>
                      <w:sz w:val="22"/>
                      <w:szCs w:val="22"/>
                      <w:vertAlign w:val="superscript"/>
                    </w:rPr>
                    <w:t>2</w:t>
                  </w:r>
                  <w:r w:rsidRPr="00557E29">
                    <w:rPr>
                      <w:rFonts w:asciiTheme="majorHAnsi" w:eastAsia="Helvetica" w:hAnsiTheme="majorHAnsi" w:cstheme="majorHAnsi"/>
                      <w:color w:val="000000"/>
                      <w:sz w:val="22"/>
                      <w:szCs w:val="22"/>
                    </w:rPr>
                    <w:t>SE = Standard Error</w:t>
                  </w:r>
                </w:p>
              </w:tc>
            </w:tr>
            <w:bookmarkEnd w:id="19"/>
          </w:tbl>
          <w:p w14:paraId="4D6761D7" w14:textId="77777777" w:rsidR="00000000" w:rsidRPr="00557E29" w:rsidRDefault="00000000" w:rsidP="00557E29">
            <w:pPr>
              <w:spacing w:after="0"/>
              <w:rPr>
                <w:rFonts w:asciiTheme="majorHAnsi" w:hAnsiTheme="majorHAnsi" w:cstheme="majorHAnsi"/>
              </w:rPr>
            </w:pPr>
          </w:p>
        </w:tc>
      </w:tr>
    </w:tbl>
    <w:p w14:paraId="25DB0930"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tbl>
      <w:tblPr>
        <w:tblStyle w:val="Table"/>
        <w:tblW w:w="5000" w:type="pct"/>
        <w:tblLayout w:type="fixed"/>
        <w:tblLook w:val="0000" w:firstRow="0" w:lastRow="0" w:firstColumn="0" w:lastColumn="0" w:noHBand="0" w:noVBand="0"/>
      </w:tblPr>
      <w:tblGrid>
        <w:gridCol w:w="9576"/>
      </w:tblGrid>
      <w:tr w:rsidR="00197EF8" w:rsidRPr="00557E29" w14:paraId="7A62B833" w14:textId="77777777">
        <w:tc>
          <w:tcPr>
            <w:tcW w:w="7920" w:type="dxa"/>
          </w:tcPr>
          <w:p w14:paraId="5EFC39CC" w14:textId="77777777" w:rsidR="00197EF8" w:rsidRPr="00557E29" w:rsidRDefault="00000000">
            <w:pPr>
              <w:pStyle w:val="ImageCaption"/>
              <w:spacing w:before="200"/>
              <w:rPr>
                <w:rFonts w:asciiTheme="majorHAnsi" w:hAnsiTheme="majorHAnsi" w:cstheme="majorHAnsi"/>
              </w:rPr>
            </w:pPr>
            <w:bookmarkStart w:id="20" w:name="tbl-table4"/>
            <w:r w:rsidRPr="00557E29">
              <w:rPr>
                <w:rFonts w:asciiTheme="majorHAnsi" w:hAnsiTheme="majorHAnsi" w:cstheme="majorHAnsi"/>
              </w:rPr>
              <w:lastRenderedPageBreak/>
              <w:t>Table 4: Unadjusted Odds Ratios</w:t>
            </w:r>
          </w:p>
          <w:tbl>
            <w:tblPr>
              <w:tblStyle w:val="Table"/>
              <w:tblW w:w="0" w:type="auto"/>
              <w:jc w:val="center"/>
              <w:tblCellMar>
                <w:left w:w="60" w:type="dxa"/>
                <w:right w:w="60" w:type="dxa"/>
              </w:tblCellMar>
              <w:tblLook w:val="0000" w:firstRow="0" w:lastRow="0" w:firstColumn="0" w:lastColumn="0" w:noHBand="0" w:noVBand="0"/>
            </w:tblPr>
            <w:tblGrid>
              <w:gridCol w:w="1397"/>
              <w:gridCol w:w="475"/>
              <w:gridCol w:w="925"/>
              <w:gridCol w:w="740"/>
            </w:tblGrid>
            <w:tr w:rsidR="00557E29" w:rsidRPr="00557E29" w14:paraId="575202E0" w14:textId="77777777" w:rsidTr="00197EF8">
              <w:trPr>
                <w:cantSplit/>
                <w:tblHeader/>
                <w:jc w:val="center"/>
              </w:trPr>
              <w:tc>
                <w:tcPr>
                  <w:tcW w:w="0" w:type="auto"/>
                </w:tcPr>
                <w:p w14:paraId="0D422C44"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b/>
                      <w:sz w:val="20"/>
                    </w:rPr>
                    <w:t>Characteristic</w:t>
                  </w:r>
                </w:p>
              </w:tc>
              <w:tc>
                <w:tcPr>
                  <w:tcW w:w="0" w:type="auto"/>
                  <w:tcBorders>
                    <w:top w:val="single" w:sz="16" w:space="0" w:color="D3D3D3"/>
                    <w:bottom w:val="single" w:sz="16" w:space="0" w:color="D3D3D3"/>
                  </w:tcBorders>
                </w:tcPr>
                <w:p w14:paraId="3EA8E86C"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b/>
                      <w:sz w:val="20"/>
                    </w:rPr>
                    <w:t>OR</w:t>
                  </w:r>
                  <w:r w:rsidRPr="00557E29">
                    <w:rPr>
                      <w:rFonts w:asciiTheme="majorHAnsi" w:hAnsiTheme="majorHAnsi" w:cstheme="majorHAnsi"/>
                      <w:i/>
                      <w:sz w:val="20"/>
                      <w:vertAlign w:val="superscript"/>
                    </w:rPr>
                    <w:t>1</w:t>
                  </w:r>
                </w:p>
              </w:tc>
              <w:tc>
                <w:tcPr>
                  <w:tcW w:w="0" w:type="auto"/>
                  <w:tcBorders>
                    <w:top w:val="single" w:sz="16" w:space="0" w:color="D3D3D3"/>
                    <w:bottom w:val="single" w:sz="16" w:space="0" w:color="D3D3D3"/>
                  </w:tcBorders>
                </w:tcPr>
                <w:p w14:paraId="70E94827"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b/>
                      <w:sz w:val="20"/>
                    </w:rPr>
                    <w:t>95% CI</w:t>
                  </w:r>
                  <w:r w:rsidRPr="00557E29">
                    <w:rPr>
                      <w:rFonts w:asciiTheme="majorHAnsi" w:hAnsiTheme="majorHAnsi" w:cstheme="majorHAnsi"/>
                      <w:i/>
                      <w:sz w:val="20"/>
                      <w:vertAlign w:val="superscript"/>
                    </w:rPr>
                    <w:t>1</w:t>
                  </w:r>
                </w:p>
              </w:tc>
              <w:tc>
                <w:tcPr>
                  <w:tcW w:w="0" w:type="auto"/>
                </w:tcPr>
                <w:p w14:paraId="408206F7"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b/>
                      <w:sz w:val="20"/>
                    </w:rPr>
                    <w:t>p-value</w:t>
                  </w:r>
                </w:p>
              </w:tc>
            </w:tr>
            <w:tr w:rsidR="00557E29" w:rsidRPr="00557E29" w14:paraId="17DD7932" w14:textId="77777777" w:rsidTr="00197EF8">
              <w:trPr>
                <w:cantSplit/>
                <w:jc w:val="center"/>
              </w:trPr>
              <w:tc>
                <w:tcPr>
                  <w:tcW w:w="0" w:type="auto"/>
                </w:tcPr>
                <w:p w14:paraId="004540B8" w14:textId="59D8B228" w:rsidR="00197EF8" w:rsidRPr="00557E29" w:rsidRDefault="00000000">
                  <w:pPr>
                    <w:keepNext/>
                    <w:spacing w:after="60"/>
                    <w:rPr>
                      <w:rFonts w:asciiTheme="majorHAnsi" w:hAnsiTheme="majorHAnsi" w:cstheme="majorHAnsi"/>
                    </w:rPr>
                  </w:pPr>
                  <w:r w:rsidRPr="00557E29">
                    <w:rPr>
                      <w:rFonts w:asciiTheme="majorHAnsi" w:hAnsiTheme="majorHAnsi" w:cstheme="majorHAnsi"/>
                      <w:b/>
                      <w:sz w:val="20"/>
                    </w:rPr>
                    <w:t>Modified</w:t>
                  </w:r>
                  <w:r w:rsidR="00557E29">
                    <w:rPr>
                      <w:rFonts w:asciiTheme="majorHAnsi" w:hAnsiTheme="majorHAnsi" w:cstheme="majorHAnsi"/>
                      <w:b/>
                      <w:sz w:val="20"/>
                    </w:rPr>
                    <w:t xml:space="preserve"> </w:t>
                  </w:r>
                  <w:r w:rsidRPr="00557E29">
                    <w:rPr>
                      <w:rFonts w:asciiTheme="majorHAnsi" w:hAnsiTheme="majorHAnsi" w:cstheme="majorHAnsi"/>
                      <w:b/>
                      <w:sz w:val="20"/>
                    </w:rPr>
                    <w:t>Color</w:t>
                  </w:r>
                </w:p>
              </w:tc>
              <w:tc>
                <w:tcPr>
                  <w:tcW w:w="0" w:type="auto"/>
                </w:tcPr>
                <w:p w14:paraId="7BD07130" w14:textId="77777777" w:rsidR="00197EF8" w:rsidRPr="00557E29" w:rsidRDefault="00197EF8">
                  <w:pPr>
                    <w:keepNext/>
                    <w:spacing w:after="60"/>
                    <w:jc w:val="center"/>
                    <w:rPr>
                      <w:rFonts w:asciiTheme="majorHAnsi" w:hAnsiTheme="majorHAnsi" w:cstheme="majorHAnsi"/>
                    </w:rPr>
                  </w:pPr>
                </w:p>
              </w:tc>
              <w:tc>
                <w:tcPr>
                  <w:tcW w:w="0" w:type="auto"/>
                </w:tcPr>
                <w:p w14:paraId="06932DF0" w14:textId="77777777" w:rsidR="00197EF8" w:rsidRPr="00557E29" w:rsidRDefault="00197EF8">
                  <w:pPr>
                    <w:keepNext/>
                    <w:spacing w:after="60"/>
                    <w:jc w:val="center"/>
                    <w:rPr>
                      <w:rFonts w:asciiTheme="majorHAnsi" w:hAnsiTheme="majorHAnsi" w:cstheme="majorHAnsi"/>
                    </w:rPr>
                  </w:pPr>
                </w:p>
              </w:tc>
              <w:tc>
                <w:tcPr>
                  <w:tcW w:w="0" w:type="auto"/>
                </w:tcPr>
                <w:p w14:paraId="5755F67A" w14:textId="77777777" w:rsidR="00197EF8" w:rsidRPr="00557E29" w:rsidRDefault="00197EF8">
                  <w:pPr>
                    <w:keepNext/>
                    <w:spacing w:after="60"/>
                    <w:jc w:val="center"/>
                    <w:rPr>
                      <w:rFonts w:asciiTheme="majorHAnsi" w:hAnsiTheme="majorHAnsi" w:cstheme="majorHAnsi"/>
                    </w:rPr>
                  </w:pPr>
                </w:p>
              </w:tc>
            </w:tr>
            <w:tr w:rsidR="00557E29" w:rsidRPr="00557E29" w14:paraId="57444888" w14:textId="77777777" w:rsidTr="00197EF8">
              <w:trPr>
                <w:cantSplit/>
                <w:jc w:val="center"/>
              </w:trPr>
              <w:tc>
                <w:tcPr>
                  <w:tcW w:w="0" w:type="auto"/>
                </w:tcPr>
                <w:p w14:paraId="267F2298"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sz w:val="20"/>
                    </w:rPr>
                    <w:t>    Euro-Descent</w:t>
                  </w:r>
                </w:p>
              </w:tc>
              <w:tc>
                <w:tcPr>
                  <w:tcW w:w="0" w:type="auto"/>
                </w:tcPr>
                <w:p w14:paraId="765EFA3B"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w:t>
                  </w:r>
                </w:p>
              </w:tc>
              <w:tc>
                <w:tcPr>
                  <w:tcW w:w="0" w:type="auto"/>
                </w:tcPr>
                <w:p w14:paraId="34B2A18B"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w:t>
                  </w:r>
                </w:p>
              </w:tc>
              <w:tc>
                <w:tcPr>
                  <w:tcW w:w="0" w:type="auto"/>
                </w:tcPr>
                <w:p w14:paraId="43EC31EE" w14:textId="77777777" w:rsidR="00197EF8" w:rsidRPr="00557E29" w:rsidRDefault="00197EF8">
                  <w:pPr>
                    <w:keepNext/>
                    <w:spacing w:after="60"/>
                    <w:jc w:val="center"/>
                    <w:rPr>
                      <w:rFonts w:asciiTheme="majorHAnsi" w:hAnsiTheme="majorHAnsi" w:cstheme="majorHAnsi"/>
                    </w:rPr>
                  </w:pPr>
                </w:p>
              </w:tc>
            </w:tr>
            <w:tr w:rsidR="00557E29" w:rsidRPr="00557E29" w14:paraId="0BE9313D" w14:textId="77777777" w:rsidTr="00197EF8">
              <w:trPr>
                <w:cantSplit/>
                <w:jc w:val="center"/>
              </w:trPr>
              <w:tc>
                <w:tcPr>
                  <w:tcW w:w="0" w:type="auto"/>
                </w:tcPr>
                <w:p w14:paraId="719F77C6"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sz w:val="20"/>
                    </w:rPr>
                    <w:t>    Afro-Descent</w:t>
                  </w:r>
                </w:p>
              </w:tc>
              <w:tc>
                <w:tcPr>
                  <w:tcW w:w="0" w:type="auto"/>
                </w:tcPr>
                <w:p w14:paraId="0DC2D620"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1.43</w:t>
                  </w:r>
                </w:p>
              </w:tc>
              <w:tc>
                <w:tcPr>
                  <w:tcW w:w="0" w:type="auto"/>
                </w:tcPr>
                <w:p w14:paraId="069D5262"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1.07, 1.95</w:t>
                  </w:r>
                </w:p>
              </w:tc>
              <w:tc>
                <w:tcPr>
                  <w:tcW w:w="0" w:type="auto"/>
                </w:tcPr>
                <w:p w14:paraId="5C6E3B63"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b/>
                      <w:sz w:val="20"/>
                    </w:rPr>
                    <w:t>0.019</w:t>
                  </w:r>
                </w:p>
              </w:tc>
            </w:tr>
            <w:tr w:rsidR="00557E29" w:rsidRPr="00557E29" w14:paraId="67150CB3" w14:textId="77777777" w:rsidTr="00197EF8">
              <w:trPr>
                <w:cantSplit/>
                <w:jc w:val="center"/>
              </w:trPr>
              <w:tc>
                <w:tcPr>
                  <w:tcW w:w="0" w:type="auto"/>
                </w:tcPr>
                <w:p w14:paraId="0C12B6B2"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b/>
                      <w:sz w:val="20"/>
                    </w:rPr>
                    <w:t>Color</w:t>
                  </w:r>
                </w:p>
              </w:tc>
              <w:tc>
                <w:tcPr>
                  <w:tcW w:w="0" w:type="auto"/>
                </w:tcPr>
                <w:p w14:paraId="44F793B8" w14:textId="77777777" w:rsidR="00197EF8" w:rsidRPr="00557E29" w:rsidRDefault="00197EF8">
                  <w:pPr>
                    <w:keepNext/>
                    <w:spacing w:after="60"/>
                    <w:jc w:val="center"/>
                    <w:rPr>
                      <w:rFonts w:asciiTheme="majorHAnsi" w:hAnsiTheme="majorHAnsi" w:cstheme="majorHAnsi"/>
                    </w:rPr>
                  </w:pPr>
                </w:p>
              </w:tc>
              <w:tc>
                <w:tcPr>
                  <w:tcW w:w="0" w:type="auto"/>
                </w:tcPr>
                <w:p w14:paraId="68EAD780" w14:textId="77777777" w:rsidR="00197EF8" w:rsidRPr="00557E29" w:rsidRDefault="00197EF8">
                  <w:pPr>
                    <w:keepNext/>
                    <w:spacing w:after="60"/>
                    <w:jc w:val="center"/>
                    <w:rPr>
                      <w:rFonts w:asciiTheme="majorHAnsi" w:hAnsiTheme="majorHAnsi" w:cstheme="majorHAnsi"/>
                    </w:rPr>
                  </w:pPr>
                </w:p>
              </w:tc>
              <w:tc>
                <w:tcPr>
                  <w:tcW w:w="0" w:type="auto"/>
                </w:tcPr>
                <w:p w14:paraId="145A4BA7" w14:textId="77777777" w:rsidR="00197EF8" w:rsidRPr="00557E29" w:rsidRDefault="00197EF8">
                  <w:pPr>
                    <w:keepNext/>
                    <w:spacing w:after="60"/>
                    <w:jc w:val="center"/>
                    <w:rPr>
                      <w:rFonts w:asciiTheme="majorHAnsi" w:hAnsiTheme="majorHAnsi" w:cstheme="majorHAnsi"/>
                    </w:rPr>
                  </w:pPr>
                </w:p>
              </w:tc>
            </w:tr>
            <w:tr w:rsidR="00557E29" w:rsidRPr="00557E29" w14:paraId="3F25FED7" w14:textId="77777777" w:rsidTr="00197EF8">
              <w:trPr>
                <w:cantSplit/>
                <w:jc w:val="center"/>
              </w:trPr>
              <w:tc>
                <w:tcPr>
                  <w:tcW w:w="0" w:type="auto"/>
                </w:tcPr>
                <w:p w14:paraId="2D95105C"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sz w:val="20"/>
                    </w:rPr>
                    <w:t>    White</w:t>
                  </w:r>
                </w:p>
              </w:tc>
              <w:tc>
                <w:tcPr>
                  <w:tcW w:w="0" w:type="auto"/>
                </w:tcPr>
                <w:p w14:paraId="4AA17163"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w:t>
                  </w:r>
                </w:p>
              </w:tc>
              <w:tc>
                <w:tcPr>
                  <w:tcW w:w="0" w:type="auto"/>
                </w:tcPr>
                <w:p w14:paraId="2E87C63F"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w:t>
                  </w:r>
                </w:p>
              </w:tc>
              <w:tc>
                <w:tcPr>
                  <w:tcW w:w="0" w:type="auto"/>
                </w:tcPr>
                <w:p w14:paraId="29CD2C37" w14:textId="77777777" w:rsidR="00197EF8" w:rsidRPr="00557E29" w:rsidRDefault="00197EF8">
                  <w:pPr>
                    <w:keepNext/>
                    <w:spacing w:after="60"/>
                    <w:jc w:val="center"/>
                    <w:rPr>
                      <w:rFonts w:asciiTheme="majorHAnsi" w:hAnsiTheme="majorHAnsi" w:cstheme="majorHAnsi"/>
                    </w:rPr>
                  </w:pPr>
                </w:p>
              </w:tc>
            </w:tr>
            <w:tr w:rsidR="00557E29" w:rsidRPr="00557E29" w14:paraId="650D589D" w14:textId="77777777" w:rsidTr="00197EF8">
              <w:trPr>
                <w:cantSplit/>
                <w:jc w:val="center"/>
              </w:trPr>
              <w:tc>
                <w:tcPr>
                  <w:tcW w:w="0" w:type="auto"/>
                </w:tcPr>
                <w:p w14:paraId="2FAE552C"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sz w:val="20"/>
                    </w:rPr>
                    <w:t>    Black</w:t>
                  </w:r>
                </w:p>
              </w:tc>
              <w:tc>
                <w:tcPr>
                  <w:tcW w:w="0" w:type="auto"/>
                </w:tcPr>
                <w:p w14:paraId="4E06555F"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1.23</w:t>
                  </w:r>
                </w:p>
              </w:tc>
              <w:tc>
                <w:tcPr>
                  <w:tcW w:w="0" w:type="auto"/>
                </w:tcPr>
                <w:p w14:paraId="6405F5ED"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0.85, 1.77</w:t>
                  </w:r>
                </w:p>
              </w:tc>
              <w:tc>
                <w:tcPr>
                  <w:tcW w:w="0" w:type="auto"/>
                </w:tcPr>
                <w:p w14:paraId="53B86BD3"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0.3</w:t>
                  </w:r>
                </w:p>
              </w:tc>
            </w:tr>
            <w:tr w:rsidR="00557E29" w:rsidRPr="00557E29" w14:paraId="6A98683F" w14:textId="77777777" w:rsidTr="00197EF8">
              <w:trPr>
                <w:cantSplit/>
                <w:jc w:val="center"/>
              </w:trPr>
              <w:tc>
                <w:tcPr>
                  <w:tcW w:w="0" w:type="auto"/>
                </w:tcPr>
                <w:p w14:paraId="4C0D6C81"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sz w:val="20"/>
                    </w:rPr>
                    <w:t>    Mixed Race</w:t>
                  </w:r>
                </w:p>
              </w:tc>
              <w:tc>
                <w:tcPr>
                  <w:tcW w:w="0" w:type="auto"/>
                </w:tcPr>
                <w:p w14:paraId="3A08792A"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1.64</w:t>
                  </w:r>
                </w:p>
              </w:tc>
              <w:tc>
                <w:tcPr>
                  <w:tcW w:w="0" w:type="auto"/>
                </w:tcPr>
                <w:p w14:paraId="721D141A"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sz w:val="20"/>
                    </w:rPr>
                    <w:t>1.17, 2.30</w:t>
                  </w:r>
                </w:p>
              </w:tc>
              <w:tc>
                <w:tcPr>
                  <w:tcW w:w="0" w:type="auto"/>
                </w:tcPr>
                <w:p w14:paraId="60990D19" w14:textId="77777777" w:rsidR="00197EF8" w:rsidRPr="00557E29" w:rsidRDefault="00000000">
                  <w:pPr>
                    <w:keepNext/>
                    <w:spacing w:after="60"/>
                    <w:jc w:val="center"/>
                    <w:rPr>
                      <w:rFonts w:asciiTheme="majorHAnsi" w:hAnsiTheme="majorHAnsi" w:cstheme="majorHAnsi"/>
                    </w:rPr>
                  </w:pPr>
                  <w:r w:rsidRPr="00557E29">
                    <w:rPr>
                      <w:rFonts w:asciiTheme="majorHAnsi" w:hAnsiTheme="majorHAnsi" w:cstheme="majorHAnsi"/>
                      <w:b/>
                      <w:sz w:val="20"/>
                    </w:rPr>
                    <w:t>0.004</w:t>
                  </w:r>
                </w:p>
              </w:tc>
            </w:tr>
            <w:tr w:rsidR="00197EF8" w:rsidRPr="00557E29" w14:paraId="14F35E97" w14:textId="77777777" w:rsidTr="00197EF8">
              <w:trPr>
                <w:cantSplit/>
                <w:jc w:val="center"/>
              </w:trPr>
              <w:tc>
                <w:tcPr>
                  <w:tcW w:w="0" w:type="auto"/>
                  <w:gridSpan w:val="4"/>
                </w:tcPr>
                <w:p w14:paraId="73E435DD" w14:textId="77777777" w:rsidR="00197EF8" w:rsidRPr="00557E29" w:rsidRDefault="00000000">
                  <w:pPr>
                    <w:keepNext/>
                    <w:spacing w:after="60"/>
                    <w:rPr>
                      <w:rFonts w:asciiTheme="majorHAnsi" w:hAnsiTheme="majorHAnsi" w:cstheme="majorHAnsi"/>
                    </w:rPr>
                  </w:pPr>
                  <w:r w:rsidRPr="00557E29">
                    <w:rPr>
                      <w:rFonts w:asciiTheme="majorHAnsi" w:hAnsiTheme="majorHAnsi" w:cstheme="majorHAnsi"/>
                      <w:i/>
                      <w:sz w:val="20"/>
                      <w:vertAlign w:val="superscript"/>
                    </w:rPr>
                    <w:t>1</w:t>
                  </w:r>
                  <w:r w:rsidRPr="00557E29">
                    <w:rPr>
                      <w:rFonts w:asciiTheme="majorHAnsi" w:hAnsiTheme="majorHAnsi" w:cstheme="majorHAnsi"/>
                      <w:sz w:val="20"/>
                    </w:rPr>
                    <w:t>OR = Odds Ratio, CI = Confidence Interval</w:t>
                  </w:r>
                </w:p>
              </w:tc>
            </w:tr>
            <w:bookmarkEnd w:id="20"/>
          </w:tbl>
          <w:p w14:paraId="578091B5" w14:textId="77777777" w:rsidR="00000000" w:rsidRPr="00557E29" w:rsidRDefault="00000000">
            <w:pPr>
              <w:spacing w:after="0"/>
              <w:rPr>
                <w:rFonts w:asciiTheme="majorHAnsi" w:hAnsiTheme="majorHAnsi" w:cstheme="majorHAnsi"/>
              </w:rPr>
            </w:pPr>
          </w:p>
        </w:tc>
      </w:tr>
    </w:tbl>
    <w:p w14:paraId="38416880"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tbl>
      <w:tblPr>
        <w:tblStyle w:val="Table"/>
        <w:tblW w:w="5000" w:type="pct"/>
        <w:tblLayout w:type="fixed"/>
        <w:tblLook w:val="0000" w:firstRow="0" w:lastRow="0" w:firstColumn="0" w:lastColumn="0" w:noHBand="0" w:noVBand="0"/>
      </w:tblPr>
      <w:tblGrid>
        <w:gridCol w:w="9576"/>
      </w:tblGrid>
      <w:tr w:rsidR="00197EF8" w:rsidRPr="00557E29" w14:paraId="028544D3" w14:textId="77777777">
        <w:tc>
          <w:tcPr>
            <w:tcW w:w="7920" w:type="dxa"/>
          </w:tcPr>
          <w:p w14:paraId="4052C699" w14:textId="77777777" w:rsidR="00197EF8" w:rsidRPr="00557E29" w:rsidRDefault="00000000">
            <w:pPr>
              <w:pStyle w:val="ImageCaption"/>
              <w:spacing w:before="200"/>
              <w:rPr>
                <w:rFonts w:asciiTheme="majorHAnsi" w:hAnsiTheme="majorHAnsi" w:cstheme="majorHAnsi"/>
              </w:rPr>
            </w:pPr>
            <w:bookmarkStart w:id="21" w:name="tbl-table5"/>
            <w:r w:rsidRPr="00557E29">
              <w:rPr>
                <w:rFonts w:asciiTheme="majorHAnsi" w:hAnsiTheme="majorHAnsi" w:cstheme="majorHAnsi"/>
              </w:rPr>
              <w:lastRenderedPageBreak/>
              <w:t>Table 5: Mean Birth Weights</w:t>
            </w:r>
          </w:p>
          <w:tbl>
            <w:tblPr>
              <w:tblStyle w:val="Table"/>
              <w:tblW w:w="5000" w:type="pct"/>
              <w:jc w:val="center"/>
              <w:tblLook w:val="0420" w:firstRow="1" w:lastRow="0" w:firstColumn="0" w:lastColumn="0" w:noHBand="0" w:noVBand="1"/>
            </w:tblPr>
            <w:tblGrid>
              <w:gridCol w:w="5850"/>
              <w:gridCol w:w="1170"/>
              <w:gridCol w:w="900"/>
              <w:gridCol w:w="1440"/>
            </w:tblGrid>
            <w:tr w:rsidR="00197EF8" w:rsidRPr="00557E29" w14:paraId="293ABFB6" w14:textId="77777777" w:rsidTr="00557E29">
              <w:trPr>
                <w:cnfStyle w:val="100000000000" w:firstRow="1" w:lastRow="0" w:firstColumn="0" w:lastColumn="0" w:oddVBand="0" w:evenVBand="0" w:oddHBand="0" w:evenHBand="0" w:firstRowFirstColumn="0" w:firstRowLastColumn="0" w:lastRowFirstColumn="0" w:lastRowLastColumn="0"/>
                <w:tblHeader/>
                <w:jc w:val="center"/>
              </w:trPr>
              <w:tc>
                <w:tcPr>
                  <w:tcW w:w="312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9BC1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b/>
                      <w:color w:val="000000"/>
                      <w:sz w:val="21"/>
                      <w:szCs w:val="21"/>
                    </w:rPr>
                    <w:t>Sample</w:t>
                  </w:r>
                </w:p>
              </w:tc>
              <w:tc>
                <w:tcPr>
                  <w:tcW w:w="62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1966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b/>
                      <w:color w:val="000000"/>
                      <w:sz w:val="21"/>
                      <w:szCs w:val="21"/>
                    </w:rPr>
                    <w:t>Year</w:t>
                  </w:r>
                </w:p>
              </w:tc>
              <w:tc>
                <w:tcPr>
                  <w:tcW w:w="48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38AF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b/>
                      <w:color w:val="000000"/>
                      <w:sz w:val="21"/>
                      <w:szCs w:val="21"/>
                    </w:rPr>
                    <w:t>Mean (grams)</w:t>
                  </w:r>
                </w:p>
              </w:tc>
              <w:tc>
                <w:tcPr>
                  <w:tcW w:w="76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7608C1"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b/>
                      <w:color w:val="000000"/>
                      <w:sz w:val="21"/>
                      <w:szCs w:val="21"/>
                    </w:rPr>
                    <w:t>Source</w:t>
                  </w:r>
                </w:p>
              </w:tc>
            </w:tr>
            <w:tr w:rsidR="00197EF8" w:rsidRPr="00557E29" w14:paraId="56F220B8" w14:textId="77777777" w:rsidTr="00557E29">
              <w:trPr>
                <w:jc w:val="center"/>
              </w:trPr>
              <w:tc>
                <w:tcPr>
                  <w:tcW w:w="312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97CA9"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Antebellum US South (estimated enslaved)</w:t>
                  </w:r>
                </w:p>
              </w:tc>
              <w:tc>
                <w:tcPr>
                  <w:tcW w:w="62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04D8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&lt;1850</w:t>
                  </w:r>
                </w:p>
              </w:tc>
              <w:tc>
                <w:tcPr>
                  <w:tcW w:w="48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816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2320</w:t>
                  </w:r>
                </w:p>
              </w:tc>
              <w:tc>
                <w:tcPr>
                  <w:tcW w:w="76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0E15B" w14:textId="69379433"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Steckel, 1986</w:t>
                  </w:r>
                </w:p>
              </w:tc>
            </w:tr>
            <w:tr w:rsidR="00197EF8" w:rsidRPr="00557E29" w14:paraId="783CA671"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E29AF"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(Black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1D532"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C8F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3037</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717E" w14:textId="143D6968"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1283CD05"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A3BAE"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(female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05B0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FF23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3038</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BA19D" w14:textId="13017E72"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15546785"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F4A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(Mixed-race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24C8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919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3064</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CF9B" w14:textId="71FCBA9A"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2F06A2C5"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169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(singletons all)</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4287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1A6F1"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3087</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E1E21" w14:textId="078F9A2A"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2AF69DF3"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F1DAF"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Riberão</w:t>
                  </w:r>
                  <w:proofErr w:type="spellEnd"/>
                  <w:r w:rsidRPr="00557E29">
                    <w:rPr>
                      <w:rFonts w:asciiTheme="majorHAnsi" w:eastAsia="Helvetica" w:hAnsiTheme="majorHAnsi" w:cstheme="majorHAnsi"/>
                      <w:color w:val="000000"/>
                      <w:sz w:val="21"/>
                      <w:szCs w:val="21"/>
                    </w:rPr>
                    <w:t xml:space="preserve"> Preto, São Paulo, Brazil</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28C4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1994</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5BF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3115</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AFB0" w14:textId="2B19E63F"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Silva, 1998</w:t>
                  </w:r>
                </w:p>
              </w:tc>
            </w:tr>
            <w:tr w:rsidR="00197EF8" w:rsidRPr="00557E29" w14:paraId="56D254B5"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30C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(Black singletons, mothers incomplete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BA7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E4C3"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3122</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7C08A" w14:textId="1BA2C014"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w:t>
                  </w:r>
                </w:p>
              </w:tc>
            </w:tr>
            <w:tr w:rsidR="00197EF8" w:rsidRPr="00557E29" w14:paraId="69AAB7FC"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973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(White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15A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D7D2"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3133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194EA" w14:textId="4DAF73CA"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7A01127B"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13CB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(male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380E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1922-26</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56694"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3137</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FFE0" w14:textId="5EF9F2E2"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proofErr w:type="spellStart"/>
                  <w:r w:rsidRPr="00557E29">
                    <w:rPr>
                      <w:rFonts w:asciiTheme="majorHAnsi" w:eastAsia="Helvetica" w:hAnsiTheme="majorHAnsi" w:cstheme="majorHAnsi"/>
                      <w:color w:val="000000"/>
                      <w:sz w:val="21"/>
                      <w:szCs w:val="21"/>
                    </w:rPr>
                    <w:t>Laranjeiras</w:t>
                  </w:r>
                  <w:proofErr w:type="spellEnd"/>
                </w:p>
              </w:tc>
            </w:tr>
            <w:tr w:rsidR="00197EF8" w:rsidRPr="00557E29" w14:paraId="5939B7CB"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EFE49"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(Mixed-race singletons, mothers incomplete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DE4E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3361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3154</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F6887" w14:textId="35E7B486"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w:t>
                  </w:r>
                </w:p>
              </w:tc>
            </w:tr>
            <w:tr w:rsidR="00197EF8" w:rsidRPr="00557E29" w14:paraId="7C040B8A"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CBBC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São Paulo, Brazil (live)</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1472"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1993-98</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607A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3155</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218E" w14:textId="15054C2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Monteiro, 2000</w:t>
                  </w:r>
                </w:p>
              </w:tc>
            </w:tr>
            <w:tr w:rsidR="00197EF8" w:rsidRPr="00557E29" w14:paraId="49F04F7E"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BADD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Pelotas, Rio Grande do Sul, Brazil (live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AD03"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2004</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08A1"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3167</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AFFB3" w14:textId="074734FC"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Silveira, 2019</w:t>
                  </w:r>
                </w:p>
              </w:tc>
            </w:tr>
            <w:tr w:rsidR="00197EF8" w:rsidRPr="00557E29" w14:paraId="08619F00"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69F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Pelotas, Rio Grande do Sul, Brazil (live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C16B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1993</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A9E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3169</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3A018" w14:textId="51C85F98"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Silveira, 2019</w:t>
                  </w:r>
                </w:p>
              </w:tc>
            </w:tr>
            <w:tr w:rsidR="00197EF8" w:rsidRPr="00557E29" w14:paraId="25D309DD"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742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Baltimore (Black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DC01"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1897-1935</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D20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3183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025B3" w14:textId="0F081EF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Costa, 2004</w:t>
                  </w:r>
                </w:p>
              </w:tc>
            </w:tr>
            <w:tr w:rsidR="00197EF8" w:rsidRPr="00557E29" w14:paraId="13F9E703"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21D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(Black singletons, mothers 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756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9AC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3185</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636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 470</w:t>
                  </w:r>
                </w:p>
              </w:tc>
            </w:tr>
            <w:tr w:rsidR="00197EF8" w:rsidRPr="00557E29" w14:paraId="03073965"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25D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(White singletons, mothers incomplete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465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481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3186</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2A6C" w14:textId="4598ADEA"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w:t>
                  </w:r>
                </w:p>
              </w:tc>
            </w:tr>
            <w:tr w:rsidR="00197EF8" w:rsidRPr="00557E29" w14:paraId="6053B81B"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1881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Pelotas, Rio Grande do Sul, Brazil (live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E799"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2015</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7B21F"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3198</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2B6D" w14:textId="0D54CF1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Silveira, 2019</w:t>
                  </w:r>
                </w:p>
              </w:tc>
            </w:tr>
            <w:tr w:rsidR="00197EF8" w:rsidRPr="00557E29" w14:paraId="0FA27093"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D6E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Pelotas, Rio Grande do Sul, Brazil (live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0F6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1982</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2675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3201</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342D" w14:textId="09995A1C"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Silveira, 2019</w:t>
                  </w:r>
                </w:p>
              </w:tc>
            </w:tr>
            <w:tr w:rsidR="00197EF8" w:rsidRPr="00557E29" w14:paraId="6CB1AAF1"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5832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(Mixed-race singletons, mothers 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56182"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991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3210</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9BB0" w14:textId="5B2292DA"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w:t>
                  </w:r>
                </w:p>
              </w:tc>
            </w:tr>
            <w:tr w:rsidR="00197EF8" w:rsidRPr="00557E29" w14:paraId="40D95077"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D0F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Rio de Janeiro (White singletons, mothers complete K-12)</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97A44"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1999-2001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3C0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3218</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8A4C" w14:textId="58689541"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Leal, 2006</w:t>
                  </w:r>
                </w:p>
              </w:tc>
            </w:tr>
            <w:tr w:rsidR="00197EF8" w:rsidRPr="00557E29" w14:paraId="7A3DEB12"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AA5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Riberão Preto, São Paulo, Brazil</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2AB0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1978-79</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8485E"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3234</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1EA8" w14:textId="3F32B335"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Silva, 1998</w:t>
                  </w:r>
                </w:p>
              </w:tc>
            </w:tr>
            <w:tr w:rsidR="00197EF8" w:rsidRPr="00557E29" w14:paraId="579FBDC6"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FBC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Boston (in hospital)</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B3D9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1886-1900</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68F1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3330</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C38E7" w14:textId="1711D4DE"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Ward, 1993</w:t>
                  </w:r>
                </w:p>
              </w:tc>
            </w:tr>
            <w:tr w:rsidR="00197EF8" w:rsidRPr="00557E29" w14:paraId="70DF0A0F"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363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Philadelphia (all)</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BA07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1848-73</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A9B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3375</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A1185" w14:textId="22200F9C"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Goldin, 1989</w:t>
                  </w:r>
                </w:p>
              </w:tc>
            </w:tr>
            <w:tr w:rsidR="00197EF8" w:rsidRPr="00557E29" w14:paraId="4BBD8623"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1CD1F"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Philadelphia (live)</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F8D9"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1848-73</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8DD3"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3403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AE32" w14:textId="430387AC"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Goldin, 1989</w:t>
                  </w:r>
                </w:p>
              </w:tc>
            </w:tr>
            <w:tr w:rsidR="00197EF8" w:rsidRPr="00557E29" w14:paraId="43E096A0"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FBB9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lastRenderedPageBreak/>
                    <w:t>Wellington, NZ (singleton live female)</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D5A23"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1907-22</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7E45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3403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4ED8" w14:textId="7978AD91"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Roberts, 2014</w:t>
                  </w:r>
                </w:p>
              </w:tc>
            </w:tr>
            <w:tr w:rsidR="00197EF8" w:rsidRPr="00557E29" w14:paraId="49CD9AA0"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5005"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Baltimore (white singletons)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D85C3"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1897-1935</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181A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3423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A83B" w14:textId="25A79CF2"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Costa, 2004</w:t>
                  </w:r>
                </w:p>
              </w:tc>
            </w:tr>
            <w:tr w:rsidR="00197EF8" w:rsidRPr="00557E29" w14:paraId="4D12FE13"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D8FE"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New York (singeltons)</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858E"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1910-31</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6709"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3463</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BA4ED" w14:textId="2A3CC0C3"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Costa, 1998</w:t>
                  </w:r>
                </w:p>
              </w:tc>
            </w:tr>
            <w:tr w:rsidR="00197EF8" w:rsidRPr="00557E29" w14:paraId="5A095E67"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00FB"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Wellington, NZ (singleton live)</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947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1907-22</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A00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3467</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FD9E" w14:textId="77BBD24D"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Roberts, 2014</w:t>
                  </w:r>
                </w:p>
              </w:tc>
            </w:tr>
            <w:tr w:rsidR="00197EF8" w:rsidRPr="00557E29" w14:paraId="1DE975BF"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7849D"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Boston (at home)</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43CA"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1884-1900</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08488"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3479</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941AE" w14:textId="7B7FCF8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Ward, 1993</w:t>
                  </w:r>
                </w:p>
              </w:tc>
            </w:tr>
            <w:tr w:rsidR="00197EF8" w:rsidRPr="00557E29" w14:paraId="0D877B66" w14:textId="77777777" w:rsidTr="00557E29">
              <w:trPr>
                <w:jc w:val="center"/>
              </w:trPr>
              <w:tc>
                <w:tcPr>
                  <w:tcW w:w="31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6E972"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Boston</w:t>
                  </w:r>
                </w:p>
              </w:tc>
              <w:tc>
                <w:tcPr>
                  <w:tcW w:w="62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671B6"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1872-1900</w:t>
                  </w:r>
                </w:p>
              </w:tc>
              <w:tc>
                <w:tcPr>
                  <w:tcW w:w="4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2EE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3480</w:t>
                  </w:r>
                </w:p>
              </w:tc>
              <w:tc>
                <w:tcPr>
                  <w:tcW w:w="76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5414F" w14:textId="71495C1C"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Ward, 1993</w:t>
                  </w:r>
                </w:p>
              </w:tc>
            </w:tr>
            <w:tr w:rsidR="00197EF8" w:rsidRPr="00557E29" w14:paraId="1974DFE0" w14:textId="77777777" w:rsidTr="00557E29">
              <w:trPr>
                <w:jc w:val="center"/>
              </w:trPr>
              <w:tc>
                <w:tcPr>
                  <w:tcW w:w="312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5A9BC"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Wellington, NZ (singleton live male)</w:t>
                  </w:r>
                </w:p>
              </w:tc>
              <w:tc>
                <w:tcPr>
                  <w:tcW w:w="62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9D5530"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1907-22</w:t>
                  </w:r>
                </w:p>
              </w:tc>
              <w:tc>
                <w:tcPr>
                  <w:tcW w:w="48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9B547" w14:textId="77777777"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21"/>
                      <w:szCs w:val="21"/>
                    </w:rPr>
                  </w:pPr>
                  <w:r w:rsidRPr="00557E29">
                    <w:rPr>
                      <w:rFonts w:asciiTheme="majorHAnsi" w:eastAsia="Helvetica" w:hAnsiTheme="majorHAnsi" w:cstheme="majorHAnsi"/>
                      <w:color w:val="000000"/>
                      <w:sz w:val="21"/>
                      <w:szCs w:val="21"/>
                    </w:rPr>
                    <w:t>3531</w:t>
                  </w:r>
                </w:p>
              </w:tc>
              <w:tc>
                <w:tcPr>
                  <w:tcW w:w="76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C5063" w14:textId="265F97EF" w:rsidR="00197EF8" w:rsidRPr="00557E29"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21"/>
                      <w:szCs w:val="21"/>
                    </w:rPr>
                  </w:pPr>
                  <w:r w:rsidRPr="00557E29">
                    <w:rPr>
                      <w:rFonts w:asciiTheme="majorHAnsi" w:eastAsia="Helvetica" w:hAnsiTheme="majorHAnsi" w:cstheme="majorHAnsi"/>
                      <w:color w:val="000000"/>
                      <w:sz w:val="21"/>
                      <w:szCs w:val="21"/>
                    </w:rPr>
                    <w:t>Roberts, 2014</w:t>
                  </w:r>
                </w:p>
              </w:tc>
            </w:tr>
            <w:bookmarkEnd w:id="21"/>
          </w:tbl>
          <w:p w14:paraId="33BD5C28" w14:textId="77777777" w:rsidR="00000000" w:rsidRPr="00557E29" w:rsidRDefault="00000000">
            <w:pPr>
              <w:spacing w:after="0"/>
              <w:rPr>
                <w:rFonts w:asciiTheme="majorHAnsi" w:hAnsiTheme="majorHAnsi" w:cstheme="majorHAnsi"/>
              </w:rPr>
            </w:pPr>
          </w:p>
        </w:tc>
      </w:tr>
    </w:tbl>
    <w:p w14:paraId="4DAE0168" w14:textId="77777777" w:rsidR="00197EF8" w:rsidRPr="00557E29" w:rsidRDefault="00000000">
      <w:pPr>
        <w:rPr>
          <w:rFonts w:asciiTheme="majorHAnsi" w:hAnsiTheme="majorHAnsi" w:cstheme="majorHAnsi"/>
        </w:rPr>
      </w:pPr>
      <w:r w:rsidRPr="00557E29">
        <w:rPr>
          <w:rFonts w:asciiTheme="majorHAnsi" w:hAnsiTheme="majorHAnsi" w:cstheme="majorHAnsi"/>
        </w:rPr>
        <w:br w:type="page"/>
      </w:r>
    </w:p>
    <w:p w14:paraId="2778D9D0" w14:textId="77777777" w:rsidR="00197EF8" w:rsidRPr="00557E29" w:rsidRDefault="00000000">
      <w:pPr>
        <w:pStyle w:val="Bibliography"/>
        <w:rPr>
          <w:rFonts w:asciiTheme="majorHAnsi" w:hAnsiTheme="majorHAnsi" w:cstheme="majorHAnsi"/>
        </w:rPr>
      </w:pPr>
      <w:bookmarkStart w:id="22" w:name="ref-meloni2022"/>
      <w:bookmarkStart w:id="23" w:name="refs"/>
      <w:r w:rsidRPr="00557E29">
        <w:rPr>
          <w:rFonts w:asciiTheme="majorHAnsi" w:hAnsiTheme="majorHAnsi" w:cstheme="majorHAnsi"/>
        </w:rPr>
        <w:lastRenderedPageBreak/>
        <w:t xml:space="preserve">1. </w:t>
      </w:r>
      <w:r w:rsidRPr="00557E29">
        <w:rPr>
          <w:rFonts w:asciiTheme="majorHAnsi" w:hAnsiTheme="majorHAnsi" w:cstheme="majorHAnsi"/>
        </w:rPr>
        <w:tab/>
        <w:t xml:space="preserve">Meloni M, Moll T, Issaka A, Kuzawa CW. </w:t>
      </w:r>
      <w:hyperlink r:id="rId7">
        <w:r w:rsidRPr="00557E29">
          <w:rPr>
            <w:rStyle w:val="Hyperlink"/>
            <w:rFonts w:asciiTheme="majorHAnsi" w:hAnsiTheme="majorHAnsi" w:cstheme="majorHAnsi"/>
          </w:rPr>
          <w:t>A biosocial return to race? A cautionary view for the postgenomic era</w:t>
        </w:r>
      </w:hyperlink>
      <w:r w:rsidRPr="00557E29">
        <w:rPr>
          <w:rFonts w:asciiTheme="majorHAnsi" w:hAnsiTheme="majorHAnsi" w:cstheme="majorHAnsi"/>
        </w:rPr>
        <w:t xml:space="preserve">. American Journal of Human Biology. 2022;34(7):e23742. </w:t>
      </w:r>
    </w:p>
    <w:p w14:paraId="6248C1AC" w14:textId="77777777" w:rsidR="00197EF8" w:rsidRPr="00557E29" w:rsidRDefault="00000000">
      <w:pPr>
        <w:pStyle w:val="Bibliography"/>
        <w:rPr>
          <w:rFonts w:asciiTheme="majorHAnsi" w:hAnsiTheme="majorHAnsi" w:cstheme="majorHAnsi"/>
        </w:rPr>
      </w:pPr>
      <w:bookmarkStart w:id="24" w:name="ref-travassos2004"/>
      <w:bookmarkEnd w:id="22"/>
      <w:r w:rsidRPr="00557E29">
        <w:rPr>
          <w:rFonts w:asciiTheme="majorHAnsi" w:hAnsiTheme="majorHAnsi" w:cstheme="majorHAnsi"/>
        </w:rPr>
        <w:t xml:space="preserve">2. </w:t>
      </w:r>
      <w:r w:rsidRPr="00557E29">
        <w:rPr>
          <w:rFonts w:asciiTheme="majorHAnsi" w:hAnsiTheme="majorHAnsi" w:cstheme="majorHAnsi"/>
        </w:rPr>
        <w:tab/>
        <w:t xml:space="preserve">Travassos C, Williams DR. </w:t>
      </w:r>
      <w:hyperlink r:id="rId8">
        <w:r w:rsidRPr="00557E29">
          <w:rPr>
            <w:rStyle w:val="Hyperlink"/>
            <w:rFonts w:asciiTheme="majorHAnsi" w:hAnsiTheme="majorHAnsi" w:cstheme="majorHAnsi"/>
          </w:rPr>
          <w:t>The concept and measurement of race and their relationship to public health: A review focused on Brazil and the United States</w:t>
        </w:r>
      </w:hyperlink>
      <w:r w:rsidRPr="00557E29">
        <w:rPr>
          <w:rFonts w:asciiTheme="majorHAnsi" w:hAnsiTheme="majorHAnsi" w:cstheme="majorHAnsi"/>
        </w:rPr>
        <w:t xml:space="preserve">. Cadernos de Saúde Pública. 2004 Jun;20:660–78. </w:t>
      </w:r>
    </w:p>
    <w:p w14:paraId="1C3ADDC5" w14:textId="77777777" w:rsidR="00197EF8" w:rsidRPr="00557E29" w:rsidRDefault="00000000">
      <w:pPr>
        <w:pStyle w:val="Bibliography"/>
        <w:rPr>
          <w:rFonts w:asciiTheme="majorHAnsi" w:hAnsiTheme="majorHAnsi" w:cstheme="majorHAnsi"/>
        </w:rPr>
      </w:pPr>
      <w:bookmarkStart w:id="25" w:name="ref-cardoso2005"/>
      <w:bookmarkEnd w:id="24"/>
      <w:r w:rsidRPr="00557E29">
        <w:rPr>
          <w:rFonts w:asciiTheme="majorHAnsi" w:hAnsiTheme="majorHAnsi" w:cstheme="majorHAnsi"/>
        </w:rPr>
        <w:t xml:space="preserve">3. </w:t>
      </w:r>
      <w:r w:rsidRPr="00557E29">
        <w:rPr>
          <w:rFonts w:asciiTheme="majorHAnsi" w:hAnsiTheme="majorHAnsi" w:cstheme="majorHAnsi"/>
        </w:rPr>
        <w:tab/>
        <w:t xml:space="preserve">Cardoso AM, Santos RV, Coimbra Jr. CEA. </w:t>
      </w:r>
      <w:hyperlink r:id="rId9">
        <w:r w:rsidRPr="00557E29">
          <w:rPr>
            <w:rStyle w:val="Hyperlink"/>
            <w:rFonts w:asciiTheme="majorHAnsi" w:hAnsiTheme="majorHAnsi" w:cstheme="majorHAnsi"/>
          </w:rPr>
          <w:t>Mortalidade infantil segundo raça/cor no Brasil: o que dizem os sistemas nacionais de informação?</w:t>
        </w:r>
      </w:hyperlink>
      <w:r w:rsidRPr="00557E29">
        <w:rPr>
          <w:rFonts w:asciiTheme="majorHAnsi" w:hAnsiTheme="majorHAnsi" w:cstheme="majorHAnsi"/>
        </w:rPr>
        <w:t xml:space="preserve"> Cadernos de Saúde Pública. 2005;21:1602–8. </w:t>
      </w:r>
    </w:p>
    <w:p w14:paraId="195A92D4" w14:textId="77777777" w:rsidR="00197EF8" w:rsidRPr="00557E29" w:rsidRDefault="00000000">
      <w:pPr>
        <w:pStyle w:val="Bibliography"/>
        <w:rPr>
          <w:rFonts w:asciiTheme="majorHAnsi" w:hAnsiTheme="majorHAnsi" w:cstheme="majorHAnsi"/>
        </w:rPr>
      </w:pPr>
      <w:bookmarkStart w:id="26" w:name="ref-paixao2021"/>
      <w:bookmarkEnd w:id="25"/>
      <w:r w:rsidRPr="00557E29">
        <w:rPr>
          <w:rFonts w:asciiTheme="majorHAnsi" w:hAnsiTheme="majorHAnsi" w:cstheme="majorHAnsi"/>
        </w:rPr>
        <w:t xml:space="preserve">4. </w:t>
      </w:r>
      <w:r w:rsidRPr="00557E29">
        <w:rPr>
          <w:rFonts w:asciiTheme="majorHAnsi" w:hAnsiTheme="majorHAnsi" w:cstheme="majorHAnsi"/>
        </w:rPr>
        <w:tab/>
        <w:t xml:space="preserve">Paixao ES, Blencowe H, Falcao IR, Ohuma EO, Rocha A dos S, Alves FJO, et al. </w:t>
      </w:r>
      <w:hyperlink r:id="rId10">
        <w:r w:rsidRPr="00557E29">
          <w:rPr>
            <w:rStyle w:val="Hyperlink"/>
            <w:rFonts w:asciiTheme="majorHAnsi" w:hAnsiTheme="majorHAnsi" w:cstheme="majorHAnsi"/>
          </w:rPr>
          <w:t>Risk of mortality for small newborns in Brazil, 2011-2018: A national birth cohort study of 17.6 million records from routine register-based linked data</w:t>
        </w:r>
      </w:hyperlink>
      <w:r w:rsidRPr="00557E29">
        <w:rPr>
          <w:rFonts w:asciiTheme="majorHAnsi" w:hAnsiTheme="majorHAnsi" w:cstheme="majorHAnsi"/>
        </w:rPr>
        <w:t xml:space="preserve">. The Lancet Regional Health – Americas. 2021 Nov;3. </w:t>
      </w:r>
    </w:p>
    <w:p w14:paraId="42BF94B3" w14:textId="77777777" w:rsidR="00197EF8" w:rsidRPr="00557E29" w:rsidRDefault="00000000">
      <w:pPr>
        <w:pStyle w:val="Bibliography"/>
        <w:rPr>
          <w:rFonts w:asciiTheme="majorHAnsi" w:hAnsiTheme="majorHAnsi" w:cstheme="majorHAnsi"/>
        </w:rPr>
      </w:pPr>
      <w:bookmarkStart w:id="27" w:name="ref-vilanova2019"/>
      <w:bookmarkEnd w:id="26"/>
      <w:r w:rsidRPr="00557E29">
        <w:rPr>
          <w:rFonts w:asciiTheme="majorHAnsi" w:hAnsiTheme="majorHAnsi" w:cstheme="majorHAnsi"/>
        </w:rPr>
        <w:t xml:space="preserve">5. </w:t>
      </w:r>
      <w:r w:rsidRPr="00557E29">
        <w:rPr>
          <w:rFonts w:asciiTheme="majorHAnsi" w:hAnsiTheme="majorHAnsi" w:cstheme="majorHAnsi"/>
        </w:rPr>
        <w:tab/>
        <w:t xml:space="preserve">Vilanova CS, Hirakata VN, de Souza Buriol VC, Nunes M, Goldani MZ, da Silva CH. </w:t>
      </w:r>
      <w:hyperlink r:id="rId11">
        <w:r w:rsidRPr="00557E29">
          <w:rPr>
            <w:rStyle w:val="Hyperlink"/>
            <w:rFonts w:asciiTheme="majorHAnsi" w:hAnsiTheme="majorHAnsi" w:cstheme="majorHAnsi"/>
          </w:rPr>
          <w:t>The relationship between the different low birth weight strata of newborns with infant mortality and the influence of the main health determinants in the extreme south of Brazil</w:t>
        </w:r>
      </w:hyperlink>
      <w:r w:rsidRPr="00557E29">
        <w:rPr>
          <w:rFonts w:asciiTheme="majorHAnsi" w:hAnsiTheme="majorHAnsi" w:cstheme="majorHAnsi"/>
        </w:rPr>
        <w:t xml:space="preserve">. Population Health Metrics. 2019 Nov;17:15. </w:t>
      </w:r>
    </w:p>
    <w:p w14:paraId="4AB86E05" w14:textId="77777777" w:rsidR="00197EF8" w:rsidRPr="00557E29" w:rsidRDefault="00000000">
      <w:pPr>
        <w:pStyle w:val="Bibliography"/>
        <w:rPr>
          <w:rFonts w:asciiTheme="majorHAnsi" w:hAnsiTheme="majorHAnsi" w:cstheme="majorHAnsi"/>
        </w:rPr>
      </w:pPr>
      <w:bookmarkStart w:id="28" w:name="ref-nyarko2013"/>
      <w:bookmarkEnd w:id="27"/>
      <w:r w:rsidRPr="00557E29">
        <w:rPr>
          <w:rFonts w:asciiTheme="majorHAnsi" w:hAnsiTheme="majorHAnsi" w:cstheme="majorHAnsi"/>
        </w:rPr>
        <w:t xml:space="preserve">6. </w:t>
      </w:r>
      <w:r w:rsidRPr="00557E29">
        <w:rPr>
          <w:rFonts w:asciiTheme="majorHAnsi" w:hAnsiTheme="majorHAnsi" w:cstheme="majorHAnsi"/>
        </w:rPr>
        <w:tab/>
        <w:t xml:space="preserve">Nyarko KA, Lopez-Camelo J, Castilla EE, Wehby GL. </w:t>
      </w:r>
      <w:hyperlink r:id="rId12">
        <w:r w:rsidRPr="00557E29">
          <w:rPr>
            <w:rStyle w:val="Hyperlink"/>
            <w:rFonts w:asciiTheme="majorHAnsi" w:hAnsiTheme="majorHAnsi" w:cstheme="majorHAnsi"/>
          </w:rPr>
          <w:t>Explaining Racial Disparities in Infant Health in Brazil</w:t>
        </w:r>
      </w:hyperlink>
      <w:r w:rsidRPr="00557E29">
        <w:rPr>
          <w:rFonts w:asciiTheme="majorHAnsi" w:hAnsiTheme="majorHAnsi" w:cstheme="majorHAnsi"/>
        </w:rPr>
        <w:t xml:space="preserve">. American Journal of Public Health. 2013;103(9):1675–84. </w:t>
      </w:r>
    </w:p>
    <w:p w14:paraId="20618B3D" w14:textId="77777777" w:rsidR="00197EF8" w:rsidRPr="00557E29" w:rsidRDefault="00000000">
      <w:pPr>
        <w:pStyle w:val="Bibliography"/>
        <w:rPr>
          <w:rFonts w:asciiTheme="majorHAnsi" w:hAnsiTheme="majorHAnsi" w:cstheme="majorHAnsi"/>
        </w:rPr>
      </w:pPr>
      <w:bookmarkStart w:id="29" w:name="ref-wehby2015a"/>
      <w:bookmarkEnd w:id="28"/>
      <w:r w:rsidRPr="00557E29">
        <w:rPr>
          <w:rFonts w:asciiTheme="majorHAnsi" w:hAnsiTheme="majorHAnsi" w:cstheme="majorHAnsi"/>
        </w:rPr>
        <w:t xml:space="preserve">7. </w:t>
      </w:r>
      <w:r w:rsidRPr="00557E29">
        <w:rPr>
          <w:rFonts w:asciiTheme="majorHAnsi" w:hAnsiTheme="majorHAnsi" w:cstheme="majorHAnsi"/>
        </w:rPr>
        <w:tab/>
        <w:t xml:space="preserve">Wehby GL, Gili JA, Pawluk M, Castilla EE, López-Camelo JS. </w:t>
      </w:r>
      <w:hyperlink r:id="rId13">
        <w:r w:rsidRPr="00557E29">
          <w:rPr>
            <w:rStyle w:val="Hyperlink"/>
            <w:rFonts w:asciiTheme="majorHAnsi" w:hAnsiTheme="majorHAnsi" w:cstheme="majorHAnsi"/>
          </w:rPr>
          <w:t>Disparities in birth weight and gestational age by ethnic ancestry in South American countries</w:t>
        </w:r>
      </w:hyperlink>
      <w:r w:rsidRPr="00557E29">
        <w:rPr>
          <w:rFonts w:asciiTheme="majorHAnsi" w:hAnsiTheme="majorHAnsi" w:cstheme="majorHAnsi"/>
        </w:rPr>
        <w:t xml:space="preserve">. International Journal of Public Health. 2015;60(3):343–51. </w:t>
      </w:r>
    </w:p>
    <w:p w14:paraId="59275955" w14:textId="77777777" w:rsidR="00197EF8" w:rsidRPr="00557E29" w:rsidRDefault="00000000">
      <w:pPr>
        <w:pStyle w:val="Bibliography"/>
        <w:rPr>
          <w:rFonts w:asciiTheme="majorHAnsi" w:hAnsiTheme="majorHAnsi" w:cstheme="majorHAnsi"/>
        </w:rPr>
      </w:pPr>
      <w:bookmarkStart w:id="30" w:name="ref-pollock2021"/>
      <w:bookmarkEnd w:id="29"/>
      <w:r w:rsidRPr="00557E29">
        <w:rPr>
          <w:rFonts w:asciiTheme="majorHAnsi" w:hAnsiTheme="majorHAnsi" w:cstheme="majorHAnsi"/>
        </w:rPr>
        <w:t xml:space="preserve">8. </w:t>
      </w:r>
      <w:r w:rsidRPr="00557E29">
        <w:rPr>
          <w:rFonts w:asciiTheme="majorHAnsi" w:hAnsiTheme="majorHAnsi" w:cstheme="majorHAnsi"/>
        </w:rPr>
        <w:tab/>
        <w:t xml:space="preserve">Pollock EA, Gennuso KP, Givens ML, Kindig D. </w:t>
      </w:r>
      <w:hyperlink r:id="rId14">
        <w:r w:rsidRPr="00557E29">
          <w:rPr>
            <w:rStyle w:val="Hyperlink"/>
            <w:rFonts w:asciiTheme="majorHAnsi" w:hAnsiTheme="majorHAnsi" w:cstheme="majorHAnsi"/>
          </w:rPr>
          <w:t>Trends in infants born at low birthweight and disparities by maternal race and education from 2003 to 2018 in the United States</w:t>
        </w:r>
      </w:hyperlink>
      <w:r w:rsidRPr="00557E29">
        <w:rPr>
          <w:rFonts w:asciiTheme="majorHAnsi" w:hAnsiTheme="majorHAnsi" w:cstheme="majorHAnsi"/>
        </w:rPr>
        <w:t xml:space="preserve">. BMC public health. 2021;21(1):1117. </w:t>
      </w:r>
    </w:p>
    <w:p w14:paraId="559AF83B" w14:textId="77777777" w:rsidR="00197EF8" w:rsidRPr="00557E29" w:rsidRDefault="00000000">
      <w:pPr>
        <w:pStyle w:val="Bibliography"/>
        <w:rPr>
          <w:rFonts w:asciiTheme="majorHAnsi" w:hAnsiTheme="majorHAnsi" w:cstheme="majorHAnsi"/>
        </w:rPr>
      </w:pPr>
      <w:bookmarkStart w:id="31" w:name="ref-braveman2021a"/>
      <w:bookmarkEnd w:id="30"/>
      <w:r w:rsidRPr="00557E29">
        <w:rPr>
          <w:rFonts w:asciiTheme="majorHAnsi" w:hAnsiTheme="majorHAnsi" w:cstheme="majorHAnsi"/>
        </w:rPr>
        <w:t xml:space="preserve">9. </w:t>
      </w:r>
      <w:r w:rsidRPr="00557E29">
        <w:rPr>
          <w:rFonts w:asciiTheme="majorHAnsi" w:hAnsiTheme="majorHAnsi" w:cstheme="majorHAnsi"/>
        </w:rPr>
        <w:tab/>
        <w:t xml:space="preserve">Braveman P, Dominguez TP, Burke W, Dolan SM, Stevenson DK, Jackson FM, et al. </w:t>
      </w:r>
      <w:hyperlink r:id="rId15">
        <w:r w:rsidRPr="00557E29">
          <w:rPr>
            <w:rStyle w:val="Hyperlink"/>
            <w:rFonts w:asciiTheme="majorHAnsi" w:hAnsiTheme="majorHAnsi" w:cstheme="majorHAnsi"/>
          </w:rPr>
          <w:t>Explaining the Black-White Disparity in Preterm Birth: A Consensus Statement From a Multi-Disciplinary Scientific Work Group Convened by the March of Dimes</w:t>
        </w:r>
      </w:hyperlink>
      <w:r w:rsidRPr="00557E29">
        <w:rPr>
          <w:rFonts w:asciiTheme="majorHAnsi" w:hAnsiTheme="majorHAnsi" w:cstheme="majorHAnsi"/>
        </w:rPr>
        <w:t xml:space="preserve">. Frontiers in Reproductive Health. 2021;3:684207. </w:t>
      </w:r>
    </w:p>
    <w:p w14:paraId="3531CDEB" w14:textId="77777777" w:rsidR="00197EF8" w:rsidRPr="00557E29" w:rsidRDefault="00000000">
      <w:pPr>
        <w:pStyle w:val="Bibliography"/>
        <w:rPr>
          <w:rFonts w:asciiTheme="majorHAnsi" w:hAnsiTheme="majorHAnsi" w:cstheme="majorHAnsi"/>
        </w:rPr>
      </w:pPr>
      <w:bookmarkStart w:id="32" w:name="ref-clay2023a"/>
      <w:bookmarkEnd w:id="31"/>
      <w:r w:rsidRPr="00557E29">
        <w:rPr>
          <w:rFonts w:asciiTheme="majorHAnsi" w:hAnsiTheme="majorHAnsi" w:cstheme="majorHAnsi"/>
        </w:rPr>
        <w:t xml:space="preserve">10. </w:t>
      </w:r>
      <w:r w:rsidRPr="00557E29">
        <w:rPr>
          <w:rFonts w:asciiTheme="majorHAnsi" w:hAnsiTheme="majorHAnsi" w:cstheme="majorHAnsi"/>
        </w:rPr>
        <w:tab/>
        <w:t xml:space="preserve">Clay SL, Ibe-Lamberts K, Kelly KD, Nii-Aponsah H, Woodson MJ, Tines F, et al. </w:t>
      </w:r>
      <w:hyperlink r:id="rId16">
        <w:r w:rsidRPr="00557E29">
          <w:rPr>
            <w:rStyle w:val="Hyperlink"/>
            <w:rFonts w:asciiTheme="majorHAnsi" w:hAnsiTheme="majorHAnsi" w:cstheme="majorHAnsi"/>
          </w:rPr>
          <w:t>US-Born Black Women and Black Immigrant Women: An Exploration of Disparities in Health Care and Sociodemographic Factors Related to Low Birth Weight</w:t>
        </w:r>
      </w:hyperlink>
      <w:r w:rsidRPr="00557E29">
        <w:rPr>
          <w:rFonts w:asciiTheme="majorHAnsi" w:hAnsiTheme="majorHAnsi" w:cstheme="majorHAnsi"/>
        </w:rPr>
        <w:t xml:space="preserve">. Journal of Racial and Ethnic Health Disparities. 2023;10(6):3031–8. </w:t>
      </w:r>
    </w:p>
    <w:p w14:paraId="52B58C15" w14:textId="77777777" w:rsidR="00197EF8" w:rsidRPr="00557E29" w:rsidRDefault="00000000">
      <w:pPr>
        <w:pStyle w:val="Bibliography"/>
        <w:rPr>
          <w:rFonts w:asciiTheme="majorHAnsi" w:hAnsiTheme="majorHAnsi" w:cstheme="majorHAnsi"/>
        </w:rPr>
      </w:pPr>
      <w:bookmarkStart w:id="33" w:name="ref-david1997"/>
      <w:bookmarkEnd w:id="32"/>
      <w:r w:rsidRPr="00557E29">
        <w:rPr>
          <w:rFonts w:asciiTheme="majorHAnsi" w:hAnsiTheme="majorHAnsi" w:cstheme="majorHAnsi"/>
        </w:rPr>
        <w:t xml:space="preserve">11. </w:t>
      </w:r>
      <w:r w:rsidRPr="00557E29">
        <w:rPr>
          <w:rFonts w:asciiTheme="majorHAnsi" w:hAnsiTheme="majorHAnsi" w:cstheme="majorHAnsi"/>
        </w:rPr>
        <w:tab/>
        <w:t xml:space="preserve">David RJ, Collins JW. </w:t>
      </w:r>
      <w:hyperlink r:id="rId17">
        <w:r w:rsidRPr="00557E29">
          <w:rPr>
            <w:rStyle w:val="Hyperlink"/>
            <w:rFonts w:asciiTheme="majorHAnsi" w:hAnsiTheme="majorHAnsi" w:cstheme="majorHAnsi"/>
          </w:rPr>
          <w:t>Differing Birth Weight among Infants of U.S.-Born Blacks, African-Born Blacks, and U.S.-Born Whites</w:t>
        </w:r>
      </w:hyperlink>
      <w:r w:rsidRPr="00557E29">
        <w:rPr>
          <w:rFonts w:asciiTheme="majorHAnsi" w:hAnsiTheme="majorHAnsi" w:cstheme="majorHAnsi"/>
        </w:rPr>
        <w:t xml:space="preserve">. New England Journal of Medicine. 1997;337(17):1209–14. </w:t>
      </w:r>
    </w:p>
    <w:p w14:paraId="19CBE80F" w14:textId="77777777" w:rsidR="00197EF8" w:rsidRPr="00557E29" w:rsidRDefault="00000000">
      <w:pPr>
        <w:pStyle w:val="Bibliography"/>
        <w:rPr>
          <w:rFonts w:asciiTheme="majorHAnsi" w:hAnsiTheme="majorHAnsi" w:cstheme="majorHAnsi"/>
        </w:rPr>
      </w:pPr>
      <w:bookmarkStart w:id="34" w:name="ref-jasienska2009"/>
      <w:bookmarkEnd w:id="33"/>
      <w:r w:rsidRPr="00557E29">
        <w:rPr>
          <w:rFonts w:asciiTheme="majorHAnsi" w:hAnsiTheme="majorHAnsi" w:cstheme="majorHAnsi"/>
        </w:rPr>
        <w:lastRenderedPageBreak/>
        <w:t xml:space="preserve">12. </w:t>
      </w:r>
      <w:r w:rsidRPr="00557E29">
        <w:rPr>
          <w:rFonts w:asciiTheme="majorHAnsi" w:hAnsiTheme="majorHAnsi" w:cstheme="majorHAnsi"/>
        </w:rPr>
        <w:tab/>
        <w:t xml:space="preserve">Jasienska G. </w:t>
      </w:r>
      <w:hyperlink r:id="rId18">
        <w:r w:rsidRPr="00557E29">
          <w:rPr>
            <w:rStyle w:val="Hyperlink"/>
            <w:rFonts w:asciiTheme="majorHAnsi" w:hAnsiTheme="majorHAnsi" w:cstheme="majorHAnsi"/>
          </w:rPr>
          <w:t>Low birth weight of contemporary African Americans: An intergenerational effect of slavery?</w:t>
        </w:r>
      </w:hyperlink>
      <w:r w:rsidRPr="00557E29">
        <w:rPr>
          <w:rFonts w:asciiTheme="majorHAnsi" w:hAnsiTheme="majorHAnsi" w:cstheme="majorHAnsi"/>
        </w:rPr>
        <w:t xml:space="preserve"> American Journal of Human Biology: The Official Journal of the Human Biology Council. 2009;21(1):16–24. </w:t>
      </w:r>
    </w:p>
    <w:p w14:paraId="3E92468A" w14:textId="77777777" w:rsidR="00197EF8" w:rsidRPr="00557E29" w:rsidRDefault="00000000">
      <w:pPr>
        <w:pStyle w:val="Bibliography"/>
        <w:rPr>
          <w:rFonts w:asciiTheme="majorHAnsi" w:hAnsiTheme="majorHAnsi" w:cstheme="majorHAnsi"/>
        </w:rPr>
      </w:pPr>
      <w:bookmarkStart w:id="35" w:name="ref-owens2019"/>
      <w:bookmarkEnd w:id="34"/>
      <w:r w:rsidRPr="00557E29">
        <w:rPr>
          <w:rFonts w:asciiTheme="majorHAnsi" w:hAnsiTheme="majorHAnsi" w:cstheme="majorHAnsi"/>
        </w:rPr>
        <w:t xml:space="preserve">13. </w:t>
      </w:r>
      <w:r w:rsidRPr="00557E29">
        <w:rPr>
          <w:rFonts w:asciiTheme="majorHAnsi" w:hAnsiTheme="majorHAnsi" w:cstheme="majorHAnsi"/>
        </w:rPr>
        <w:tab/>
        <w:t xml:space="preserve">Owens DC, Fett SM. </w:t>
      </w:r>
      <w:hyperlink r:id="rId19">
        <w:r w:rsidRPr="00557E29">
          <w:rPr>
            <w:rStyle w:val="Hyperlink"/>
            <w:rFonts w:asciiTheme="majorHAnsi" w:hAnsiTheme="majorHAnsi" w:cstheme="majorHAnsi"/>
          </w:rPr>
          <w:t>Black Maternal and Infant Health: Historical Legacies of Slavery</w:t>
        </w:r>
      </w:hyperlink>
      <w:r w:rsidRPr="00557E29">
        <w:rPr>
          <w:rFonts w:asciiTheme="majorHAnsi" w:hAnsiTheme="majorHAnsi" w:cstheme="majorHAnsi"/>
        </w:rPr>
        <w:t xml:space="preserve">. American Journal of Public Health. 2019;109(10):1342–5. </w:t>
      </w:r>
    </w:p>
    <w:p w14:paraId="0CA8F3BA" w14:textId="77777777" w:rsidR="00197EF8" w:rsidRPr="00557E29" w:rsidRDefault="00000000">
      <w:pPr>
        <w:pStyle w:val="Bibliography"/>
        <w:rPr>
          <w:rFonts w:asciiTheme="majorHAnsi" w:hAnsiTheme="majorHAnsi" w:cstheme="majorHAnsi"/>
        </w:rPr>
      </w:pPr>
      <w:bookmarkStart w:id="36" w:name="ref-martins2024"/>
      <w:bookmarkEnd w:id="35"/>
      <w:r w:rsidRPr="00557E29">
        <w:rPr>
          <w:rFonts w:asciiTheme="majorHAnsi" w:hAnsiTheme="majorHAnsi" w:cstheme="majorHAnsi"/>
        </w:rPr>
        <w:t xml:space="preserve">14. </w:t>
      </w:r>
      <w:r w:rsidRPr="00557E29">
        <w:rPr>
          <w:rFonts w:asciiTheme="majorHAnsi" w:hAnsiTheme="majorHAnsi" w:cstheme="majorHAnsi"/>
        </w:rPr>
        <w:tab/>
        <w:t xml:space="preserve">Martins BNFL, Santos ESD, Fonseca FP, William WN, Oliveira TB de, Marta GN, et al. </w:t>
      </w:r>
      <w:hyperlink r:id="rId20">
        <w:r w:rsidRPr="00557E29">
          <w:rPr>
            <w:rStyle w:val="Hyperlink"/>
            <w:rFonts w:asciiTheme="majorHAnsi" w:hAnsiTheme="majorHAnsi" w:cstheme="majorHAnsi"/>
          </w:rPr>
          <w:t>The impact of colonialism on head and neck cancer in Brazil: A historical essay focussing on tobacco, alcohol and slavery</w:t>
        </w:r>
      </w:hyperlink>
      <w:r w:rsidRPr="00557E29">
        <w:rPr>
          <w:rFonts w:asciiTheme="majorHAnsi" w:hAnsiTheme="majorHAnsi" w:cstheme="majorHAnsi"/>
        </w:rPr>
        <w:t xml:space="preserve">. The Lancet Regional Health – Americas. 2024 Mar;31. </w:t>
      </w:r>
    </w:p>
    <w:p w14:paraId="489AE702" w14:textId="77777777" w:rsidR="00197EF8" w:rsidRPr="00557E29" w:rsidRDefault="00000000">
      <w:pPr>
        <w:pStyle w:val="Bibliography"/>
        <w:rPr>
          <w:rFonts w:asciiTheme="majorHAnsi" w:hAnsiTheme="majorHAnsi" w:cstheme="majorHAnsi"/>
        </w:rPr>
      </w:pPr>
      <w:bookmarkStart w:id="37" w:name="ref-steckel1986"/>
      <w:bookmarkEnd w:id="36"/>
      <w:r w:rsidRPr="00557E29">
        <w:rPr>
          <w:rFonts w:asciiTheme="majorHAnsi" w:hAnsiTheme="majorHAnsi" w:cstheme="majorHAnsi"/>
        </w:rPr>
        <w:t xml:space="preserve">15. </w:t>
      </w:r>
      <w:r w:rsidRPr="00557E29">
        <w:rPr>
          <w:rFonts w:asciiTheme="majorHAnsi" w:hAnsiTheme="majorHAnsi" w:cstheme="majorHAnsi"/>
        </w:rPr>
        <w:tab/>
        <w:t xml:space="preserve">Steckel RH. </w:t>
      </w:r>
      <w:hyperlink r:id="rId21">
        <w:r w:rsidRPr="00557E29">
          <w:rPr>
            <w:rStyle w:val="Hyperlink"/>
            <w:rFonts w:asciiTheme="majorHAnsi" w:hAnsiTheme="majorHAnsi" w:cstheme="majorHAnsi"/>
          </w:rPr>
          <w:t>Birth weights and infant mortality among American slaves</w:t>
        </w:r>
      </w:hyperlink>
      <w:r w:rsidRPr="00557E29">
        <w:rPr>
          <w:rFonts w:asciiTheme="majorHAnsi" w:hAnsiTheme="majorHAnsi" w:cstheme="majorHAnsi"/>
        </w:rPr>
        <w:t xml:space="preserve">. Explorations in Economic History. 1986;23(2):173–98. </w:t>
      </w:r>
    </w:p>
    <w:p w14:paraId="799D19A8" w14:textId="77777777" w:rsidR="00197EF8" w:rsidRPr="00557E29" w:rsidRDefault="00000000">
      <w:pPr>
        <w:pStyle w:val="Bibliography"/>
        <w:rPr>
          <w:rFonts w:asciiTheme="majorHAnsi" w:hAnsiTheme="majorHAnsi" w:cstheme="majorHAnsi"/>
        </w:rPr>
      </w:pPr>
      <w:bookmarkStart w:id="38" w:name="ref-otovo2016"/>
      <w:bookmarkEnd w:id="37"/>
      <w:r w:rsidRPr="00557E29">
        <w:rPr>
          <w:rFonts w:asciiTheme="majorHAnsi" w:hAnsiTheme="majorHAnsi" w:cstheme="majorHAnsi"/>
        </w:rPr>
        <w:t xml:space="preserve">16. </w:t>
      </w:r>
      <w:r w:rsidRPr="00557E29">
        <w:rPr>
          <w:rFonts w:asciiTheme="majorHAnsi" w:hAnsiTheme="majorHAnsi" w:cstheme="majorHAnsi"/>
        </w:rPr>
        <w:tab/>
        <w:t xml:space="preserve">Otovo OT. Progressive Mothers, Better Babies: Race, Public Health, and the State in Brazil, 1850-1945. Austin: University of Texas Press; 2016. </w:t>
      </w:r>
    </w:p>
    <w:p w14:paraId="1AEE2B62" w14:textId="77777777" w:rsidR="00197EF8" w:rsidRPr="00557E29" w:rsidRDefault="00000000">
      <w:pPr>
        <w:pStyle w:val="Bibliography"/>
        <w:rPr>
          <w:rFonts w:asciiTheme="majorHAnsi" w:hAnsiTheme="majorHAnsi" w:cstheme="majorHAnsi"/>
        </w:rPr>
      </w:pPr>
      <w:bookmarkStart w:id="39" w:name="ref-roth2020"/>
      <w:bookmarkEnd w:id="38"/>
      <w:r w:rsidRPr="00557E29">
        <w:rPr>
          <w:rFonts w:asciiTheme="majorHAnsi" w:hAnsiTheme="majorHAnsi" w:cstheme="majorHAnsi"/>
        </w:rPr>
        <w:t xml:space="preserve">17. </w:t>
      </w:r>
      <w:r w:rsidRPr="00557E29">
        <w:rPr>
          <w:rFonts w:asciiTheme="majorHAnsi" w:hAnsiTheme="majorHAnsi" w:cstheme="majorHAnsi"/>
        </w:rPr>
        <w:tab/>
        <w:t xml:space="preserve">Roth C. A Miscarriage of Justice: Women’s Reproductive Lives and the Law in Early Twentieth-Century Brazil. Stanford, CA: Stanford University Press; 2020. </w:t>
      </w:r>
    </w:p>
    <w:p w14:paraId="3E0310EA" w14:textId="77777777" w:rsidR="00197EF8" w:rsidRPr="00557E29" w:rsidRDefault="00000000">
      <w:pPr>
        <w:pStyle w:val="Bibliography"/>
        <w:rPr>
          <w:rFonts w:asciiTheme="majorHAnsi" w:hAnsiTheme="majorHAnsi" w:cstheme="majorHAnsi"/>
        </w:rPr>
      </w:pPr>
      <w:bookmarkStart w:id="40" w:name="ref-telles2022"/>
      <w:bookmarkEnd w:id="39"/>
      <w:r w:rsidRPr="00557E29">
        <w:rPr>
          <w:rFonts w:asciiTheme="majorHAnsi" w:hAnsiTheme="majorHAnsi" w:cstheme="majorHAnsi"/>
        </w:rPr>
        <w:t xml:space="preserve">18. </w:t>
      </w:r>
      <w:r w:rsidRPr="00557E29">
        <w:rPr>
          <w:rFonts w:asciiTheme="majorHAnsi" w:hAnsiTheme="majorHAnsi" w:cstheme="majorHAnsi"/>
        </w:rPr>
        <w:tab/>
        <w:t xml:space="preserve">Telles LF da S. Teresa Benguela e Felipa Crioula estavam grávidas: maternidade e escravidão no Rio de Janeiro (1830-1888). São Paulo: Editora Unifesp; 2022. </w:t>
      </w:r>
    </w:p>
    <w:p w14:paraId="16ACB155" w14:textId="77777777" w:rsidR="00197EF8" w:rsidRPr="00557E29" w:rsidRDefault="00000000">
      <w:pPr>
        <w:pStyle w:val="Bibliography"/>
        <w:rPr>
          <w:rFonts w:asciiTheme="majorHAnsi" w:hAnsiTheme="majorHAnsi" w:cstheme="majorHAnsi"/>
        </w:rPr>
      </w:pPr>
      <w:bookmarkStart w:id="41" w:name="ref-slavevoyagesconsortium2021"/>
      <w:bookmarkEnd w:id="40"/>
      <w:r w:rsidRPr="00557E29">
        <w:rPr>
          <w:rFonts w:asciiTheme="majorHAnsi" w:hAnsiTheme="majorHAnsi" w:cstheme="majorHAnsi"/>
        </w:rPr>
        <w:t xml:space="preserve">19. </w:t>
      </w:r>
      <w:r w:rsidRPr="00557E29">
        <w:rPr>
          <w:rFonts w:asciiTheme="majorHAnsi" w:hAnsiTheme="majorHAnsi" w:cstheme="majorHAnsi"/>
        </w:rPr>
        <w:tab/>
        <w:t xml:space="preserve">Consortium SV. Trans-Atlantic Slave Trade: Estimates. Slave Voyages. https://www.slavevoyages.org/assessment/estimates; 2021. </w:t>
      </w:r>
    </w:p>
    <w:p w14:paraId="7A1BD8ED" w14:textId="77777777" w:rsidR="00197EF8" w:rsidRPr="00557E29" w:rsidRDefault="00000000">
      <w:pPr>
        <w:pStyle w:val="Bibliography"/>
        <w:rPr>
          <w:rFonts w:asciiTheme="majorHAnsi" w:hAnsiTheme="majorHAnsi" w:cstheme="majorHAnsi"/>
        </w:rPr>
      </w:pPr>
      <w:bookmarkStart w:id="42" w:name="ref-hacker2020"/>
      <w:bookmarkEnd w:id="41"/>
      <w:r w:rsidRPr="00557E29">
        <w:rPr>
          <w:rFonts w:asciiTheme="majorHAnsi" w:hAnsiTheme="majorHAnsi" w:cstheme="majorHAnsi"/>
        </w:rPr>
        <w:t xml:space="preserve">20. </w:t>
      </w:r>
      <w:r w:rsidRPr="00557E29">
        <w:rPr>
          <w:rFonts w:asciiTheme="majorHAnsi" w:hAnsiTheme="majorHAnsi" w:cstheme="majorHAnsi"/>
        </w:rPr>
        <w:tab/>
        <w:t xml:space="preserve">Hacker JD. </w:t>
      </w:r>
      <w:hyperlink r:id="rId22">
        <w:r w:rsidRPr="00557E29">
          <w:rPr>
            <w:rStyle w:val="Hyperlink"/>
            <w:rFonts w:asciiTheme="majorHAnsi" w:hAnsiTheme="majorHAnsi" w:cstheme="majorHAnsi"/>
          </w:rPr>
          <w:t>From “20. And odd” to 10 million: The growth of the slave population in the United States</w:t>
        </w:r>
      </w:hyperlink>
      <w:r w:rsidRPr="00557E29">
        <w:rPr>
          <w:rFonts w:asciiTheme="majorHAnsi" w:hAnsiTheme="majorHAnsi" w:cstheme="majorHAnsi"/>
        </w:rPr>
        <w:t xml:space="preserve">. Slavery &amp; Abolition. 2020 Oct;41(4):840–55. </w:t>
      </w:r>
    </w:p>
    <w:p w14:paraId="195DEE24" w14:textId="77777777" w:rsidR="00197EF8" w:rsidRPr="00557E29" w:rsidRDefault="00000000">
      <w:pPr>
        <w:pStyle w:val="Bibliography"/>
        <w:rPr>
          <w:rFonts w:asciiTheme="majorHAnsi" w:hAnsiTheme="majorHAnsi" w:cstheme="majorHAnsi"/>
        </w:rPr>
      </w:pPr>
      <w:bookmarkStart w:id="43" w:name="ref-karasch1987"/>
      <w:bookmarkEnd w:id="42"/>
      <w:r w:rsidRPr="00557E29">
        <w:rPr>
          <w:rFonts w:asciiTheme="majorHAnsi" w:hAnsiTheme="majorHAnsi" w:cstheme="majorHAnsi"/>
        </w:rPr>
        <w:t xml:space="preserve">21. </w:t>
      </w:r>
      <w:r w:rsidRPr="00557E29">
        <w:rPr>
          <w:rFonts w:asciiTheme="majorHAnsi" w:hAnsiTheme="majorHAnsi" w:cstheme="majorHAnsi"/>
        </w:rPr>
        <w:tab/>
        <w:t xml:space="preserve">Karasch MC. Slave Life in Rio de Janeiro, 1808-1850. Princeton, NJ: Princeton University Press; 1987. </w:t>
      </w:r>
    </w:p>
    <w:p w14:paraId="4385A016" w14:textId="77777777" w:rsidR="00197EF8" w:rsidRPr="00557E29" w:rsidRDefault="00000000">
      <w:pPr>
        <w:pStyle w:val="Bibliography"/>
        <w:rPr>
          <w:rFonts w:asciiTheme="majorHAnsi" w:hAnsiTheme="majorHAnsi" w:cstheme="majorHAnsi"/>
        </w:rPr>
      </w:pPr>
      <w:bookmarkStart w:id="44" w:name="ref-kiple1989"/>
      <w:bookmarkEnd w:id="43"/>
      <w:r w:rsidRPr="00557E29">
        <w:rPr>
          <w:rFonts w:asciiTheme="majorHAnsi" w:hAnsiTheme="majorHAnsi" w:cstheme="majorHAnsi"/>
        </w:rPr>
        <w:t xml:space="preserve">22. </w:t>
      </w:r>
      <w:r w:rsidRPr="00557E29">
        <w:rPr>
          <w:rFonts w:asciiTheme="majorHAnsi" w:hAnsiTheme="majorHAnsi" w:cstheme="majorHAnsi"/>
        </w:rPr>
        <w:tab/>
        <w:t xml:space="preserve">Kiple KF. </w:t>
      </w:r>
      <w:hyperlink r:id="rId23">
        <w:r w:rsidRPr="00557E29">
          <w:rPr>
            <w:rStyle w:val="Hyperlink"/>
            <w:rFonts w:asciiTheme="majorHAnsi" w:hAnsiTheme="majorHAnsi" w:cstheme="majorHAnsi"/>
          </w:rPr>
          <w:t>The Nutritional Link with Slave Infant and Child Mortality in Brazil</w:t>
        </w:r>
      </w:hyperlink>
      <w:r w:rsidRPr="00557E29">
        <w:rPr>
          <w:rFonts w:asciiTheme="majorHAnsi" w:hAnsiTheme="majorHAnsi" w:cstheme="majorHAnsi"/>
        </w:rPr>
        <w:t xml:space="preserve">. The Hispanic American Historical Review. 1989;69(4):677–90. </w:t>
      </w:r>
    </w:p>
    <w:p w14:paraId="785B50FE" w14:textId="77777777" w:rsidR="00197EF8" w:rsidRPr="00557E29" w:rsidRDefault="00000000">
      <w:pPr>
        <w:pStyle w:val="Bibliography"/>
        <w:rPr>
          <w:rFonts w:asciiTheme="majorHAnsi" w:hAnsiTheme="majorHAnsi" w:cstheme="majorHAnsi"/>
        </w:rPr>
      </w:pPr>
      <w:bookmarkStart w:id="45" w:name="ref-carvalho2004"/>
      <w:bookmarkEnd w:id="44"/>
      <w:r w:rsidRPr="00557E29">
        <w:rPr>
          <w:rFonts w:asciiTheme="majorHAnsi" w:hAnsiTheme="majorHAnsi" w:cstheme="majorHAnsi"/>
        </w:rPr>
        <w:t xml:space="preserve">23. </w:t>
      </w:r>
      <w:r w:rsidRPr="00557E29">
        <w:rPr>
          <w:rFonts w:asciiTheme="majorHAnsi" w:hAnsiTheme="majorHAnsi" w:cstheme="majorHAnsi"/>
        </w:rPr>
        <w:tab/>
        <w:t xml:space="preserve">Carvalho JM de. Os bestializados: o Rio de Janeiro e a República que não foi. 3rd ed. São Paulo: Companhia das Letras; 2004. </w:t>
      </w:r>
    </w:p>
    <w:p w14:paraId="623F1AC8" w14:textId="77777777" w:rsidR="00197EF8" w:rsidRPr="00557E29" w:rsidRDefault="00000000">
      <w:pPr>
        <w:pStyle w:val="Bibliography"/>
        <w:rPr>
          <w:rFonts w:asciiTheme="majorHAnsi" w:hAnsiTheme="majorHAnsi" w:cstheme="majorHAnsi"/>
        </w:rPr>
      </w:pPr>
      <w:bookmarkStart w:id="46" w:name="ref-ball2020"/>
      <w:bookmarkEnd w:id="45"/>
      <w:r w:rsidRPr="00557E29">
        <w:rPr>
          <w:rFonts w:asciiTheme="majorHAnsi" w:hAnsiTheme="majorHAnsi" w:cstheme="majorHAnsi"/>
        </w:rPr>
        <w:t xml:space="preserve">24. </w:t>
      </w:r>
      <w:r w:rsidRPr="00557E29">
        <w:rPr>
          <w:rFonts w:asciiTheme="majorHAnsi" w:hAnsiTheme="majorHAnsi" w:cstheme="majorHAnsi"/>
        </w:rPr>
        <w:tab/>
        <w:t xml:space="preserve">Ball MC. Navigating Life and Work in Old Republic São Paulo. Gainesville: University of Florida Press; 2020. </w:t>
      </w:r>
    </w:p>
    <w:p w14:paraId="29F343E6" w14:textId="77777777" w:rsidR="00197EF8" w:rsidRPr="00557E29" w:rsidRDefault="00000000">
      <w:pPr>
        <w:pStyle w:val="Bibliography"/>
        <w:rPr>
          <w:rFonts w:asciiTheme="majorHAnsi" w:hAnsiTheme="majorHAnsi" w:cstheme="majorHAnsi"/>
        </w:rPr>
      </w:pPr>
      <w:bookmarkStart w:id="47" w:name="ref-fischer2008"/>
      <w:bookmarkEnd w:id="46"/>
      <w:r w:rsidRPr="00557E29">
        <w:rPr>
          <w:rFonts w:asciiTheme="majorHAnsi" w:hAnsiTheme="majorHAnsi" w:cstheme="majorHAnsi"/>
        </w:rPr>
        <w:t xml:space="preserve">25. </w:t>
      </w:r>
      <w:r w:rsidRPr="00557E29">
        <w:rPr>
          <w:rFonts w:asciiTheme="majorHAnsi" w:hAnsiTheme="majorHAnsi" w:cstheme="majorHAnsi"/>
        </w:rPr>
        <w:tab/>
        <w:t xml:space="preserve">Fischer B. A Poverty of Rights: Citizenship and Inequality in Twentieth-Century Rio de Janeiro. Stanford, CA: Stanford University Press; 2008. </w:t>
      </w:r>
    </w:p>
    <w:p w14:paraId="74808ED7" w14:textId="77777777" w:rsidR="00197EF8" w:rsidRPr="00557E29" w:rsidRDefault="00000000">
      <w:pPr>
        <w:pStyle w:val="Bibliography"/>
        <w:rPr>
          <w:rFonts w:asciiTheme="majorHAnsi" w:hAnsiTheme="majorHAnsi" w:cstheme="majorHAnsi"/>
        </w:rPr>
      </w:pPr>
      <w:bookmarkStart w:id="48" w:name="ref-franken2019"/>
      <w:bookmarkEnd w:id="47"/>
      <w:r w:rsidRPr="00557E29">
        <w:rPr>
          <w:rFonts w:asciiTheme="majorHAnsi" w:hAnsiTheme="majorHAnsi" w:cstheme="majorHAnsi"/>
        </w:rPr>
        <w:t xml:space="preserve">26. </w:t>
      </w:r>
      <w:r w:rsidRPr="00557E29">
        <w:rPr>
          <w:rFonts w:asciiTheme="majorHAnsi" w:hAnsiTheme="majorHAnsi" w:cstheme="majorHAnsi"/>
        </w:rPr>
        <w:tab/>
        <w:t xml:space="preserve">Franken D. </w:t>
      </w:r>
      <w:hyperlink r:id="rId24">
        <w:r w:rsidRPr="00557E29">
          <w:rPr>
            <w:rStyle w:val="Hyperlink"/>
            <w:rFonts w:asciiTheme="majorHAnsi" w:hAnsiTheme="majorHAnsi" w:cstheme="majorHAnsi"/>
          </w:rPr>
          <w:t>Anthropometric History of Brazil, 1850-1950: Insights from Military and Passport Records</w:t>
        </w:r>
      </w:hyperlink>
      <w:r w:rsidRPr="00557E29">
        <w:rPr>
          <w:rFonts w:asciiTheme="majorHAnsi" w:hAnsiTheme="majorHAnsi" w:cstheme="majorHAnsi"/>
        </w:rPr>
        <w:t xml:space="preserve">. Revista de Historia Economica - Journal of Iberian and Latin American Economic History. 2019;37(2):377–408. </w:t>
      </w:r>
    </w:p>
    <w:p w14:paraId="02F4C878" w14:textId="77777777" w:rsidR="00197EF8" w:rsidRPr="00557E29" w:rsidRDefault="00000000">
      <w:pPr>
        <w:pStyle w:val="Bibliography"/>
        <w:rPr>
          <w:rFonts w:asciiTheme="majorHAnsi" w:hAnsiTheme="majorHAnsi" w:cstheme="majorHAnsi"/>
        </w:rPr>
      </w:pPr>
      <w:bookmarkStart w:id="49" w:name="ref-benchimol1999"/>
      <w:bookmarkEnd w:id="48"/>
      <w:r w:rsidRPr="00557E29">
        <w:rPr>
          <w:rFonts w:asciiTheme="majorHAnsi" w:hAnsiTheme="majorHAnsi" w:cstheme="majorHAnsi"/>
        </w:rPr>
        <w:lastRenderedPageBreak/>
        <w:t xml:space="preserve">27. </w:t>
      </w:r>
      <w:r w:rsidRPr="00557E29">
        <w:rPr>
          <w:rFonts w:asciiTheme="majorHAnsi" w:hAnsiTheme="majorHAnsi" w:cstheme="majorHAnsi"/>
        </w:rPr>
        <w:tab/>
        <w:t xml:space="preserve">Benchimol JL. Dos micróbios aos mosquitos: febre amarela e a revolução pasteuriana no Brasil. Rio de Janeiro: Editora Fiocruz; 1999. </w:t>
      </w:r>
    </w:p>
    <w:p w14:paraId="03BB488A" w14:textId="77777777" w:rsidR="00197EF8" w:rsidRPr="00557E29" w:rsidRDefault="00000000">
      <w:pPr>
        <w:pStyle w:val="Bibliography"/>
        <w:rPr>
          <w:rFonts w:asciiTheme="majorHAnsi" w:hAnsiTheme="majorHAnsi" w:cstheme="majorHAnsi"/>
        </w:rPr>
      </w:pPr>
      <w:bookmarkStart w:id="50" w:name="ref-hochman2013"/>
      <w:bookmarkEnd w:id="49"/>
      <w:r w:rsidRPr="00557E29">
        <w:rPr>
          <w:rFonts w:asciiTheme="majorHAnsi" w:hAnsiTheme="majorHAnsi" w:cstheme="majorHAnsi"/>
        </w:rPr>
        <w:t xml:space="preserve">28. </w:t>
      </w:r>
      <w:r w:rsidRPr="00557E29">
        <w:rPr>
          <w:rFonts w:asciiTheme="majorHAnsi" w:hAnsiTheme="majorHAnsi" w:cstheme="majorHAnsi"/>
        </w:rPr>
        <w:tab/>
        <w:t xml:space="preserve">Hochman G. A era do saneamento: as bases da política de Saúde Pública no Brasil. 3rd ed. São Paulo: Hucitec Editora; 2013. </w:t>
      </w:r>
    </w:p>
    <w:p w14:paraId="42DA784D" w14:textId="77777777" w:rsidR="00197EF8" w:rsidRPr="00557E29" w:rsidRDefault="00000000">
      <w:pPr>
        <w:pStyle w:val="Bibliography"/>
        <w:rPr>
          <w:rFonts w:asciiTheme="majorHAnsi" w:hAnsiTheme="majorHAnsi" w:cstheme="majorHAnsi"/>
        </w:rPr>
      </w:pPr>
      <w:bookmarkStart w:id="51" w:name="ref-loudon1992"/>
      <w:bookmarkEnd w:id="50"/>
      <w:r w:rsidRPr="00557E29">
        <w:rPr>
          <w:rFonts w:asciiTheme="majorHAnsi" w:hAnsiTheme="majorHAnsi" w:cstheme="majorHAnsi"/>
        </w:rPr>
        <w:t xml:space="preserve">29. </w:t>
      </w:r>
      <w:r w:rsidRPr="00557E29">
        <w:rPr>
          <w:rFonts w:asciiTheme="majorHAnsi" w:hAnsiTheme="majorHAnsi" w:cstheme="majorHAnsi"/>
        </w:rPr>
        <w:tab/>
        <w:t xml:space="preserve">Loudon I. Death in Childbirth: An International Study of Maternal Care and Maternal Mortality, 1800-1950. Oxford: Clarendon Press; 1992. </w:t>
      </w:r>
    </w:p>
    <w:p w14:paraId="52460C37" w14:textId="77777777" w:rsidR="00197EF8" w:rsidRPr="00557E29" w:rsidRDefault="00000000">
      <w:pPr>
        <w:pStyle w:val="Bibliography"/>
        <w:rPr>
          <w:rFonts w:asciiTheme="majorHAnsi" w:hAnsiTheme="majorHAnsi" w:cstheme="majorHAnsi"/>
        </w:rPr>
      </w:pPr>
      <w:bookmarkStart w:id="52" w:name="ref-woods2009"/>
      <w:bookmarkEnd w:id="51"/>
      <w:r w:rsidRPr="00557E29">
        <w:rPr>
          <w:rFonts w:asciiTheme="majorHAnsi" w:hAnsiTheme="majorHAnsi" w:cstheme="majorHAnsi"/>
        </w:rPr>
        <w:t xml:space="preserve">30. </w:t>
      </w:r>
      <w:r w:rsidRPr="00557E29">
        <w:rPr>
          <w:rFonts w:asciiTheme="majorHAnsi" w:hAnsiTheme="majorHAnsi" w:cstheme="majorHAnsi"/>
        </w:rPr>
        <w:tab/>
        <w:t xml:space="preserve">Woods R. Death Before Birth: Fetal Health and Mortality in Historical Perspective. New York: Oxford University Press; 2009. </w:t>
      </w:r>
    </w:p>
    <w:p w14:paraId="644F81E7" w14:textId="77777777" w:rsidR="00197EF8" w:rsidRPr="00557E29" w:rsidRDefault="00000000">
      <w:pPr>
        <w:pStyle w:val="Bibliography"/>
        <w:rPr>
          <w:rFonts w:asciiTheme="majorHAnsi" w:hAnsiTheme="majorHAnsi" w:cstheme="majorHAnsi"/>
        </w:rPr>
      </w:pPr>
      <w:bookmarkStart w:id="53" w:name="ref-barreto2016"/>
      <w:bookmarkEnd w:id="52"/>
      <w:r w:rsidRPr="00557E29">
        <w:rPr>
          <w:rFonts w:asciiTheme="majorHAnsi" w:hAnsiTheme="majorHAnsi" w:cstheme="majorHAnsi"/>
        </w:rPr>
        <w:t xml:space="preserve">31. </w:t>
      </w:r>
      <w:r w:rsidRPr="00557E29">
        <w:rPr>
          <w:rFonts w:asciiTheme="majorHAnsi" w:hAnsiTheme="majorHAnsi" w:cstheme="majorHAnsi"/>
        </w:rPr>
        <w:tab/>
        <w:t xml:space="preserve">Barreto MRN, Oliveira SSR de. Cidade, assistência e saúde: as maternidades entre o privado e o público no subúrbio do Rio de Janeiro (1889-1930). Delaware Review of Latin American Studies. 2016;17(2). </w:t>
      </w:r>
    </w:p>
    <w:p w14:paraId="593778A5" w14:textId="77777777" w:rsidR="00197EF8" w:rsidRPr="00557E29" w:rsidRDefault="00000000">
      <w:pPr>
        <w:pStyle w:val="Bibliography"/>
        <w:rPr>
          <w:rFonts w:asciiTheme="majorHAnsi" w:hAnsiTheme="majorHAnsi" w:cstheme="majorHAnsi"/>
        </w:rPr>
      </w:pPr>
      <w:bookmarkStart w:id="54" w:name="ref-martins2004"/>
      <w:bookmarkEnd w:id="53"/>
      <w:r w:rsidRPr="00557E29">
        <w:rPr>
          <w:rFonts w:asciiTheme="majorHAnsi" w:hAnsiTheme="majorHAnsi" w:cstheme="majorHAnsi"/>
        </w:rPr>
        <w:t xml:space="preserve">32. </w:t>
      </w:r>
      <w:r w:rsidRPr="00557E29">
        <w:rPr>
          <w:rFonts w:asciiTheme="majorHAnsi" w:hAnsiTheme="majorHAnsi" w:cstheme="majorHAnsi"/>
        </w:rPr>
        <w:tab/>
        <w:t xml:space="preserve">Martins APV. Visões do feminino: A medicina da mulher nos séculos XIX e XX. Rio de Janeiro: Editora Fiocruz; 2004. </w:t>
      </w:r>
    </w:p>
    <w:p w14:paraId="401C4A34" w14:textId="77777777" w:rsidR="00197EF8" w:rsidRPr="00557E29" w:rsidRDefault="00000000">
      <w:pPr>
        <w:pStyle w:val="Bibliography"/>
        <w:rPr>
          <w:rFonts w:asciiTheme="majorHAnsi" w:hAnsiTheme="majorHAnsi" w:cstheme="majorHAnsi"/>
        </w:rPr>
      </w:pPr>
      <w:bookmarkStart w:id="55" w:name="ref-mott2002"/>
      <w:bookmarkEnd w:id="54"/>
      <w:r w:rsidRPr="00557E29">
        <w:rPr>
          <w:rFonts w:asciiTheme="majorHAnsi" w:hAnsiTheme="majorHAnsi" w:cstheme="majorHAnsi"/>
        </w:rPr>
        <w:t xml:space="preserve">33. </w:t>
      </w:r>
      <w:r w:rsidRPr="00557E29">
        <w:rPr>
          <w:rFonts w:asciiTheme="majorHAnsi" w:hAnsiTheme="majorHAnsi" w:cstheme="majorHAnsi"/>
        </w:rPr>
        <w:tab/>
        <w:t xml:space="preserve">Mott ML. Assistência ao parto: do domicílio ao hospital (1830-1960). Projeto História, São Paulo. 2002 Dec;25:197–219. </w:t>
      </w:r>
    </w:p>
    <w:p w14:paraId="185774D3" w14:textId="77777777" w:rsidR="00197EF8" w:rsidRPr="00557E29" w:rsidRDefault="00000000">
      <w:pPr>
        <w:pStyle w:val="Bibliography"/>
        <w:rPr>
          <w:rFonts w:asciiTheme="majorHAnsi" w:hAnsiTheme="majorHAnsi" w:cstheme="majorHAnsi"/>
        </w:rPr>
      </w:pPr>
      <w:bookmarkStart w:id="56" w:name="ref-roth2021"/>
      <w:bookmarkEnd w:id="55"/>
      <w:r w:rsidRPr="00557E29">
        <w:rPr>
          <w:rFonts w:asciiTheme="majorHAnsi" w:hAnsiTheme="majorHAnsi" w:cstheme="majorHAnsi"/>
        </w:rPr>
        <w:t xml:space="preserve">34. </w:t>
      </w:r>
      <w:r w:rsidRPr="00557E29">
        <w:rPr>
          <w:rFonts w:asciiTheme="majorHAnsi" w:hAnsiTheme="majorHAnsi" w:cstheme="majorHAnsi"/>
        </w:rPr>
        <w:tab/>
        <w:t xml:space="preserve">Roth C, Teixeira LA. </w:t>
      </w:r>
      <w:hyperlink r:id="rId25">
        <w:r w:rsidRPr="00557E29">
          <w:rPr>
            <w:rStyle w:val="Hyperlink"/>
            <w:rFonts w:asciiTheme="majorHAnsi" w:hAnsiTheme="majorHAnsi" w:cstheme="majorHAnsi"/>
          </w:rPr>
          <w:t>From Embryotomy to Cesarean: Changes in Obstetric Operatory Techniques in Nineteenth- and Twentieth-Century Urban Brazil</w:t>
        </w:r>
      </w:hyperlink>
      <w:r w:rsidRPr="00557E29">
        <w:rPr>
          <w:rFonts w:asciiTheme="majorHAnsi" w:hAnsiTheme="majorHAnsi" w:cstheme="majorHAnsi"/>
        </w:rPr>
        <w:t xml:space="preserve">. Bulletin of the History of Medicine. 2021;95(1):24–52. </w:t>
      </w:r>
    </w:p>
    <w:p w14:paraId="6E298483" w14:textId="77777777" w:rsidR="00197EF8" w:rsidRPr="00557E29" w:rsidRDefault="00000000">
      <w:pPr>
        <w:pStyle w:val="Bibliography"/>
        <w:rPr>
          <w:rFonts w:asciiTheme="majorHAnsi" w:hAnsiTheme="majorHAnsi" w:cstheme="majorHAnsi"/>
        </w:rPr>
      </w:pPr>
      <w:bookmarkStart w:id="57" w:name="ref-freire2009"/>
      <w:bookmarkEnd w:id="56"/>
      <w:r w:rsidRPr="00557E29">
        <w:rPr>
          <w:rFonts w:asciiTheme="majorHAnsi" w:hAnsiTheme="majorHAnsi" w:cstheme="majorHAnsi"/>
        </w:rPr>
        <w:t xml:space="preserve">35. </w:t>
      </w:r>
      <w:r w:rsidRPr="00557E29">
        <w:rPr>
          <w:rFonts w:asciiTheme="majorHAnsi" w:hAnsiTheme="majorHAnsi" w:cstheme="majorHAnsi"/>
        </w:rPr>
        <w:tab/>
        <w:t xml:space="preserve">Freire MM de L. Mulheres, mães e médicos: discurso maternalista no Brasil. Rio de Janeiro: Editora Fundação Getúlio Vargas; 2009. </w:t>
      </w:r>
    </w:p>
    <w:p w14:paraId="49CD88D4" w14:textId="77777777" w:rsidR="00197EF8" w:rsidRPr="00557E29" w:rsidRDefault="00000000">
      <w:pPr>
        <w:pStyle w:val="Bibliography"/>
        <w:rPr>
          <w:rFonts w:asciiTheme="majorHAnsi" w:hAnsiTheme="majorHAnsi" w:cstheme="majorHAnsi"/>
        </w:rPr>
      </w:pPr>
      <w:bookmarkStart w:id="58" w:name="ref-schwarcz1993"/>
      <w:bookmarkEnd w:id="57"/>
      <w:r w:rsidRPr="00557E29">
        <w:rPr>
          <w:rFonts w:asciiTheme="majorHAnsi" w:hAnsiTheme="majorHAnsi" w:cstheme="majorHAnsi"/>
        </w:rPr>
        <w:t xml:space="preserve">36. </w:t>
      </w:r>
      <w:r w:rsidRPr="00557E29">
        <w:rPr>
          <w:rFonts w:asciiTheme="majorHAnsi" w:hAnsiTheme="majorHAnsi" w:cstheme="majorHAnsi"/>
        </w:rPr>
        <w:tab/>
        <w:t xml:space="preserve">Schwarcz LM. O espetáculo das raças: cientistas, instituições e questão racial no Brasil, 1870-1930. São Paulo: Companhia das Letras; 1993. </w:t>
      </w:r>
    </w:p>
    <w:p w14:paraId="6D0714CA" w14:textId="77777777" w:rsidR="00197EF8" w:rsidRPr="00557E29" w:rsidRDefault="00000000">
      <w:pPr>
        <w:pStyle w:val="Bibliography"/>
        <w:rPr>
          <w:rFonts w:asciiTheme="majorHAnsi" w:hAnsiTheme="majorHAnsi" w:cstheme="majorHAnsi"/>
        </w:rPr>
      </w:pPr>
      <w:bookmarkStart w:id="59" w:name="ref-stepan1991"/>
      <w:bookmarkEnd w:id="58"/>
      <w:r w:rsidRPr="00557E29">
        <w:rPr>
          <w:rFonts w:asciiTheme="majorHAnsi" w:hAnsiTheme="majorHAnsi" w:cstheme="majorHAnsi"/>
        </w:rPr>
        <w:t xml:space="preserve">37. </w:t>
      </w:r>
      <w:r w:rsidRPr="00557E29">
        <w:rPr>
          <w:rFonts w:asciiTheme="majorHAnsi" w:hAnsiTheme="majorHAnsi" w:cstheme="majorHAnsi"/>
        </w:rPr>
        <w:tab/>
        <w:t xml:space="preserve">Stepan NL. "The hour of eugenics": Race, gender, and nation in Latin America. Ithaca, NY: Cornell University Press; 1991. </w:t>
      </w:r>
    </w:p>
    <w:p w14:paraId="43B5792D" w14:textId="77777777" w:rsidR="00197EF8" w:rsidRPr="00557E29" w:rsidRDefault="00000000">
      <w:pPr>
        <w:pStyle w:val="Bibliography"/>
        <w:rPr>
          <w:rFonts w:asciiTheme="majorHAnsi" w:hAnsiTheme="majorHAnsi" w:cstheme="majorHAnsi"/>
        </w:rPr>
      </w:pPr>
      <w:bookmarkStart w:id="60" w:name="ref-roth2020b"/>
      <w:bookmarkEnd w:id="59"/>
      <w:r w:rsidRPr="00557E29">
        <w:rPr>
          <w:rFonts w:asciiTheme="majorHAnsi" w:hAnsiTheme="majorHAnsi" w:cstheme="majorHAnsi"/>
        </w:rPr>
        <w:t xml:space="preserve">38. </w:t>
      </w:r>
      <w:r w:rsidRPr="00557E29">
        <w:rPr>
          <w:rFonts w:asciiTheme="majorHAnsi" w:hAnsiTheme="majorHAnsi" w:cstheme="majorHAnsi"/>
        </w:rPr>
        <w:tab/>
        <w:t xml:space="preserve">Roth C. The Degenerating Sex: Female Sterilisation, Medical Authority and Racial Purity in Catholic Brazil. Medical History. 2020;64(2):173–94. </w:t>
      </w:r>
    </w:p>
    <w:p w14:paraId="23F68D7D" w14:textId="77777777" w:rsidR="00197EF8" w:rsidRPr="00557E29" w:rsidRDefault="00000000">
      <w:pPr>
        <w:pStyle w:val="Bibliography"/>
        <w:rPr>
          <w:rFonts w:asciiTheme="majorHAnsi" w:hAnsiTheme="majorHAnsi" w:cstheme="majorHAnsi"/>
        </w:rPr>
      </w:pPr>
      <w:bookmarkStart w:id="61" w:name="ref-wegner2013"/>
      <w:bookmarkEnd w:id="60"/>
      <w:r w:rsidRPr="00557E29">
        <w:rPr>
          <w:rFonts w:asciiTheme="majorHAnsi" w:hAnsiTheme="majorHAnsi" w:cstheme="majorHAnsi"/>
        </w:rPr>
        <w:t xml:space="preserve">39. </w:t>
      </w:r>
      <w:r w:rsidRPr="00557E29">
        <w:rPr>
          <w:rFonts w:asciiTheme="majorHAnsi" w:hAnsiTheme="majorHAnsi" w:cstheme="majorHAnsi"/>
        </w:rPr>
        <w:tab/>
        <w:t xml:space="preserve">Wegner R, de Souza VS. Eugenia “negativa,” psiquiatria e catolicismo: embates em torno da esterilização eugênica no Brasil. História, Ciências, Saúde - Manguinhos. 2013;20(1):263–88. </w:t>
      </w:r>
    </w:p>
    <w:p w14:paraId="449EBB98" w14:textId="77777777" w:rsidR="00197EF8" w:rsidRPr="00557E29" w:rsidRDefault="00000000">
      <w:pPr>
        <w:pStyle w:val="Bibliography"/>
        <w:rPr>
          <w:rFonts w:asciiTheme="majorHAnsi" w:hAnsiTheme="majorHAnsi" w:cstheme="majorHAnsi"/>
        </w:rPr>
      </w:pPr>
      <w:bookmarkStart w:id="62" w:name="ref-costa1998"/>
      <w:bookmarkEnd w:id="61"/>
      <w:r w:rsidRPr="00557E29">
        <w:rPr>
          <w:rFonts w:asciiTheme="majorHAnsi" w:hAnsiTheme="majorHAnsi" w:cstheme="majorHAnsi"/>
        </w:rPr>
        <w:t xml:space="preserve">40. </w:t>
      </w:r>
      <w:r w:rsidRPr="00557E29">
        <w:rPr>
          <w:rFonts w:asciiTheme="majorHAnsi" w:hAnsiTheme="majorHAnsi" w:cstheme="majorHAnsi"/>
        </w:rPr>
        <w:tab/>
        <w:t xml:space="preserve">Costa DL. </w:t>
      </w:r>
      <w:hyperlink r:id="rId26">
        <w:r w:rsidRPr="00557E29">
          <w:rPr>
            <w:rStyle w:val="Hyperlink"/>
            <w:rFonts w:asciiTheme="majorHAnsi" w:hAnsiTheme="majorHAnsi" w:cstheme="majorHAnsi"/>
          </w:rPr>
          <w:t>Unequal at Birth: A Long-Term Comparison of Income and Birth Weight</w:t>
        </w:r>
      </w:hyperlink>
      <w:r w:rsidRPr="00557E29">
        <w:rPr>
          <w:rFonts w:asciiTheme="majorHAnsi" w:hAnsiTheme="majorHAnsi" w:cstheme="majorHAnsi"/>
        </w:rPr>
        <w:t xml:space="preserve">. The Journal of Economic History. 1998;58(4):987–1009. </w:t>
      </w:r>
    </w:p>
    <w:p w14:paraId="188F7F20" w14:textId="77777777" w:rsidR="00197EF8" w:rsidRPr="00557E29" w:rsidRDefault="00000000">
      <w:pPr>
        <w:pStyle w:val="Bibliography"/>
        <w:rPr>
          <w:rFonts w:asciiTheme="majorHAnsi" w:hAnsiTheme="majorHAnsi" w:cstheme="majorHAnsi"/>
        </w:rPr>
      </w:pPr>
      <w:bookmarkStart w:id="63" w:name="ref-costa2004"/>
      <w:bookmarkEnd w:id="62"/>
      <w:r w:rsidRPr="00557E29">
        <w:rPr>
          <w:rFonts w:asciiTheme="majorHAnsi" w:hAnsiTheme="majorHAnsi" w:cstheme="majorHAnsi"/>
        </w:rPr>
        <w:t xml:space="preserve">41. </w:t>
      </w:r>
      <w:r w:rsidRPr="00557E29">
        <w:rPr>
          <w:rFonts w:asciiTheme="majorHAnsi" w:hAnsiTheme="majorHAnsi" w:cstheme="majorHAnsi"/>
        </w:rPr>
        <w:tab/>
        <w:t xml:space="preserve">Costa DL. </w:t>
      </w:r>
      <w:hyperlink r:id="rId27">
        <w:r w:rsidRPr="00557E29">
          <w:rPr>
            <w:rStyle w:val="Hyperlink"/>
            <w:rFonts w:asciiTheme="majorHAnsi" w:hAnsiTheme="majorHAnsi" w:cstheme="majorHAnsi"/>
          </w:rPr>
          <w:t>Race and Pregnancy Outcomes in the Twentieth Century: A Long-Term Comparison</w:t>
        </w:r>
      </w:hyperlink>
      <w:r w:rsidRPr="00557E29">
        <w:rPr>
          <w:rFonts w:asciiTheme="majorHAnsi" w:hAnsiTheme="majorHAnsi" w:cstheme="majorHAnsi"/>
        </w:rPr>
        <w:t xml:space="preserve">. The Journal of Economic History. 2004;64(4):1056–86. </w:t>
      </w:r>
    </w:p>
    <w:p w14:paraId="540CBE59" w14:textId="77777777" w:rsidR="00197EF8" w:rsidRPr="00557E29" w:rsidRDefault="00000000">
      <w:pPr>
        <w:pStyle w:val="Bibliography"/>
        <w:rPr>
          <w:rFonts w:asciiTheme="majorHAnsi" w:hAnsiTheme="majorHAnsi" w:cstheme="majorHAnsi"/>
        </w:rPr>
      </w:pPr>
      <w:bookmarkStart w:id="64" w:name="ref-goldin1989"/>
      <w:bookmarkEnd w:id="63"/>
      <w:r w:rsidRPr="00557E29">
        <w:rPr>
          <w:rFonts w:asciiTheme="majorHAnsi" w:hAnsiTheme="majorHAnsi" w:cstheme="majorHAnsi"/>
        </w:rPr>
        <w:lastRenderedPageBreak/>
        <w:t xml:space="preserve">42. </w:t>
      </w:r>
      <w:r w:rsidRPr="00557E29">
        <w:rPr>
          <w:rFonts w:asciiTheme="majorHAnsi" w:hAnsiTheme="majorHAnsi" w:cstheme="majorHAnsi"/>
        </w:rPr>
        <w:tab/>
        <w:t xml:space="preserve">Goldin C, Margo RA. </w:t>
      </w:r>
      <w:hyperlink r:id="rId28">
        <w:r w:rsidRPr="00557E29">
          <w:rPr>
            <w:rStyle w:val="Hyperlink"/>
            <w:rFonts w:asciiTheme="majorHAnsi" w:hAnsiTheme="majorHAnsi" w:cstheme="majorHAnsi"/>
          </w:rPr>
          <w:t>The poor at birth: Birth weights and infant mortality at Philadelphia’s almshouse hospital, 1848–1873</w:t>
        </w:r>
      </w:hyperlink>
      <w:r w:rsidRPr="00557E29">
        <w:rPr>
          <w:rFonts w:asciiTheme="majorHAnsi" w:hAnsiTheme="majorHAnsi" w:cstheme="majorHAnsi"/>
        </w:rPr>
        <w:t xml:space="preserve">. Explorations in Economic History. 1989;26(3):360–79. </w:t>
      </w:r>
    </w:p>
    <w:p w14:paraId="07EF405D" w14:textId="77777777" w:rsidR="00197EF8" w:rsidRPr="00557E29" w:rsidRDefault="00000000">
      <w:pPr>
        <w:pStyle w:val="Bibliography"/>
        <w:rPr>
          <w:rFonts w:asciiTheme="majorHAnsi" w:hAnsiTheme="majorHAnsi" w:cstheme="majorHAnsi"/>
        </w:rPr>
      </w:pPr>
      <w:bookmarkStart w:id="65" w:name="ref-steckel1998"/>
      <w:bookmarkEnd w:id="64"/>
      <w:r w:rsidRPr="00557E29">
        <w:rPr>
          <w:rFonts w:asciiTheme="majorHAnsi" w:hAnsiTheme="majorHAnsi" w:cstheme="majorHAnsi"/>
        </w:rPr>
        <w:t xml:space="preserve">43. </w:t>
      </w:r>
      <w:r w:rsidRPr="00557E29">
        <w:rPr>
          <w:rFonts w:asciiTheme="majorHAnsi" w:hAnsiTheme="majorHAnsi" w:cstheme="majorHAnsi"/>
        </w:rPr>
        <w:tab/>
        <w:t xml:space="preserve">Steckel RH. Birth Weights and Stillbirth in Historical Perspective. European Journal of Clinical Nutrition. 1998;52(S2):S16–20. </w:t>
      </w:r>
    </w:p>
    <w:p w14:paraId="0084F612" w14:textId="77777777" w:rsidR="00197EF8" w:rsidRPr="00557E29" w:rsidRDefault="00000000">
      <w:pPr>
        <w:pStyle w:val="Bibliography"/>
        <w:rPr>
          <w:rFonts w:asciiTheme="majorHAnsi" w:hAnsiTheme="majorHAnsi" w:cstheme="majorHAnsi"/>
        </w:rPr>
      </w:pPr>
      <w:bookmarkStart w:id="66" w:name="ref-ward1993"/>
      <w:bookmarkEnd w:id="65"/>
      <w:r w:rsidRPr="00557E29">
        <w:rPr>
          <w:rFonts w:asciiTheme="majorHAnsi" w:hAnsiTheme="majorHAnsi" w:cstheme="majorHAnsi"/>
        </w:rPr>
        <w:t xml:space="preserve">44. </w:t>
      </w:r>
      <w:r w:rsidRPr="00557E29">
        <w:rPr>
          <w:rFonts w:asciiTheme="majorHAnsi" w:hAnsiTheme="majorHAnsi" w:cstheme="majorHAnsi"/>
        </w:rPr>
        <w:tab/>
        <w:t xml:space="preserve">Ward WP. Birth Weight and Economic Growth: Women’s Living Standards in the Industrializing West. Chicago: University of Chicago Press; 1993. </w:t>
      </w:r>
    </w:p>
    <w:p w14:paraId="07E0D28E" w14:textId="77777777" w:rsidR="00197EF8" w:rsidRPr="00557E29" w:rsidRDefault="00000000">
      <w:pPr>
        <w:pStyle w:val="Bibliography"/>
        <w:rPr>
          <w:rFonts w:asciiTheme="majorHAnsi" w:hAnsiTheme="majorHAnsi" w:cstheme="majorHAnsi"/>
        </w:rPr>
      </w:pPr>
      <w:bookmarkStart w:id="67" w:name="ref-leimert2020"/>
      <w:bookmarkEnd w:id="66"/>
      <w:r w:rsidRPr="00557E29">
        <w:rPr>
          <w:rFonts w:asciiTheme="majorHAnsi" w:hAnsiTheme="majorHAnsi" w:cstheme="majorHAnsi"/>
        </w:rPr>
        <w:t xml:space="preserve">45. </w:t>
      </w:r>
      <w:r w:rsidRPr="00557E29">
        <w:rPr>
          <w:rFonts w:asciiTheme="majorHAnsi" w:hAnsiTheme="majorHAnsi" w:cstheme="majorHAnsi"/>
        </w:rPr>
        <w:tab/>
        <w:t xml:space="preserve">Leimert KB, Olson DM. </w:t>
      </w:r>
      <w:hyperlink r:id="rId29">
        <w:r w:rsidRPr="00557E29">
          <w:rPr>
            <w:rStyle w:val="Hyperlink"/>
            <w:rFonts w:asciiTheme="majorHAnsi" w:hAnsiTheme="majorHAnsi" w:cstheme="majorHAnsi"/>
          </w:rPr>
          <w:t>Racial disparities in pregnancy outcomes: Genetics, epigenetics, and allostatic load</w:t>
        </w:r>
      </w:hyperlink>
      <w:r w:rsidRPr="00557E29">
        <w:rPr>
          <w:rFonts w:asciiTheme="majorHAnsi" w:hAnsiTheme="majorHAnsi" w:cstheme="majorHAnsi"/>
        </w:rPr>
        <w:t xml:space="preserve">. Current Opinion in Physiology. 2020 Feb;13:155–65. </w:t>
      </w:r>
    </w:p>
    <w:p w14:paraId="56FA4609" w14:textId="77777777" w:rsidR="00197EF8" w:rsidRPr="00557E29" w:rsidRDefault="00000000">
      <w:pPr>
        <w:pStyle w:val="Bibliography"/>
        <w:rPr>
          <w:rFonts w:asciiTheme="majorHAnsi" w:hAnsiTheme="majorHAnsi" w:cstheme="majorHAnsi"/>
        </w:rPr>
      </w:pPr>
      <w:bookmarkStart w:id="68" w:name="ref-roberts2011"/>
      <w:bookmarkEnd w:id="67"/>
      <w:r w:rsidRPr="00557E29">
        <w:rPr>
          <w:rFonts w:asciiTheme="majorHAnsi" w:hAnsiTheme="majorHAnsi" w:cstheme="majorHAnsi"/>
        </w:rPr>
        <w:t xml:space="preserve">46. </w:t>
      </w:r>
      <w:r w:rsidRPr="00557E29">
        <w:rPr>
          <w:rFonts w:asciiTheme="majorHAnsi" w:hAnsiTheme="majorHAnsi" w:cstheme="majorHAnsi"/>
        </w:rPr>
        <w:tab/>
        <w:t xml:space="preserve">Roberts D. Fatal Invention: How Science, Politics, and Big Business Re-create Race in the Twenty-First Century. New York: The New Press; 2011. </w:t>
      </w:r>
    </w:p>
    <w:p w14:paraId="5A5DB24E" w14:textId="77777777" w:rsidR="00197EF8" w:rsidRPr="00557E29" w:rsidRDefault="00000000">
      <w:pPr>
        <w:pStyle w:val="Bibliography"/>
        <w:rPr>
          <w:rFonts w:asciiTheme="majorHAnsi" w:hAnsiTheme="majorHAnsi" w:cstheme="majorHAnsi"/>
        </w:rPr>
      </w:pPr>
      <w:bookmarkStart w:id="69" w:name="ref-tuck2009"/>
      <w:bookmarkEnd w:id="68"/>
      <w:r w:rsidRPr="00557E29">
        <w:rPr>
          <w:rFonts w:asciiTheme="majorHAnsi" w:hAnsiTheme="majorHAnsi" w:cstheme="majorHAnsi"/>
        </w:rPr>
        <w:t xml:space="preserve">47. </w:t>
      </w:r>
      <w:r w:rsidRPr="00557E29">
        <w:rPr>
          <w:rFonts w:asciiTheme="majorHAnsi" w:hAnsiTheme="majorHAnsi" w:cstheme="majorHAnsi"/>
        </w:rPr>
        <w:tab/>
        <w:t xml:space="preserve">Tuck E. </w:t>
      </w:r>
      <w:hyperlink r:id="rId30">
        <w:r w:rsidRPr="00557E29">
          <w:rPr>
            <w:rStyle w:val="Hyperlink"/>
            <w:rFonts w:asciiTheme="majorHAnsi" w:hAnsiTheme="majorHAnsi" w:cstheme="majorHAnsi"/>
          </w:rPr>
          <w:t>Suspending Damage: A Letter to Communities</w:t>
        </w:r>
      </w:hyperlink>
      <w:r w:rsidRPr="00557E29">
        <w:rPr>
          <w:rFonts w:asciiTheme="majorHAnsi" w:hAnsiTheme="majorHAnsi" w:cstheme="majorHAnsi"/>
        </w:rPr>
        <w:t xml:space="preserve">. Harvard Educational Review. 2009;79(3):409–28. </w:t>
      </w:r>
    </w:p>
    <w:p w14:paraId="578E3333" w14:textId="77777777" w:rsidR="00197EF8" w:rsidRPr="00557E29" w:rsidRDefault="00000000">
      <w:pPr>
        <w:pStyle w:val="Bibliography"/>
        <w:rPr>
          <w:rFonts w:asciiTheme="majorHAnsi" w:hAnsiTheme="majorHAnsi" w:cstheme="majorHAnsi"/>
        </w:rPr>
      </w:pPr>
      <w:bookmarkStart w:id="70" w:name="ref-roth2020a"/>
      <w:bookmarkEnd w:id="69"/>
      <w:r w:rsidRPr="00557E29">
        <w:rPr>
          <w:rFonts w:asciiTheme="majorHAnsi" w:hAnsiTheme="majorHAnsi" w:cstheme="majorHAnsi"/>
        </w:rPr>
        <w:t xml:space="preserve">48. </w:t>
      </w:r>
      <w:r w:rsidRPr="00557E29">
        <w:rPr>
          <w:rFonts w:asciiTheme="majorHAnsi" w:hAnsiTheme="majorHAnsi" w:cstheme="majorHAnsi"/>
        </w:rPr>
        <w:tab/>
        <w:t xml:space="preserve">Roth C. Violência obstétrica na Maternidade de Laranjeiras: fontes para pesquisas futuras. In: Teixeira LA, Rodrgues AP, Nucci MF, Silva FL, editors. Medicalização do parto: saberes e práticas. São Paulo: Hucitec Editora; 2020. p. 211–36. </w:t>
      </w:r>
    </w:p>
    <w:p w14:paraId="054F15B4" w14:textId="77777777" w:rsidR="00197EF8" w:rsidRPr="00557E29" w:rsidRDefault="00000000">
      <w:pPr>
        <w:pStyle w:val="Bibliography"/>
        <w:rPr>
          <w:rFonts w:asciiTheme="majorHAnsi" w:hAnsiTheme="majorHAnsi" w:cstheme="majorHAnsi"/>
        </w:rPr>
      </w:pPr>
      <w:bookmarkStart w:id="71" w:name="ref-roth2024"/>
      <w:bookmarkEnd w:id="70"/>
      <w:r w:rsidRPr="00557E29">
        <w:rPr>
          <w:rFonts w:asciiTheme="majorHAnsi" w:hAnsiTheme="majorHAnsi" w:cstheme="majorHAnsi"/>
        </w:rPr>
        <w:t xml:space="preserve">49. </w:t>
      </w:r>
      <w:r w:rsidRPr="00557E29">
        <w:rPr>
          <w:rFonts w:asciiTheme="majorHAnsi" w:hAnsiTheme="majorHAnsi" w:cstheme="majorHAnsi"/>
        </w:rPr>
        <w:tab/>
        <w:t xml:space="preserve">Roth C. Maternidade Laranjeiras. https://github.com/cp-roth/Roth-ML-project.git: Roth-ML-project; 2024. </w:t>
      </w:r>
    </w:p>
    <w:p w14:paraId="46005CA1" w14:textId="77777777" w:rsidR="00197EF8" w:rsidRPr="00557E29" w:rsidRDefault="00000000">
      <w:pPr>
        <w:pStyle w:val="Bibliography"/>
        <w:rPr>
          <w:rFonts w:asciiTheme="majorHAnsi" w:hAnsiTheme="majorHAnsi" w:cstheme="majorHAnsi"/>
        </w:rPr>
      </w:pPr>
      <w:bookmarkStart w:id="72" w:name="ref-worldhealthorganization2022"/>
      <w:bookmarkEnd w:id="71"/>
      <w:r w:rsidRPr="00557E29">
        <w:rPr>
          <w:rFonts w:asciiTheme="majorHAnsi" w:hAnsiTheme="majorHAnsi" w:cstheme="majorHAnsi"/>
        </w:rPr>
        <w:t xml:space="preserve">50. </w:t>
      </w:r>
      <w:r w:rsidRPr="00557E29">
        <w:rPr>
          <w:rFonts w:asciiTheme="majorHAnsi" w:hAnsiTheme="majorHAnsi" w:cstheme="majorHAnsi"/>
        </w:rPr>
        <w:tab/>
        <w:t xml:space="preserve">Organization WH. International Classification of Diseases, Eleventh Revision (ICD-11). Geneva: World Health Organization; 2022. </w:t>
      </w:r>
    </w:p>
    <w:p w14:paraId="16EE55D9" w14:textId="77777777" w:rsidR="00197EF8" w:rsidRPr="00557E29" w:rsidRDefault="00000000">
      <w:pPr>
        <w:pStyle w:val="Bibliography"/>
        <w:rPr>
          <w:rFonts w:asciiTheme="majorHAnsi" w:hAnsiTheme="majorHAnsi" w:cstheme="majorHAnsi"/>
        </w:rPr>
      </w:pPr>
      <w:bookmarkStart w:id="73" w:name="ref-telles2006"/>
      <w:bookmarkEnd w:id="72"/>
      <w:r w:rsidRPr="00557E29">
        <w:rPr>
          <w:rFonts w:asciiTheme="majorHAnsi" w:hAnsiTheme="majorHAnsi" w:cstheme="majorHAnsi"/>
        </w:rPr>
        <w:t xml:space="preserve">51. </w:t>
      </w:r>
      <w:r w:rsidRPr="00557E29">
        <w:rPr>
          <w:rFonts w:asciiTheme="majorHAnsi" w:hAnsiTheme="majorHAnsi" w:cstheme="majorHAnsi"/>
        </w:rPr>
        <w:tab/>
        <w:t xml:space="preserve">Telles EE. Race in Another America: The Significance of Skin Color in Brazil. Princeton, NJ: Princeton University Press; 2006. </w:t>
      </w:r>
    </w:p>
    <w:p w14:paraId="506012A3" w14:textId="77777777" w:rsidR="00197EF8" w:rsidRPr="00557E29" w:rsidRDefault="00000000">
      <w:pPr>
        <w:pStyle w:val="Bibliography"/>
        <w:rPr>
          <w:rFonts w:asciiTheme="majorHAnsi" w:hAnsiTheme="majorHAnsi" w:cstheme="majorHAnsi"/>
        </w:rPr>
      </w:pPr>
      <w:bookmarkStart w:id="74" w:name="ref-santana2021"/>
      <w:bookmarkEnd w:id="73"/>
      <w:r w:rsidRPr="00557E29">
        <w:rPr>
          <w:rFonts w:asciiTheme="majorHAnsi" w:hAnsiTheme="majorHAnsi" w:cstheme="majorHAnsi"/>
        </w:rPr>
        <w:t xml:space="preserve">52. </w:t>
      </w:r>
      <w:r w:rsidRPr="00557E29">
        <w:rPr>
          <w:rFonts w:asciiTheme="majorHAnsi" w:hAnsiTheme="majorHAnsi" w:cstheme="majorHAnsi"/>
        </w:rPr>
        <w:tab/>
        <w:t xml:space="preserve">Santana J da M, de Oliveira Queiroz VA, Pereira M, Paixão ES, Brito SM, dos Santos DB, et al. </w:t>
      </w:r>
      <w:hyperlink r:id="rId31">
        <w:r w:rsidRPr="00557E29">
          <w:rPr>
            <w:rStyle w:val="Hyperlink"/>
            <w:rFonts w:asciiTheme="majorHAnsi" w:hAnsiTheme="majorHAnsi" w:cstheme="majorHAnsi"/>
          </w:rPr>
          <w:t>Associations between Maternal Dietary Patterns and Infant Birth Weight in the NISAMI Cohort: A Structural Equation Modeling Analysis</w:t>
        </w:r>
      </w:hyperlink>
      <w:r w:rsidRPr="00557E29">
        <w:rPr>
          <w:rFonts w:asciiTheme="majorHAnsi" w:hAnsiTheme="majorHAnsi" w:cstheme="majorHAnsi"/>
        </w:rPr>
        <w:t xml:space="preserve">. Nutrients. 2021;13(11):4054. </w:t>
      </w:r>
    </w:p>
    <w:p w14:paraId="10B7E8E2" w14:textId="77777777" w:rsidR="00197EF8" w:rsidRPr="00557E29" w:rsidRDefault="00000000">
      <w:pPr>
        <w:pStyle w:val="Bibliography"/>
        <w:rPr>
          <w:rFonts w:asciiTheme="majorHAnsi" w:hAnsiTheme="majorHAnsi" w:cstheme="majorHAnsi"/>
        </w:rPr>
      </w:pPr>
      <w:bookmarkStart w:id="75" w:name="ref-roseboom2006"/>
      <w:bookmarkEnd w:id="74"/>
      <w:r w:rsidRPr="00557E29">
        <w:rPr>
          <w:rFonts w:asciiTheme="majorHAnsi" w:hAnsiTheme="majorHAnsi" w:cstheme="majorHAnsi"/>
        </w:rPr>
        <w:t xml:space="preserve">53. </w:t>
      </w:r>
      <w:r w:rsidRPr="00557E29">
        <w:rPr>
          <w:rFonts w:asciiTheme="majorHAnsi" w:hAnsiTheme="majorHAnsi" w:cstheme="majorHAnsi"/>
        </w:rPr>
        <w:tab/>
        <w:t xml:space="preserve">Roseboom T, de Rooij S, Painter R. </w:t>
      </w:r>
      <w:hyperlink r:id="rId32">
        <w:r w:rsidRPr="00557E29">
          <w:rPr>
            <w:rStyle w:val="Hyperlink"/>
            <w:rFonts w:asciiTheme="majorHAnsi" w:hAnsiTheme="majorHAnsi" w:cstheme="majorHAnsi"/>
          </w:rPr>
          <w:t>The Dutch famine and its long-term consequences for adult health</w:t>
        </w:r>
      </w:hyperlink>
      <w:r w:rsidRPr="00557E29">
        <w:rPr>
          <w:rFonts w:asciiTheme="majorHAnsi" w:hAnsiTheme="majorHAnsi" w:cstheme="majorHAnsi"/>
        </w:rPr>
        <w:t xml:space="preserve">. Early Human Development. 2006;82(8):485–91. </w:t>
      </w:r>
    </w:p>
    <w:p w14:paraId="7A6DEEA1" w14:textId="77777777" w:rsidR="00197EF8" w:rsidRPr="00557E29" w:rsidRDefault="00000000">
      <w:pPr>
        <w:pStyle w:val="Bibliography"/>
        <w:rPr>
          <w:rFonts w:asciiTheme="majorHAnsi" w:hAnsiTheme="majorHAnsi" w:cstheme="majorHAnsi"/>
        </w:rPr>
      </w:pPr>
      <w:bookmarkStart w:id="76" w:name="ref-painter2005"/>
      <w:bookmarkEnd w:id="75"/>
      <w:r w:rsidRPr="00557E29">
        <w:rPr>
          <w:rFonts w:asciiTheme="majorHAnsi" w:hAnsiTheme="majorHAnsi" w:cstheme="majorHAnsi"/>
        </w:rPr>
        <w:t xml:space="preserve">54. </w:t>
      </w:r>
      <w:r w:rsidRPr="00557E29">
        <w:rPr>
          <w:rFonts w:asciiTheme="majorHAnsi" w:hAnsiTheme="majorHAnsi" w:cstheme="majorHAnsi"/>
        </w:rPr>
        <w:tab/>
        <w:t xml:space="preserve">Painter RC, Roseboom TJ, Bleker OP. </w:t>
      </w:r>
      <w:hyperlink r:id="rId33">
        <w:r w:rsidRPr="00557E29">
          <w:rPr>
            <w:rStyle w:val="Hyperlink"/>
            <w:rFonts w:asciiTheme="majorHAnsi" w:hAnsiTheme="majorHAnsi" w:cstheme="majorHAnsi"/>
          </w:rPr>
          <w:t>Prenatal exposure to the Dutch famine and disease in later life: An overview</w:t>
        </w:r>
      </w:hyperlink>
      <w:r w:rsidRPr="00557E29">
        <w:rPr>
          <w:rFonts w:asciiTheme="majorHAnsi" w:hAnsiTheme="majorHAnsi" w:cstheme="majorHAnsi"/>
        </w:rPr>
        <w:t xml:space="preserve">. Reproductive Toxicology. 2005;20(3):345–52. </w:t>
      </w:r>
    </w:p>
    <w:p w14:paraId="66689018" w14:textId="77777777" w:rsidR="00197EF8" w:rsidRPr="00557E29" w:rsidRDefault="00000000">
      <w:pPr>
        <w:pStyle w:val="Bibliography"/>
        <w:rPr>
          <w:rFonts w:asciiTheme="majorHAnsi" w:hAnsiTheme="majorHAnsi" w:cstheme="majorHAnsi"/>
        </w:rPr>
      </w:pPr>
      <w:bookmarkStart w:id="77" w:name="ref-wehby2017a"/>
      <w:bookmarkEnd w:id="76"/>
      <w:r w:rsidRPr="00557E29">
        <w:rPr>
          <w:rFonts w:asciiTheme="majorHAnsi" w:hAnsiTheme="majorHAnsi" w:cstheme="majorHAnsi"/>
        </w:rPr>
        <w:t xml:space="preserve">55. </w:t>
      </w:r>
      <w:r w:rsidRPr="00557E29">
        <w:rPr>
          <w:rFonts w:asciiTheme="majorHAnsi" w:hAnsiTheme="majorHAnsi" w:cstheme="majorHAnsi"/>
        </w:rPr>
        <w:tab/>
        <w:t xml:space="preserve">Wehby GL, López-Camelo JS. </w:t>
      </w:r>
      <w:hyperlink r:id="rId34">
        <w:r w:rsidRPr="00557E29">
          <w:rPr>
            <w:rStyle w:val="Hyperlink"/>
            <w:rFonts w:asciiTheme="majorHAnsi" w:hAnsiTheme="majorHAnsi" w:cstheme="majorHAnsi"/>
          </w:rPr>
          <w:t>Maternal Education Gradients in Infant Health in Four South American Countries</w:t>
        </w:r>
      </w:hyperlink>
      <w:r w:rsidRPr="00557E29">
        <w:rPr>
          <w:rFonts w:asciiTheme="majorHAnsi" w:hAnsiTheme="majorHAnsi" w:cstheme="majorHAnsi"/>
        </w:rPr>
        <w:t xml:space="preserve">. Maternal and Child Health Journal. 2017;21(11):2122–31. </w:t>
      </w:r>
    </w:p>
    <w:p w14:paraId="546CE16D" w14:textId="77777777" w:rsidR="00197EF8" w:rsidRPr="00557E29" w:rsidRDefault="00000000">
      <w:pPr>
        <w:pStyle w:val="Bibliography"/>
        <w:rPr>
          <w:rFonts w:asciiTheme="majorHAnsi" w:hAnsiTheme="majorHAnsi" w:cstheme="majorHAnsi"/>
        </w:rPr>
      </w:pPr>
      <w:bookmarkStart w:id="78" w:name="ref-andrasfay2020a"/>
      <w:bookmarkEnd w:id="77"/>
      <w:r w:rsidRPr="00557E29">
        <w:rPr>
          <w:rFonts w:asciiTheme="majorHAnsi" w:hAnsiTheme="majorHAnsi" w:cstheme="majorHAnsi"/>
        </w:rPr>
        <w:t xml:space="preserve">56. </w:t>
      </w:r>
      <w:r w:rsidRPr="00557E29">
        <w:rPr>
          <w:rFonts w:asciiTheme="majorHAnsi" w:hAnsiTheme="majorHAnsi" w:cstheme="majorHAnsi"/>
        </w:rPr>
        <w:tab/>
        <w:t xml:space="preserve">Andrasfay T, Goldman N. </w:t>
      </w:r>
      <w:hyperlink r:id="rId35">
        <w:r w:rsidRPr="00557E29">
          <w:rPr>
            <w:rStyle w:val="Hyperlink"/>
            <w:rFonts w:asciiTheme="majorHAnsi" w:hAnsiTheme="majorHAnsi" w:cstheme="majorHAnsi"/>
          </w:rPr>
          <w:t>Intergenerational Change in Birthweight: Effects of Foreign-born Status and Race/Ethnicity</w:t>
        </w:r>
      </w:hyperlink>
      <w:r w:rsidRPr="00557E29">
        <w:rPr>
          <w:rFonts w:asciiTheme="majorHAnsi" w:hAnsiTheme="majorHAnsi" w:cstheme="majorHAnsi"/>
        </w:rPr>
        <w:t xml:space="preserve">. Epidemiology. 2020;31(5):649. </w:t>
      </w:r>
    </w:p>
    <w:p w14:paraId="70110456" w14:textId="77777777" w:rsidR="00197EF8" w:rsidRPr="00557E29" w:rsidRDefault="00000000">
      <w:pPr>
        <w:pStyle w:val="Bibliography"/>
        <w:rPr>
          <w:rFonts w:asciiTheme="majorHAnsi" w:hAnsiTheme="majorHAnsi" w:cstheme="majorHAnsi"/>
        </w:rPr>
      </w:pPr>
      <w:bookmarkStart w:id="79" w:name="ref-leal2006"/>
      <w:bookmarkEnd w:id="78"/>
      <w:r w:rsidRPr="00557E29">
        <w:rPr>
          <w:rFonts w:asciiTheme="majorHAnsi" w:hAnsiTheme="majorHAnsi" w:cstheme="majorHAnsi"/>
        </w:rPr>
        <w:lastRenderedPageBreak/>
        <w:t xml:space="preserve">57. </w:t>
      </w:r>
      <w:r w:rsidRPr="00557E29">
        <w:rPr>
          <w:rFonts w:asciiTheme="majorHAnsi" w:hAnsiTheme="majorHAnsi" w:cstheme="majorHAnsi"/>
        </w:rPr>
        <w:tab/>
        <w:t xml:space="preserve">Leal M do C, Gama SGN da, Cunha CB da. </w:t>
      </w:r>
      <w:hyperlink r:id="rId36">
        <w:r w:rsidRPr="00557E29">
          <w:rPr>
            <w:rStyle w:val="Hyperlink"/>
            <w:rFonts w:asciiTheme="majorHAnsi" w:hAnsiTheme="majorHAnsi" w:cstheme="majorHAnsi"/>
          </w:rPr>
          <w:t>Desigualdades sociodemográficas e suas conseqüências sobre o peso do recém-nascido</w:t>
        </w:r>
      </w:hyperlink>
      <w:r w:rsidRPr="00557E29">
        <w:rPr>
          <w:rFonts w:asciiTheme="majorHAnsi" w:hAnsiTheme="majorHAnsi" w:cstheme="majorHAnsi"/>
        </w:rPr>
        <w:t xml:space="preserve">. Revista de Saúde Pública. 2006 Jun;40:466–73. </w:t>
      </w:r>
    </w:p>
    <w:p w14:paraId="57E04D1A" w14:textId="77777777" w:rsidR="00197EF8" w:rsidRPr="00557E29" w:rsidRDefault="00000000">
      <w:pPr>
        <w:pStyle w:val="Bibliography"/>
        <w:rPr>
          <w:rFonts w:asciiTheme="majorHAnsi" w:hAnsiTheme="majorHAnsi" w:cstheme="majorHAnsi"/>
        </w:rPr>
      </w:pPr>
      <w:bookmarkStart w:id="80" w:name="ref-silveira2019"/>
      <w:bookmarkEnd w:id="79"/>
      <w:r w:rsidRPr="00557E29">
        <w:rPr>
          <w:rFonts w:asciiTheme="majorHAnsi" w:hAnsiTheme="majorHAnsi" w:cstheme="majorHAnsi"/>
        </w:rPr>
        <w:t xml:space="preserve">58. </w:t>
      </w:r>
      <w:r w:rsidRPr="00557E29">
        <w:rPr>
          <w:rFonts w:asciiTheme="majorHAnsi" w:hAnsiTheme="majorHAnsi" w:cstheme="majorHAnsi"/>
        </w:rPr>
        <w:tab/>
        <w:t xml:space="preserve">Silveira MF, Victora CG, Horta BL, da Silva BGC, Matijasevich A, Barros FC. </w:t>
      </w:r>
      <w:hyperlink r:id="rId37">
        <w:r w:rsidRPr="00557E29">
          <w:rPr>
            <w:rStyle w:val="Hyperlink"/>
            <w:rFonts w:asciiTheme="majorHAnsi" w:hAnsiTheme="majorHAnsi" w:cstheme="majorHAnsi"/>
          </w:rPr>
          <w:t>Low birthweight and preterm birth: Trends and inequalities in four population-based birth cohorts in Pelotas, Brazil, 1982–2015</w:t>
        </w:r>
      </w:hyperlink>
      <w:r w:rsidRPr="00557E29">
        <w:rPr>
          <w:rFonts w:asciiTheme="majorHAnsi" w:hAnsiTheme="majorHAnsi" w:cstheme="majorHAnsi"/>
        </w:rPr>
        <w:t xml:space="preserve">. International Journal of Epidemiology. 2019;48(Supplement_1):i46–53. </w:t>
      </w:r>
    </w:p>
    <w:p w14:paraId="52FAD402" w14:textId="77777777" w:rsidR="00197EF8" w:rsidRPr="00557E29" w:rsidRDefault="00000000">
      <w:pPr>
        <w:pStyle w:val="Bibliography"/>
        <w:rPr>
          <w:rFonts w:asciiTheme="majorHAnsi" w:hAnsiTheme="majorHAnsi" w:cstheme="majorHAnsi"/>
        </w:rPr>
      </w:pPr>
      <w:bookmarkStart w:id="81" w:name="ref-cutland2017"/>
      <w:bookmarkEnd w:id="80"/>
      <w:r w:rsidRPr="00557E29">
        <w:rPr>
          <w:rFonts w:asciiTheme="majorHAnsi" w:hAnsiTheme="majorHAnsi" w:cstheme="majorHAnsi"/>
        </w:rPr>
        <w:t xml:space="preserve">59. </w:t>
      </w:r>
      <w:r w:rsidRPr="00557E29">
        <w:rPr>
          <w:rFonts w:asciiTheme="majorHAnsi" w:hAnsiTheme="majorHAnsi" w:cstheme="majorHAnsi"/>
        </w:rPr>
        <w:tab/>
        <w:t xml:space="preserve">Cutland CL, Lackritz EM, Mallett-Moore T, Bardají A, Chandrasekaran R, Lahariya C, et al. </w:t>
      </w:r>
      <w:hyperlink r:id="rId38">
        <w:r w:rsidRPr="00557E29">
          <w:rPr>
            <w:rStyle w:val="Hyperlink"/>
            <w:rFonts w:asciiTheme="majorHAnsi" w:hAnsiTheme="majorHAnsi" w:cstheme="majorHAnsi"/>
          </w:rPr>
          <w:t>Low birth weight: Case definition &amp; guidelines for data collection, analysis, and presentation of maternal immunization safety data</w:t>
        </w:r>
      </w:hyperlink>
      <w:r w:rsidRPr="00557E29">
        <w:rPr>
          <w:rFonts w:asciiTheme="majorHAnsi" w:hAnsiTheme="majorHAnsi" w:cstheme="majorHAnsi"/>
        </w:rPr>
        <w:t xml:space="preserve">. Vaccine. 2017;35(48Part A):6492–500. </w:t>
      </w:r>
    </w:p>
    <w:p w14:paraId="7BA42A56" w14:textId="77777777" w:rsidR="00197EF8" w:rsidRPr="00557E29" w:rsidRDefault="00000000">
      <w:pPr>
        <w:pStyle w:val="Bibliography"/>
        <w:rPr>
          <w:rFonts w:asciiTheme="majorHAnsi" w:hAnsiTheme="majorHAnsi" w:cstheme="majorHAnsi"/>
        </w:rPr>
      </w:pPr>
      <w:bookmarkStart w:id="82" w:name="ref-falcao2020"/>
      <w:bookmarkEnd w:id="81"/>
      <w:r w:rsidRPr="00557E29">
        <w:rPr>
          <w:rFonts w:asciiTheme="majorHAnsi" w:hAnsiTheme="majorHAnsi" w:cstheme="majorHAnsi"/>
        </w:rPr>
        <w:t xml:space="preserve">60. </w:t>
      </w:r>
      <w:r w:rsidRPr="00557E29">
        <w:rPr>
          <w:rFonts w:asciiTheme="majorHAnsi" w:hAnsiTheme="majorHAnsi" w:cstheme="majorHAnsi"/>
        </w:rPr>
        <w:tab/>
        <w:t xml:space="preserve">Falcão IR, Ribeiro-Silva R de C, de Almeida MF, Fiaccone RL, dos S. Rocha A, Ortelan N, et al. </w:t>
      </w:r>
      <w:hyperlink r:id="rId39">
        <w:r w:rsidRPr="00557E29">
          <w:rPr>
            <w:rStyle w:val="Hyperlink"/>
            <w:rFonts w:asciiTheme="majorHAnsi" w:hAnsiTheme="majorHAnsi" w:cstheme="majorHAnsi"/>
          </w:rPr>
          <w:t>Factors associated with low birth weight at term: A population-based linkage study of the 100 million Brazilian cohort</w:t>
        </w:r>
      </w:hyperlink>
      <w:r w:rsidRPr="00557E29">
        <w:rPr>
          <w:rFonts w:asciiTheme="majorHAnsi" w:hAnsiTheme="majorHAnsi" w:cstheme="majorHAnsi"/>
        </w:rPr>
        <w:t xml:space="preserve">. BMC Pregnancy and Childbirth. 2020;20(1):536. </w:t>
      </w:r>
    </w:p>
    <w:p w14:paraId="63F92EBC" w14:textId="77777777" w:rsidR="00197EF8" w:rsidRPr="00557E29" w:rsidRDefault="00000000">
      <w:pPr>
        <w:pStyle w:val="Bibliography"/>
        <w:rPr>
          <w:rFonts w:asciiTheme="majorHAnsi" w:hAnsiTheme="majorHAnsi" w:cstheme="majorHAnsi"/>
        </w:rPr>
      </w:pPr>
      <w:bookmarkStart w:id="83" w:name="ref-silva1998"/>
      <w:bookmarkEnd w:id="82"/>
      <w:r w:rsidRPr="00557E29">
        <w:rPr>
          <w:rFonts w:asciiTheme="majorHAnsi" w:hAnsiTheme="majorHAnsi" w:cstheme="majorHAnsi"/>
        </w:rPr>
        <w:t xml:space="preserve">61. </w:t>
      </w:r>
      <w:r w:rsidRPr="00557E29">
        <w:rPr>
          <w:rFonts w:asciiTheme="majorHAnsi" w:hAnsiTheme="majorHAnsi" w:cstheme="majorHAnsi"/>
        </w:rPr>
        <w:tab/>
        <w:t xml:space="preserve">Silva AA, Barbieri MA, Gomes UA, Bettiol H. </w:t>
      </w:r>
      <w:hyperlink r:id="rId40">
        <w:r w:rsidRPr="00557E29">
          <w:rPr>
            <w:rStyle w:val="Hyperlink"/>
            <w:rFonts w:asciiTheme="majorHAnsi" w:hAnsiTheme="majorHAnsi" w:cstheme="majorHAnsi"/>
          </w:rPr>
          <w:t>Trends in low birth weight: A comparison of two birth cohorts separated by a 15-year interval in Ribeirão Preto, Brazil.</w:t>
        </w:r>
      </w:hyperlink>
      <w:r w:rsidRPr="00557E29">
        <w:rPr>
          <w:rFonts w:asciiTheme="majorHAnsi" w:hAnsiTheme="majorHAnsi" w:cstheme="majorHAnsi"/>
        </w:rPr>
        <w:t xml:space="preserve"> Bulletin of the World Health Organization. 1998;76(1):73–84. </w:t>
      </w:r>
    </w:p>
    <w:p w14:paraId="6982C81F" w14:textId="77777777" w:rsidR="00197EF8" w:rsidRPr="00557E29" w:rsidRDefault="00000000">
      <w:pPr>
        <w:pStyle w:val="Bibliography"/>
        <w:rPr>
          <w:rFonts w:asciiTheme="majorHAnsi" w:hAnsiTheme="majorHAnsi" w:cstheme="majorHAnsi"/>
        </w:rPr>
      </w:pPr>
      <w:bookmarkStart w:id="84" w:name="ref-ritchie2024"/>
      <w:bookmarkEnd w:id="83"/>
      <w:r w:rsidRPr="00557E29">
        <w:rPr>
          <w:rFonts w:asciiTheme="majorHAnsi" w:hAnsiTheme="majorHAnsi" w:cstheme="majorHAnsi"/>
        </w:rPr>
        <w:t xml:space="preserve">62. </w:t>
      </w:r>
      <w:r w:rsidRPr="00557E29">
        <w:rPr>
          <w:rFonts w:asciiTheme="majorHAnsi" w:hAnsiTheme="majorHAnsi" w:cstheme="majorHAnsi"/>
        </w:rPr>
        <w:tab/>
        <w:t xml:space="preserve">Ritchie H, Roser M. Gender Ratio. Our World in Data. 2024 Mar; </w:t>
      </w:r>
    </w:p>
    <w:p w14:paraId="594447B1" w14:textId="77777777" w:rsidR="00197EF8" w:rsidRPr="00557E29" w:rsidRDefault="00000000">
      <w:pPr>
        <w:pStyle w:val="Bibliography"/>
        <w:rPr>
          <w:rFonts w:asciiTheme="majorHAnsi" w:hAnsiTheme="majorHAnsi" w:cstheme="majorHAnsi"/>
        </w:rPr>
      </w:pPr>
      <w:bookmarkStart w:id="85" w:name="ref-souza2020"/>
      <w:bookmarkEnd w:id="84"/>
      <w:r w:rsidRPr="00557E29">
        <w:rPr>
          <w:rFonts w:asciiTheme="majorHAnsi" w:hAnsiTheme="majorHAnsi" w:cstheme="majorHAnsi"/>
        </w:rPr>
        <w:t xml:space="preserve">63. </w:t>
      </w:r>
      <w:r w:rsidRPr="00557E29">
        <w:rPr>
          <w:rFonts w:asciiTheme="majorHAnsi" w:hAnsiTheme="majorHAnsi" w:cstheme="majorHAnsi"/>
        </w:rPr>
        <w:tab/>
        <w:t xml:space="preserve">Souza RT, Vieira MC, Esteves-Pereira AP, Domingues RMSM, Moreira MEL, da Cunha Filho EV, et al. </w:t>
      </w:r>
      <w:hyperlink r:id="rId41">
        <w:r w:rsidRPr="00557E29">
          <w:rPr>
            <w:rStyle w:val="Hyperlink"/>
            <w:rFonts w:asciiTheme="majorHAnsi" w:hAnsiTheme="majorHAnsi" w:cstheme="majorHAnsi"/>
          </w:rPr>
          <w:t>Risk stratification for small for gestational age for the Brazilian population: A secondary analysis of the Birth in Brazil study</w:t>
        </w:r>
      </w:hyperlink>
      <w:r w:rsidRPr="00557E29">
        <w:rPr>
          <w:rFonts w:asciiTheme="majorHAnsi" w:hAnsiTheme="majorHAnsi" w:cstheme="majorHAnsi"/>
        </w:rPr>
        <w:t xml:space="preserve">. Scientific Reports. 2020 Sep;10:14725. </w:t>
      </w:r>
    </w:p>
    <w:p w14:paraId="2B7F49DD" w14:textId="77777777" w:rsidR="00197EF8" w:rsidRPr="00557E29" w:rsidRDefault="00000000">
      <w:pPr>
        <w:pStyle w:val="Bibliography"/>
        <w:rPr>
          <w:rFonts w:asciiTheme="majorHAnsi" w:hAnsiTheme="majorHAnsi" w:cstheme="majorHAnsi"/>
        </w:rPr>
      </w:pPr>
      <w:bookmarkStart w:id="86" w:name="ref-hanlon2016"/>
      <w:bookmarkEnd w:id="85"/>
      <w:r w:rsidRPr="00557E29">
        <w:rPr>
          <w:rFonts w:asciiTheme="majorHAnsi" w:hAnsiTheme="majorHAnsi" w:cstheme="majorHAnsi"/>
        </w:rPr>
        <w:t xml:space="preserve">64. </w:t>
      </w:r>
      <w:r w:rsidRPr="00557E29">
        <w:rPr>
          <w:rFonts w:asciiTheme="majorHAnsi" w:hAnsiTheme="majorHAnsi" w:cstheme="majorHAnsi"/>
        </w:rPr>
        <w:tab/>
        <w:t xml:space="preserve">Hanlon G. </w:t>
      </w:r>
      <w:hyperlink r:id="rId42">
        <w:r w:rsidRPr="00557E29">
          <w:rPr>
            <w:rStyle w:val="Hyperlink"/>
            <w:rFonts w:asciiTheme="majorHAnsi" w:hAnsiTheme="majorHAnsi" w:cstheme="majorHAnsi"/>
          </w:rPr>
          <w:t>Routine Infanticide in the West 1500–1800</w:t>
        </w:r>
      </w:hyperlink>
      <w:r w:rsidRPr="00557E29">
        <w:rPr>
          <w:rFonts w:asciiTheme="majorHAnsi" w:hAnsiTheme="majorHAnsi" w:cstheme="majorHAnsi"/>
        </w:rPr>
        <w:t xml:space="preserve">. History Compass. 2016;14(11):535–48. </w:t>
      </w:r>
    </w:p>
    <w:p w14:paraId="4D4160BA" w14:textId="77777777" w:rsidR="00197EF8" w:rsidRPr="00557E29" w:rsidRDefault="00000000">
      <w:pPr>
        <w:pStyle w:val="Bibliography"/>
        <w:rPr>
          <w:rFonts w:asciiTheme="majorHAnsi" w:hAnsiTheme="majorHAnsi" w:cstheme="majorHAnsi"/>
        </w:rPr>
      </w:pPr>
      <w:bookmarkStart w:id="87" w:name="ref-graham1992"/>
      <w:bookmarkEnd w:id="86"/>
      <w:r w:rsidRPr="00557E29">
        <w:rPr>
          <w:rFonts w:asciiTheme="majorHAnsi" w:hAnsiTheme="majorHAnsi" w:cstheme="majorHAnsi"/>
        </w:rPr>
        <w:t xml:space="preserve">65. </w:t>
      </w:r>
      <w:r w:rsidRPr="00557E29">
        <w:rPr>
          <w:rFonts w:asciiTheme="majorHAnsi" w:hAnsiTheme="majorHAnsi" w:cstheme="majorHAnsi"/>
        </w:rPr>
        <w:tab/>
        <w:t xml:space="preserve">Graham SL. House and Street: The Domestic World of Servants and Masters in Nineteenth-Century Rio de Janeiro. Austin: University of Texas Press; 1992. </w:t>
      </w:r>
    </w:p>
    <w:p w14:paraId="6028974F" w14:textId="77777777" w:rsidR="00197EF8" w:rsidRPr="00557E29" w:rsidRDefault="00000000">
      <w:pPr>
        <w:pStyle w:val="Bibliography"/>
        <w:rPr>
          <w:rFonts w:asciiTheme="majorHAnsi" w:hAnsiTheme="majorHAnsi" w:cstheme="majorHAnsi"/>
        </w:rPr>
      </w:pPr>
      <w:bookmarkStart w:id="88" w:name="ref-dasilva2024"/>
      <w:bookmarkEnd w:id="87"/>
      <w:r w:rsidRPr="00557E29">
        <w:rPr>
          <w:rFonts w:asciiTheme="majorHAnsi" w:hAnsiTheme="majorHAnsi" w:cstheme="majorHAnsi"/>
        </w:rPr>
        <w:t xml:space="preserve">66. </w:t>
      </w:r>
      <w:r w:rsidRPr="00557E29">
        <w:rPr>
          <w:rFonts w:asciiTheme="majorHAnsi" w:hAnsiTheme="majorHAnsi" w:cstheme="majorHAnsi"/>
        </w:rPr>
        <w:tab/>
        <w:t xml:space="preserve">da Silva HBM, de Cássia Ribeiro-Silva R, Junior EPP, Barreto ML, Paixão ES, Ichihara MY. </w:t>
      </w:r>
      <w:hyperlink r:id="rId43">
        <w:r w:rsidRPr="00557E29">
          <w:rPr>
            <w:rStyle w:val="Hyperlink"/>
            <w:rFonts w:asciiTheme="majorHAnsi" w:hAnsiTheme="majorHAnsi" w:cstheme="majorHAnsi"/>
          </w:rPr>
          <w:t>Syphilis in pregnancy and adverse birth outcomes: A nationwide longitudinal study in Brazil</w:t>
        </w:r>
      </w:hyperlink>
      <w:r w:rsidRPr="00557E29">
        <w:rPr>
          <w:rFonts w:asciiTheme="majorHAnsi" w:hAnsiTheme="majorHAnsi" w:cstheme="majorHAnsi"/>
        </w:rPr>
        <w:t xml:space="preserve">. International Journal of Gynecology &amp; Obstetrics. 2024;166(1):80–9. </w:t>
      </w:r>
    </w:p>
    <w:p w14:paraId="1041A671" w14:textId="77777777" w:rsidR="00197EF8" w:rsidRPr="00557E29" w:rsidRDefault="00000000">
      <w:pPr>
        <w:pStyle w:val="Bibliography"/>
        <w:rPr>
          <w:rFonts w:asciiTheme="majorHAnsi" w:hAnsiTheme="majorHAnsi" w:cstheme="majorHAnsi"/>
        </w:rPr>
      </w:pPr>
      <w:bookmarkStart w:id="89" w:name="ref-carrara1996a"/>
      <w:bookmarkEnd w:id="88"/>
      <w:r w:rsidRPr="00557E29">
        <w:rPr>
          <w:rFonts w:asciiTheme="majorHAnsi" w:hAnsiTheme="majorHAnsi" w:cstheme="majorHAnsi"/>
        </w:rPr>
        <w:t xml:space="preserve">67. </w:t>
      </w:r>
      <w:r w:rsidRPr="00557E29">
        <w:rPr>
          <w:rFonts w:asciiTheme="majorHAnsi" w:hAnsiTheme="majorHAnsi" w:cstheme="majorHAnsi"/>
        </w:rPr>
        <w:tab/>
        <w:t xml:space="preserve">Carrara S. Tributo a vênus: a luta contra a sífilis no Brasil, da passagem do século aos anos 40. Rio de Janeiro: Editora Fiocruz; 1996. </w:t>
      </w:r>
    </w:p>
    <w:p w14:paraId="419AF060" w14:textId="77777777" w:rsidR="00197EF8" w:rsidRPr="00557E29" w:rsidRDefault="00000000">
      <w:pPr>
        <w:pStyle w:val="Bibliography"/>
        <w:rPr>
          <w:rFonts w:asciiTheme="majorHAnsi" w:hAnsiTheme="majorHAnsi" w:cstheme="majorHAnsi"/>
        </w:rPr>
      </w:pPr>
      <w:bookmarkStart w:id="90" w:name="ref-fontenelle"/>
      <w:bookmarkEnd w:id="89"/>
      <w:r w:rsidRPr="00557E29">
        <w:rPr>
          <w:rFonts w:asciiTheme="majorHAnsi" w:hAnsiTheme="majorHAnsi" w:cstheme="majorHAnsi"/>
        </w:rPr>
        <w:t xml:space="preserve">68. </w:t>
      </w:r>
      <w:r w:rsidRPr="00557E29">
        <w:rPr>
          <w:rFonts w:asciiTheme="majorHAnsi" w:hAnsiTheme="majorHAnsi" w:cstheme="majorHAnsi"/>
        </w:rPr>
        <w:tab/>
        <w:t xml:space="preserve">Fontenelle JP. A saude publica no Rio de Janeiro: Districto Federal, 1937 e 1938. Rio de Janeiro; </w:t>
      </w:r>
    </w:p>
    <w:p w14:paraId="70047CF9" w14:textId="77777777" w:rsidR="00197EF8" w:rsidRPr="00557E29" w:rsidRDefault="00000000">
      <w:pPr>
        <w:pStyle w:val="Bibliography"/>
        <w:rPr>
          <w:rFonts w:asciiTheme="majorHAnsi" w:hAnsiTheme="majorHAnsi" w:cstheme="majorHAnsi"/>
        </w:rPr>
      </w:pPr>
      <w:bookmarkStart w:id="91" w:name="ref-roberts2014"/>
      <w:bookmarkEnd w:id="90"/>
      <w:r w:rsidRPr="00557E29">
        <w:rPr>
          <w:rFonts w:asciiTheme="majorHAnsi" w:hAnsiTheme="majorHAnsi" w:cstheme="majorHAnsi"/>
        </w:rPr>
        <w:t xml:space="preserve">69. </w:t>
      </w:r>
      <w:r w:rsidRPr="00557E29">
        <w:rPr>
          <w:rFonts w:asciiTheme="majorHAnsi" w:hAnsiTheme="majorHAnsi" w:cstheme="majorHAnsi"/>
        </w:rPr>
        <w:tab/>
        <w:t xml:space="preserve">Roberts E, Wood P. </w:t>
      </w:r>
      <w:hyperlink r:id="rId44">
        <w:r w:rsidRPr="00557E29">
          <w:rPr>
            <w:rStyle w:val="Hyperlink"/>
            <w:rFonts w:asciiTheme="majorHAnsi" w:hAnsiTheme="majorHAnsi" w:cstheme="majorHAnsi"/>
          </w:rPr>
          <w:t>Birth weight and adult health in historical perspective: Evidence from a New Zealand cohort, 1907–1922</w:t>
        </w:r>
      </w:hyperlink>
      <w:r w:rsidRPr="00557E29">
        <w:rPr>
          <w:rFonts w:asciiTheme="majorHAnsi" w:hAnsiTheme="majorHAnsi" w:cstheme="majorHAnsi"/>
        </w:rPr>
        <w:t xml:space="preserve">. Social Science &amp; Medicine. 2014;107:154–61. </w:t>
      </w:r>
      <w:bookmarkEnd w:id="16"/>
      <w:bookmarkEnd w:id="23"/>
      <w:bookmarkEnd w:id="91"/>
    </w:p>
    <w:sectPr w:rsidR="00197EF8" w:rsidRPr="00557E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176F1" w14:textId="77777777" w:rsidR="002D73E3" w:rsidRDefault="002D73E3">
      <w:pPr>
        <w:spacing w:after="0"/>
      </w:pPr>
      <w:r>
        <w:separator/>
      </w:r>
    </w:p>
  </w:endnote>
  <w:endnote w:type="continuationSeparator" w:id="0">
    <w:p w14:paraId="2D24FF69" w14:textId="77777777" w:rsidR="002D73E3" w:rsidRDefault="002D7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26710" w14:textId="77777777" w:rsidR="002D73E3" w:rsidRDefault="002D73E3">
      <w:r>
        <w:separator/>
      </w:r>
    </w:p>
  </w:footnote>
  <w:footnote w:type="continuationSeparator" w:id="0">
    <w:p w14:paraId="594E4E96" w14:textId="77777777" w:rsidR="002D73E3" w:rsidRDefault="002D7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4AE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941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7EF8"/>
    <w:rsid w:val="00197EF8"/>
    <w:rsid w:val="002D73E3"/>
    <w:rsid w:val="00557E29"/>
    <w:rsid w:val="009F75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AE166"/>
  <w15:docId w15:val="{474396CE-A3B6-8446-AC7F-9E111066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00038-014-0639-6" TargetMode="External"/><Relationship Id="rId18" Type="http://schemas.openxmlformats.org/officeDocument/2006/relationships/hyperlink" Target="https://doi.org/10.1002/ajhb.20824" TargetMode="External"/><Relationship Id="rId26" Type="http://schemas.openxmlformats.org/officeDocument/2006/relationships/hyperlink" Target="https://doi.org/10.1017/S0022050700021690" TargetMode="External"/><Relationship Id="rId39" Type="http://schemas.openxmlformats.org/officeDocument/2006/relationships/hyperlink" Target="https://doi.org/10.1186/s12884-020-03226-x" TargetMode="External"/><Relationship Id="rId21" Type="http://schemas.openxmlformats.org/officeDocument/2006/relationships/hyperlink" Target="https://doi.org/10.1016/0014-4983(86)90012-4" TargetMode="External"/><Relationship Id="rId34" Type="http://schemas.openxmlformats.org/officeDocument/2006/relationships/hyperlink" Target="https://doi.org/10.1007/s10995-017-2327-7" TargetMode="External"/><Relationship Id="rId42" Type="http://schemas.openxmlformats.org/officeDocument/2006/relationships/hyperlink" Target="https://doi.org/10.1111/hic3.12361" TargetMode="External"/><Relationship Id="rId7" Type="http://schemas.openxmlformats.org/officeDocument/2006/relationships/hyperlink" Target="https://doi.org/10.1002/ajhb.23742" TargetMode="External"/><Relationship Id="rId2" Type="http://schemas.openxmlformats.org/officeDocument/2006/relationships/styles" Target="styles.xml"/><Relationship Id="rId16" Type="http://schemas.openxmlformats.org/officeDocument/2006/relationships/hyperlink" Target="https://doi.org/10.1007/s40615-022-01477-2" TargetMode="External"/><Relationship Id="rId29" Type="http://schemas.openxmlformats.org/officeDocument/2006/relationships/hyperlink" Target="https://doi.org/10.1016/j.cophys.2019.12.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2963-019-0195-7" TargetMode="External"/><Relationship Id="rId24" Type="http://schemas.openxmlformats.org/officeDocument/2006/relationships/hyperlink" Target="https://doi.org/10.1017/S0212610919000077" TargetMode="External"/><Relationship Id="rId32" Type="http://schemas.openxmlformats.org/officeDocument/2006/relationships/hyperlink" Target="https://doi.org/10.1016/j.earlhumdev.2006.07.001" TargetMode="External"/><Relationship Id="rId37" Type="http://schemas.openxmlformats.org/officeDocument/2006/relationships/hyperlink" Target="https://doi.org/10.1093/ije/dyy106" TargetMode="External"/><Relationship Id="rId40" Type="http://schemas.openxmlformats.org/officeDocument/2006/relationships/hyperlink" Target="https://www.ncbi.nlm.nih.gov/pmc/articles/PMC2305625"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389/frph.2021.684207" TargetMode="External"/><Relationship Id="rId23" Type="http://schemas.openxmlformats.org/officeDocument/2006/relationships/hyperlink" Target="https://doi.org/10.2307/2516096" TargetMode="External"/><Relationship Id="rId28" Type="http://schemas.openxmlformats.org/officeDocument/2006/relationships/hyperlink" Target="https://doi.org/10.1016/0014-4983(89)90026-0" TargetMode="External"/><Relationship Id="rId36" Type="http://schemas.openxmlformats.org/officeDocument/2006/relationships/hyperlink" Target="https://doi.org/10.1590/S0034-89102006000300015" TargetMode="External"/><Relationship Id="rId10" Type="http://schemas.openxmlformats.org/officeDocument/2006/relationships/hyperlink" Target="https://doi.org/10.1016/j.lana.2021.100045" TargetMode="External"/><Relationship Id="rId19" Type="http://schemas.openxmlformats.org/officeDocument/2006/relationships/hyperlink" Target="https://doi.org/10.2105/AJPH.2019.305243" TargetMode="External"/><Relationship Id="rId31" Type="http://schemas.openxmlformats.org/officeDocument/2006/relationships/hyperlink" Target="https://doi.org/10.3390/nu13114054" TargetMode="External"/><Relationship Id="rId44" Type="http://schemas.openxmlformats.org/officeDocument/2006/relationships/hyperlink" Target="https://doi.org/10.1016/j.socscimed.2014.02.015" TargetMode="External"/><Relationship Id="rId4" Type="http://schemas.openxmlformats.org/officeDocument/2006/relationships/webSettings" Target="webSettings.xml"/><Relationship Id="rId9" Type="http://schemas.openxmlformats.org/officeDocument/2006/relationships/hyperlink" Target="https://doi.org/10.1590/S0102-311X2005000500035" TargetMode="External"/><Relationship Id="rId14" Type="http://schemas.openxmlformats.org/officeDocument/2006/relationships/hyperlink" Target="https://doi.org/10.1186/s12889-021-11185-x" TargetMode="External"/><Relationship Id="rId22" Type="http://schemas.openxmlformats.org/officeDocument/2006/relationships/hyperlink" Target="https://doi.org/10.1080/0144039X.2020.1755502" TargetMode="External"/><Relationship Id="rId27" Type="http://schemas.openxmlformats.org/officeDocument/2006/relationships/hyperlink" Target="https://doi.org/10.1017/S0022050704043086" TargetMode="External"/><Relationship Id="rId30" Type="http://schemas.openxmlformats.org/officeDocument/2006/relationships/hyperlink" Target="https://doi.org/10.17763/haer.79.3.n0016675661t3n15" TargetMode="External"/><Relationship Id="rId35" Type="http://schemas.openxmlformats.org/officeDocument/2006/relationships/hyperlink" Target="https://doi.org/10.1097/EDE.0000000000001217" TargetMode="External"/><Relationship Id="rId43" Type="http://schemas.openxmlformats.org/officeDocument/2006/relationships/hyperlink" Target="https://doi.org/10.1002/ijgo.15561" TargetMode="External"/><Relationship Id="rId8" Type="http://schemas.openxmlformats.org/officeDocument/2006/relationships/hyperlink" Target="https://doi.org/10.1590/S0102-311X2004000300003" TargetMode="External"/><Relationship Id="rId3" Type="http://schemas.openxmlformats.org/officeDocument/2006/relationships/settings" Target="settings.xml"/><Relationship Id="rId12" Type="http://schemas.openxmlformats.org/officeDocument/2006/relationships/hyperlink" Target="https://doi.org/10.2105%2FAJPH.2012.301021" TargetMode="External"/><Relationship Id="rId17" Type="http://schemas.openxmlformats.org/officeDocument/2006/relationships/hyperlink" Target="https://doi.org/10.1056/NEJM199710233371706" TargetMode="External"/><Relationship Id="rId25" Type="http://schemas.openxmlformats.org/officeDocument/2006/relationships/hyperlink" Target="https://www.ncbi.nlm.nih.gov/pubmed/33967103" TargetMode="External"/><Relationship Id="rId33" Type="http://schemas.openxmlformats.org/officeDocument/2006/relationships/hyperlink" Target="https://doi.org/10.1016/j.reprotox.2005.04.005" TargetMode="External"/><Relationship Id="rId38" Type="http://schemas.openxmlformats.org/officeDocument/2006/relationships/hyperlink" Target="https://doi.org/10.1016/j.vaccine.2017.01.049" TargetMode="External"/><Relationship Id="rId46" Type="http://schemas.openxmlformats.org/officeDocument/2006/relationships/theme" Target="theme/theme1.xml"/><Relationship Id="rId20" Type="http://schemas.openxmlformats.org/officeDocument/2006/relationships/hyperlink" Target="https://doi.org/10.1016/j.lana.2024.100690" TargetMode="External"/><Relationship Id="rId41" Type="http://schemas.openxmlformats.org/officeDocument/2006/relationships/hyperlink" Target="https://doi.org/10.1038/s41598-020-71252-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7903</Words>
  <Characters>45128</Characters>
  <Application>Microsoft Office Word</Application>
  <DocSecurity>0</DocSecurity>
  <Lines>1253</Lines>
  <Paragraphs>646</Paragraphs>
  <ScaleCrop>false</ScaleCrop>
  <Company/>
  <LinksUpToDate>false</LinksUpToDate>
  <CharactersWithSpaces>52385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cp:lastModifiedBy>Cassia P Roth</cp:lastModifiedBy>
  <cp:revision>1</cp:revision>
  <dcterms:created xsi:type="dcterms:W3CDTF">2024-08-12T17:11:00Z</dcterms:created>
  <dcterms:modified xsi:type="dcterms:W3CDTF">2024-08-12T17:16:00Z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2024-08-12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