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Purchase Requisition Form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Requested by: Louis Suan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Date filed: October 7, 2026.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Department: Finance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Item description: four ergonomic office chairs to replace units in the accounts payable section that have broken armrests and sagging seat cushions.</w:t>
      </w:r>
    </w:p>
    <w:p>
      <w:pPr>
        <w:pStyle w:val="PreformattedText"/>
        <w:bidi w:val="0"/>
        <w:spacing w:before="0" w:after="0"/>
        <w:jc w:val="left"/>
        <w:rPr/>
      </w:pPr>
      <w:r>
        <w:rPr/>
        <w:t>Quantity: 4 units.</w:t>
      </w:r>
    </w:p>
    <w:p>
      <w:pPr>
        <w:pStyle w:val="PreformattedText"/>
        <w:bidi w:val="0"/>
        <w:spacing w:before="0" w:after="0"/>
        <w:jc w:val="left"/>
        <w:rPr/>
      </w:pPr>
      <w:r>
        <w:rPr/>
        <w:t>Budget: PHP 24,000.00.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Justification: two staff have already raised discomfort complaints, and the current chairs are past the point where a repair would be worthwhile.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Approved By: _______________________________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P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en-PH</dc:language>
  <cp:lastModifiedBy/>
  <cp:revision>0</cp:revision>
  <dc:subject/>
  <dc:title/>
</cp:coreProperties>
</file>