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Edo SZ" w:hAnsi="Edo SZ" w:cs="Edo SZ" w:eastAsia="Edo SZ"/>
          <w:color w:val="auto"/>
          <w:spacing w:val="0"/>
          <w:position w:val="0"/>
          <w:sz w:val="20"/>
          <w:shd w:fill="auto" w:val="clear"/>
        </w:rPr>
      </w:pPr>
      <w:r>
        <w:object w:dxaOrig="3061" w:dyaOrig="2626">
          <v:rect xmlns:o="urn:schemas-microsoft-com:office:office" xmlns:v="urn:schemas-microsoft-com:vml" id="rectole0000000000" style="width:153.050000pt;height:131.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Tennis Blast</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Kalynda Chase Regional Tennis Centre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47-59 Kalynda Parade, Bohle Plains Townsville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 47554722 M: 0457 041074</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Email: </w:t>
      </w:r>
      <w:hyperlink xmlns:r="http://schemas.openxmlformats.org/officeDocument/2006/relationships" r:id="docRId2">
        <w:r>
          <w:rPr>
            <w:rFonts w:ascii="Calibri" w:hAnsi="Calibri" w:cs="Calibri" w:eastAsia="Calibri"/>
            <w:color w:val="0000FF"/>
            <w:spacing w:val="0"/>
            <w:position w:val="0"/>
            <w:sz w:val="28"/>
            <w:u w:val="single"/>
            <w:shd w:fill="auto" w:val="clear"/>
          </w:rPr>
          <w:t xml:space="preserve">Kalyndachasetennis@outlook.com</w:t>
        </w:r>
      </w:hyperlink>
      <w:r>
        <w:rPr>
          <w:rFonts w:ascii="Calibri" w:hAnsi="Calibri" w:cs="Calibri" w:eastAsia="Calibri"/>
          <w:color w:val="0000FF"/>
          <w:spacing w:val="0"/>
          <w:position w:val="0"/>
          <w:sz w:val="28"/>
          <w:u w:val="single"/>
          <w:shd w:fill="auto" w:val="clear"/>
        </w:rPr>
        <w:t xml:space="preserve"> </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Website: Kalyndachasetennis.com.cu</w:t>
      </w:r>
    </w:p>
    <w:p>
      <w:pPr>
        <w:tabs>
          <w:tab w:val="center" w:pos="4513" w:leader="none"/>
          <w:tab w:val="right" w:pos="9026" w:leader="none"/>
        </w:tabs>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Contact: Head Coach Tim Robinson</w:t>
      </w:r>
    </w:p>
    <w:p>
      <w:pPr>
        <w:spacing w:before="0" w:after="200" w:line="276"/>
        <w:ind w:right="0" w:left="0" w:firstLine="0"/>
        <w:jc w:val="center"/>
        <w:rPr>
          <w:rFonts w:ascii="Edo SZ" w:hAnsi="Edo SZ" w:cs="Edo SZ" w:eastAsia="Edo SZ"/>
          <w:color w:val="auto"/>
          <w:spacing w:val="0"/>
          <w:position w:val="0"/>
          <w:sz w:val="20"/>
          <w:shd w:fill="auto" w:val="clear"/>
        </w:rPr>
      </w:pPr>
    </w:p>
    <w:p>
      <w:pPr>
        <w:spacing w:before="0" w:after="200" w:line="276"/>
        <w:ind w:right="0" w:left="0" w:firstLine="0"/>
        <w:jc w:val="center"/>
        <w:rPr>
          <w:rFonts w:ascii="Edo SZ" w:hAnsi="Edo SZ" w:cs="Edo SZ" w:eastAsia="Edo SZ"/>
          <w:color w:val="auto"/>
          <w:spacing w:val="0"/>
          <w:position w:val="0"/>
          <w:sz w:val="52"/>
          <w:shd w:fill="auto" w:val="clear"/>
        </w:rPr>
      </w:pPr>
      <w:r>
        <w:rPr>
          <w:rFonts w:ascii="Edo SZ" w:hAnsi="Edo SZ" w:cs="Edo SZ" w:eastAsia="Edo SZ"/>
          <w:color w:val="auto"/>
          <w:spacing w:val="0"/>
          <w:position w:val="0"/>
          <w:sz w:val="52"/>
          <w:shd w:fill="auto" w:val="clear"/>
        </w:rPr>
        <w:t xml:space="preserve">Enrolment Package</w:t>
      </w:r>
    </w:p>
    <w:p>
      <w:pPr>
        <w:spacing w:before="0" w:after="200" w:line="276"/>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Welcome! Thank you for choosing Tennis Blast at Kalynda Chase Tennis Centre. You are a valued member of our tennis community, and we look forward to a long and happy association with your family.</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offer a wide range of professional coaching, fixtures, and social tennis programs for players of all standards and ages. In addition, we offer full restringing services and can cater for all your tennis needs. If you have any questions about our programs, please do not hesitate to contact our staff who are more than happy to help. Our business is teaching tennis and providing the highest quality tennis programs that deliver the fundamental skills, rules, and knowledge to have players playing and enjoying the game much sooner.</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pages contain some basic facts and information about our coaching programs, together with an enrolment form and payment authority. Please remember that this information must be updated should your personal and/or financial details change.</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again thank you for choosing us and we look forward to providing you with the best possible tennis experience.</w:t>
      </w:r>
    </w:p>
    <w:p>
      <w:pPr>
        <w:spacing w:before="0" w:after="200" w:line="276"/>
        <w:ind w:right="0" w:left="0" w:firstLine="0"/>
        <w:jc w:val="center"/>
        <w:rPr>
          <w:rFonts w:ascii="Edo SZ" w:hAnsi="Edo SZ" w:cs="Edo SZ" w:eastAsia="Edo SZ"/>
          <w:color w:val="auto"/>
          <w:spacing w:val="0"/>
          <w:position w:val="0"/>
          <w:sz w:val="52"/>
          <w:shd w:fill="auto" w:val="clear"/>
        </w:rPr>
      </w:pPr>
    </w:p>
    <w:p>
      <w:pPr>
        <w:spacing w:before="0" w:after="200" w:line="276"/>
        <w:ind w:right="0" w:left="0" w:firstLine="0"/>
        <w:jc w:val="center"/>
        <w:rPr>
          <w:rFonts w:ascii="Edo SZ" w:hAnsi="Edo SZ" w:cs="Edo SZ" w:eastAsia="Edo SZ"/>
          <w:color w:val="auto"/>
          <w:spacing w:val="0"/>
          <w:position w:val="0"/>
          <w:sz w:val="22"/>
          <w:shd w:fill="auto" w:val="clear"/>
        </w:rPr>
      </w:pPr>
    </w:p>
    <w:p>
      <w:pPr>
        <w:spacing w:before="0" w:after="200" w:line="276"/>
        <w:ind w:right="0" w:left="0" w:firstLine="0"/>
        <w:jc w:val="center"/>
        <w:rPr>
          <w:rFonts w:ascii="Edo SZ" w:hAnsi="Edo SZ" w:cs="Edo SZ" w:eastAsia="Edo SZ"/>
          <w:color w:val="auto"/>
          <w:spacing w:val="0"/>
          <w:position w:val="0"/>
          <w:sz w:val="22"/>
          <w:shd w:fill="auto" w:val="clear"/>
        </w:rPr>
      </w:pPr>
    </w:p>
    <w:p>
      <w:pPr>
        <w:spacing w:before="0" w:after="200" w:line="276"/>
        <w:ind w:right="0" w:left="0" w:firstLine="0"/>
        <w:jc w:val="center"/>
        <w:rPr>
          <w:rFonts w:ascii="Edo SZ" w:hAnsi="Edo SZ" w:cs="Edo SZ" w:eastAsia="Edo SZ"/>
          <w:color w:val="auto"/>
          <w:spacing w:val="0"/>
          <w:position w:val="0"/>
          <w:sz w:val="22"/>
          <w:shd w:fill="auto" w:val="clear"/>
        </w:rPr>
      </w:pPr>
    </w:p>
    <w:p>
      <w:pPr>
        <w:spacing w:before="0" w:after="200" w:line="276"/>
        <w:ind w:right="0" w:left="0" w:firstLine="0"/>
        <w:jc w:val="center"/>
        <w:rPr>
          <w:rFonts w:ascii="Edo SZ" w:hAnsi="Edo SZ" w:cs="Edo SZ" w:eastAsia="Edo SZ"/>
          <w:color w:val="auto"/>
          <w:spacing w:val="0"/>
          <w:position w:val="0"/>
          <w:sz w:val="22"/>
          <w:shd w:fill="auto" w:val="clear"/>
        </w:rPr>
      </w:pPr>
    </w:p>
    <w:p>
      <w:pPr>
        <w:spacing w:before="0" w:after="200" w:line="276"/>
        <w:ind w:right="0" w:left="0" w:firstLine="0"/>
        <w:jc w:val="center"/>
        <w:rPr>
          <w:rFonts w:ascii="Edo SZ" w:hAnsi="Edo SZ" w:cs="Edo SZ" w:eastAsia="Edo SZ"/>
          <w:color w:val="auto"/>
          <w:spacing w:val="0"/>
          <w:position w:val="0"/>
          <w:sz w:val="22"/>
          <w:shd w:fill="auto" w:val="clear"/>
        </w:rPr>
      </w:pPr>
    </w:p>
    <w:p>
      <w:pPr>
        <w:spacing w:before="0" w:after="200" w:line="276"/>
        <w:ind w:right="0" w:left="0" w:firstLine="0"/>
        <w:jc w:val="center"/>
        <w:rPr>
          <w:rFonts w:ascii="Edo SZ" w:hAnsi="Edo SZ" w:cs="Edo SZ" w:eastAsia="Edo SZ"/>
          <w:color w:val="auto"/>
          <w:spacing w:val="0"/>
          <w:position w:val="0"/>
          <w:sz w:val="52"/>
          <w:shd w:fill="auto" w:val="clear"/>
        </w:rPr>
      </w:pPr>
      <w:r>
        <w:rPr>
          <w:rFonts w:ascii="Edo SZ" w:hAnsi="Edo SZ" w:cs="Edo SZ" w:eastAsia="Edo SZ"/>
          <w:color w:val="auto"/>
          <w:spacing w:val="0"/>
          <w:position w:val="0"/>
          <w:sz w:val="52"/>
          <w:shd w:fill="auto" w:val="clear"/>
        </w:rPr>
        <w:t xml:space="preserve">Coaching Program Fact Sheet</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provide a wide range of coaching programs for both adults and children. Our coaches are fully qualified professionals who are continually up skilled and trained by our head coach Tim Robinson. Our coaches are also required to attend regular professional development seminars. </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should I bring?</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hat, comfortable shoes, water bottle and racquet. Racquets can be provided if needed.</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How are groups determined?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After initial enrolment into a class suitable for their age group and skill level, students will be assessed by their coach. After assessment the students may be moved to a group that is more appropriate. Within each stage of development for each age group (Launch Pad or Blue, Red, Orange, Green, Yellow) there are three levels. Classes are guided by age however they are determined by competencies.</w:t>
      </w:r>
    </w:p>
    <w:tbl>
      <w:tblPr/>
      <w:tblGrid>
        <w:gridCol w:w="1566"/>
        <w:gridCol w:w="1406"/>
        <w:gridCol w:w="1559"/>
      </w:tblGrid>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Lesson length</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/class</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Hot Shots blue ball (Launch Pad)</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30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4</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Hotshots</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45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Yellow ball</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60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Performance Squads</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90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8</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Adult Drills and Skills </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60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Cardio tennis</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60 minutes</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8</w:t>
            </w:r>
          </w:p>
        </w:tc>
      </w:tr>
      <w:tr>
        <w:trPr>
          <w:trHeight w:val="1" w:hRule="atLeast"/>
          <w:jc w:val="left"/>
        </w:trPr>
        <w:tc>
          <w:tcPr>
            <w:tcW w:w="156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Private lesson</w:t>
            </w:r>
          </w:p>
        </w:tc>
        <w:tc>
          <w:tcPr>
            <w:tcW w:w="14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w:t>
            </w:r>
          </w:p>
        </w:tc>
      </w:tr>
    </w:tbl>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Class size</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sizes vary depending on the stage and program. It is very important to have a similar skill level across players within a group. Class Ratios are listed below.</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 length</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coaching program runs in conjunction with state school terms. We do not coach on public holidays or state school holidays. We do offer holiday programs during the state school holiday periods. We do coach on student free days, but not at schools. Your enrolment and payment authority remains in place until you notify us of your intention to cease.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Hotshots vs Gameplay</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 shots coaching refers to the coaching program endorsed by Tennis Australia. It is a system of coaching and grading based on using modified equipment and coloured balls, red, orange, and green.</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Gameplay is the name given to the fixtures program where players are graded based on their ball colour and play against other players in a supervised environment. Game play is not a lesson but an ideal way to practice skills learned within the Hotshots coaching program.</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Hotshots gameplay is a coach supervised activity that allows students to practice what they have learned in their lesson. This program is highly recommended to accelerate skill acquisition and development. </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Hotshots Challenge Days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Hotshots challenge is typically run on a weekend. Players entered are placed into a tournament format draw to give them experience within tournament conditions. Such days are typically run twice in a school term and each event can go from 1hr and 30 minutes, up to 4hrs depending on the event and number of entrants.</w:t>
      </w:r>
    </w:p>
    <w:p>
      <w:pPr>
        <w:spacing w:before="0" w:after="0" w:line="240"/>
        <w:ind w:right="0" w:left="0" w:firstLine="0"/>
        <w:jc w:val="center"/>
        <w:rPr>
          <w:rFonts w:ascii="Edo SZ" w:hAnsi="Edo SZ" w:cs="Edo SZ" w:eastAsia="Edo SZ"/>
          <w:color w:val="auto"/>
          <w:spacing w:val="0"/>
          <w:position w:val="0"/>
          <w:sz w:val="52"/>
          <w:shd w:fill="auto" w:val="clear"/>
        </w:rPr>
      </w:pPr>
    </w:p>
    <w:p>
      <w:pPr>
        <w:spacing w:before="0" w:after="0" w:line="240"/>
        <w:ind w:right="0" w:left="0" w:firstLine="0"/>
        <w:jc w:val="center"/>
        <w:rPr>
          <w:rFonts w:ascii="Edo SZ" w:hAnsi="Edo SZ" w:cs="Edo SZ" w:eastAsia="Edo SZ"/>
          <w:color w:val="auto"/>
          <w:spacing w:val="0"/>
          <w:position w:val="0"/>
          <w:sz w:val="20"/>
          <w:shd w:fill="auto" w:val="clear"/>
        </w:rPr>
      </w:pPr>
    </w:p>
    <w:p>
      <w:pPr>
        <w:spacing w:before="0" w:after="0" w:line="240"/>
        <w:ind w:right="0" w:left="0" w:firstLine="0"/>
        <w:jc w:val="center"/>
        <w:rPr>
          <w:rFonts w:ascii="Edo SZ" w:hAnsi="Edo SZ" w:cs="Edo SZ" w:eastAsia="Edo SZ"/>
          <w:color w:val="auto"/>
          <w:spacing w:val="0"/>
          <w:position w:val="0"/>
          <w:sz w:val="52"/>
          <w:shd w:fill="auto" w:val="clear"/>
        </w:rPr>
      </w:pPr>
      <w:r>
        <w:rPr>
          <w:rFonts w:ascii="Edo SZ" w:hAnsi="Edo SZ" w:cs="Edo SZ" w:eastAsia="Edo SZ"/>
          <w:color w:val="auto"/>
          <w:spacing w:val="0"/>
          <w:position w:val="0"/>
          <w:sz w:val="52"/>
          <w:shd w:fill="auto" w:val="clear"/>
        </w:rPr>
        <w:t xml:space="preserve">Frequently asked questions</w:t>
      </w:r>
    </w:p>
    <w:p>
      <w:pPr>
        <w:spacing w:before="0" w:after="0" w:line="240"/>
        <w:ind w:right="0" w:left="0" w:firstLine="0"/>
        <w:jc w:val="center"/>
        <w:rPr>
          <w:rFonts w:ascii="Edo SZ" w:hAnsi="Edo SZ" w:cs="Edo SZ" w:eastAsia="Edo SZ"/>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happens if it rains? Who do I call? When is the make-up for the wet weather lesson?</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contact you via text message if the sessions are to be cancelled due to the weather. Catch up classes are organised throughout the term to make up for days missed due to wet weather.</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call our centre immediately prior to the lesson scheduled commencement time.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Wet weather make-up lessons are scheduled on the first Saturday of every State School holiday break. To book into the class, simply call and list your child’s name into the appropriate class. Booking for these classes is essential. Alternatively, you can make the session up in an appropriate class during the term.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make-up sessions available for sickness or casual absences?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Due to our strict class size requirements, we only allow one make-up lesson per term for sickness or casual absences. It is essential that you book in to attend these classes. It is also essential to notify the tennis centre of your absence should you wish to make-up a lesson.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Can parents watch?</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parents are encouraged to watch and listen in, however we do ask that parents do not enter the courts unless requested by the coach.</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students assessed?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students are assessed by an outcomes-based criteria. The hot shots pathway provides a guide for the age groups in which students should progress, however each student must be competent within each objective of their stage of development. Progressing a player too early can hinder their development at the next given stage. You can request to see their given objectives at any stage.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How do I organize payment?</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Payments can be made using our direct debit set up on a fortnightly basis. Term payments are due in week 1 of the term. Direct debit clients can give two weeks written notice and payments are stopped. Therefore, you are only locked into a class for two weeks at a time. Invoices are still issued for your records and payments also stop when the invoice has been paid in full. Casual payments can be made weekly; however, the rate is much higher, and places are not guaranteed in classes. </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Is there a club joining fee?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we require all regular coaching, gameplay, fixture players and cardio players to join our club. Prices are listed on page 5. Membership covers your insurance and affiliation with Tennis Queensland plus other benefits. More details are available below. There are gold and platinum memberships available.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When should I start coaching?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programs are designed to allow students to learn from any point within the program. Through the Hot Shots coaching program students will learn the fundamental skills, rules and techniques required to play a real game of tennis from the age of 3 and up. Players can commence playing from the age of 3 and up. We hold a special 30 minute class with a ratio of 1 coach to 4 players for students aged from 3 to 5 years.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How are fees charged?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offer a convenient payment that provides payment of tennis tuition fees fortnightly, weekly or monthly from your nominated credit card or bank account. You can start your lessons at any time throughout the year or finish at any time; our only requirement is that you provide </w:t>
      </w:r>
      <w:r>
        <w:rPr>
          <w:rFonts w:ascii="Calibri" w:hAnsi="Calibri" w:cs="Calibri" w:eastAsia="Calibri"/>
          <w:color w:val="auto"/>
          <w:spacing w:val="0"/>
          <w:position w:val="0"/>
          <w:sz w:val="22"/>
          <w:u w:val="single"/>
          <w:shd w:fill="auto" w:val="clear"/>
        </w:rPr>
        <w:t xml:space="preserve">14 days written notice</w:t>
      </w:r>
      <w:r>
        <w:rPr>
          <w:rFonts w:ascii="Calibri" w:hAnsi="Calibri" w:cs="Calibri" w:eastAsia="Calibri"/>
          <w:color w:val="auto"/>
          <w:spacing w:val="0"/>
          <w:position w:val="0"/>
          <w:sz w:val="22"/>
          <w:shd w:fill="auto" w:val="clear"/>
        </w:rPr>
        <w:t xml:space="preserve"> of your intention to do so. You still have the option to pay a term account; this must be paid prior to the first lesson.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there any transaction fees?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an initial fee to set up a new direct debit account for each of our clients; our business will cover this setup fee. There is also an ongoing transaction fee of $0.99 payable for each transaction made by the customer. Please read the DDR agreement carefully some credit card will incur a higher transaction fee.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there discounts for large families?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 offer family discounts with families who have more than 3 children participating in our program. Families of 3 receive a 10% discount. Four or more players participating only pay 50% of the lesson fee. There are also discounts available for players doing multiple sessions weekly.</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about public holidays?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 not run tennis coaching on public holidays. If you are enrolled in a class that falls on a public holiday, you will not be charged for that lesson.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Who is Ezidebit?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Ezidebit was established in 1998. They are the leading direct debit billing company in Australia. Ezidebit provide various direct debit options for your convenience, allowing you to pay for your coaching tuition fees via direct debit. Kalynda Chase Tennis will be utilising the services of Ezidebit for all coaching fees.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All other enquiries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call our friendly staff on 47 554 722 for all other enquiries or email the Manager at </w:t>
      </w: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Kalyndchasetennis@outlook.com</w:t>
        </w:r>
      </w:hyperlink>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enjoy our products and services, please tell your friends and family, if there is something we can do to improve our service please tell us at Kalynda Chase Regional Tennis Centre.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Edo SZ" w:hAnsi="Edo SZ" w:cs="Edo SZ" w:eastAsia="Edo SZ"/>
          <w:color w:val="auto"/>
          <w:spacing w:val="0"/>
          <w:position w:val="0"/>
          <w:sz w:val="18"/>
          <w:shd w:fill="auto" w:val="clear"/>
        </w:rPr>
      </w:pPr>
    </w:p>
    <w:p>
      <w:pPr>
        <w:spacing w:before="0" w:after="0" w:line="240"/>
        <w:ind w:right="0" w:left="0" w:firstLine="0"/>
        <w:jc w:val="center"/>
        <w:rPr>
          <w:rFonts w:ascii="Edo SZ" w:hAnsi="Edo SZ" w:cs="Edo SZ" w:eastAsia="Edo SZ"/>
          <w:color w:val="auto"/>
          <w:spacing w:val="0"/>
          <w:position w:val="0"/>
          <w:sz w:val="52"/>
          <w:shd w:fill="auto" w:val="clear"/>
        </w:rPr>
      </w:pPr>
      <w:r>
        <w:rPr>
          <w:rFonts w:ascii="Edo SZ" w:hAnsi="Edo SZ" w:cs="Edo SZ" w:eastAsia="Edo SZ"/>
          <w:color w:val="auto"/>
          <w:spacing w:val="0"/>
          <w:position w:val="0"/>
          <w:sz w:val="52"/>
          <w:shd w:fill="auto" w:val="clear"/>
        </w:rPr>
        <w:t xml:space="preserve">MEMBERSHIP FACT SHEET</w:t>
      </w:r>
    </w:p>
    <w:p>
      <w:pPr>
        <w:spacing w:before="0" w:after="0" w:line="240"/>
        <w:ind w:right="0" w:left="0" w:firstLine="0"/>
        <w:jc w:val="center"/>
        <w:rPr>
          <w:rFonts w:ascii="Edo SZ" w:hAnsi="Edo SZ" w:cs="Edo SZ" w:eastAsia="Edo SZ"/>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is Hot Shots membership?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compulsory that all regular players and students at our centre become a member of our club. Becoming a member of the club entitles you to a range of exclusive offers and benefits including automatic membership with Tennis Queensland.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most important benefit however is insurance. All players must have accident and injury cover if they wish to be enrolled in our coaching, fixtures, gameplay, social and tournament program. Club membership provides automatic insurance cover.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are the benefits?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well as accident and injury insurance cover, membership with Tennis Queensland gives access to tournaments played throughout the country, discounts and benefits such as priority tickets to Brisbane Tennis and the Australian Open and other events as advertised from time to time. Discounted court hire is also available for Hotshots and VIP members.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How much is membership?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Club Memberships start from just $10 per annum, memberships are per calendar year. We offer Social, Hot Shots, VIP, GOLD and PLATINUM memberships. Gold and Platinum memberships are available by direct debit for as little as $5 per week for singles or $9 per week for families (2 adults and 2 children).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Why do I have to pay this?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centre is affiliated with Tennis Queensland. Tennis Queensland is the governing body of our sport, and they charge a fee to their affiliates for membership to cover their costs in providing insurance cover, support and administration of our state tennis programs. This is a cost that is passed onto affiliated clubs such as ours and then shared equally across our players.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How do I claim on the insurance policy?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member of our club, you are covered for accident and injuries sustained while you are involved in tennis related activities. For more information about our policy and inclusions please see</w:t>
      </w:r>
    </w:p>
    <w:p>
      <w:pPr>
        <w:tabs>
          <w:tab w:val="left" w:pos="3210" w:leader="none"/>
        </w:tabs>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4">
        <w:r>
          <w:rPr>
            <w:rFonts w:ascii="Calibri" w:hAnsi="Calibri" w:cs="Calibri" w:eastAsia="Calibri"/>
            <w:color w:val="0000FF"/>
            <w:spacing w:val="0"/>
            <w:position w:val="0"/>
            <w:sz w:val="20"/>
            <w:u w:val="single"/>
            <w:shd w:fill="auto" w:val="clear"/>
          </w:rPr>
          <w:t xml:space="preserve">http://australia.marsh.com/Programs/Tennis/Home</w:t>
        </w:r>
      </w:hyperlink>
    </w:p>
    <w:p>
      <w:pPr>
        <w:tabs>
          <w:tab w:val="left" w:pos="3210" w:leader="none"/>
        </w:tabs>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more information regarding member benefits with Tennis Queensland please see</w:t>
      </w:r>
    </w:p>
    <w:p>
      <w:pPr>
        <w:tabs>
          <w:tab w:val="left" w:pos="3210" w:leader="none"/>
        </w:tabs>
        <w:spacing w:before="0" w:after="200" w:line="276"/>
        <w:ind w:right="0" w:left="0" w:firstLine="0"/>
        <w:jc w:val="left"/>
        <w:rPr>
          <w:rFonts w:ascii="Calibri" w:hAnsi="Calibri" w:cs="Calibri" w:eastAsia="Calibri"/>
          <w:color w:val="0000FF"/>
          <w:spacing w:val="0"/>
          <w:position w:val="0"/>
          <w:sz w:val="20"/>
          <w:u w:val="single"/>
          <w:shd w:fill="auto" w:val="clear"/>
        </w:rPr>
      </w:pPr>
      <w:hyperlink xmlns:r="http://schemas.openxmlformats.org/officeDocument/2006/relationships" r:id="docRId5">
        <w:r>
          <w:rPr>
            <w:rFonts w:ascii="Calibri" w:hAnsi="Calibri" w:cs="Calibri" w:eastAsia="Calibri"/>
            <w:color w:val="0000FF"/>
            <w:spacing w:val="0"/>
            <w:position w:val="0"/>
            <w:sz w:val="20"/>
            <w:u w:val="single"/>
            <w:shd w:fill="auto" w:val="clear"/>
          </w:rPr>
          <w:t xml:space="preserve">http://www.tennis.com.au/qld/clubs/membership/member-benefits</w:t>
        </w:r>
      </w:hyperlink>
    </w:p>
    <w:p>
      <w:pPr>
        <w:tabs>
          <w:tab w:val="left" w:pos="3210" w:leader="none"/>
        </w:tabs>
        <w:spacing w:before="0" w:after="200" w:line="276"/>
        <w:ind w:right="0" w:left="0" w:firstLine="0"/>
        <w:jc w:val="center"/>
        <w:rPr>
          <w:rFonts w:ascii="Edo SZ" w:hAnsi="Edo SZ" w:cs="Edo SZ" w:eastAsia="Edo SZ"/>
          <w:color w:val="auto"/>
          <w:spacing w:val="0"/>
          <w:position w:val="0"/>
          <w:sz w:val="52"/>
          <w:u w:val="single"/>
          <w:shd w:fill="auto" w:val="clear"/>
        </w:rPr>
      </w:pPr>
      <w:r>
        <w:rPr>
          <w:rFonts w:ascii="Edo SZ" w:hAnsi="Edo SZ" w:cs="Edo SZ" w:eastAsia="Edo SZ"/>
          <w:color w:val="auto"/>
          <w:spacing w:val="0"/>
          <w:position w:val="0"/>
          <w:sz w:val="52"/>
          <w:u w:val="single"/>
          <w:shd w:fill="auto" w:val="clear"/>
        </w:rPr>
        <w:t xml:space="preserve">2024 Fee Structure</w:t>
      </w:r>
    </w:p>
    <w:tbl>
      <w:tblPr/>
      <w:tblGrid>
        <w:gridCol w:w="3119"/>
        <w:gridCol w:w="2977"/>
        <w:gridCol w:w="3118"/>
      </w:tblGrid>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Program</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Casual Fee per week</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Term payments broken down weekly or fortnightly direct debit</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Hot Shots 30 minutes</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$25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$18.50 pw </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Hot Shots 45 minutes </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$25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$18.50 pw</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Hot shots 1hr</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$22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$18.50 pw</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Performance Squads 1 ½ Hrs</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$30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$27.50 pw</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Cardio Tennis 1 hr</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$20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$15 pw</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Adult FAST 4/Fixtures</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365F91"/>
                <w:spacing w:val="0"/>
                <w:position w:val="0"/>
                <w:sz w:val="20"/>
                <w:shd w:fill="auto" w:val="clear"/>
              </w:rPr>
            </w:pPr>
            <w:r>
              <w:rPr>
                <w:rFonts w:ascii="Calibri" w:hAnsi="Calibri" w:cs="Calibri" w:eastAsia="Calibri"/>
                <w:color w:val="365F91"/>
                <w:spacing w:val="0"/>
                <w:position w:val="0"/>
                <w:sz w:val="20"/>
                <w:shd w:fill="auto" w:val="clear"/>
              </w:rPr>
              <w:t xml:space="preserve">$15 pw</w:t>
            </w:r>
          </w:p>
          <w:p>
            <w:pPr>
              <w:tabs>
                <w:tab w:val="left" w:pos="3210" w:leader="none"/>
              </w:tabs>
              <w:spacing w:before="0" w:after="0" w:line="240"/>
              <w:ind w:right="0" w:left="0" w:firstLine="0"/>
              <w:jc w:val="left"/>
              <w:rPr>
                <w:rFonts w:ascii="Calibri" w:hAnsi="Calibri" w:cs="Calibri" w:eastAsia="Calibri"/>
                <w:spacing w:val="0"/>
                <w:position w:val="0"/>
                <w:shd w:fill="auto" w:val="clear"/>
              </w:rPr>
            </w:pP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365F91"/>
                <w:spacing w:val="0"/>
                <w:position w:val="0"/>
                <w:sz w:val="20"/>
                <w:shd w:fill="auto" w:val="clear"/>
              </w:rPr>
            </w:pPr>
            <w:r>
              <w:rPr>
                <w:rFonts w:ascii="Calibri" w:hAnsi="Calibri" w:cs="Calibri" w:eastAsia="Calibri"/>
                <w:color w:val="365F91"/>
                <w:spacing w:val="0"/>
                <w:position w:val="0"/>
                <w:sz w:val="20"/>
                <w:shd w:fill="auto" w:val="clear"/>
              </w:rPr>
              <w:t xml:space="preserve">N/A</w:t>
            </w:r>
          </w:p>
          <w:p>
            <w:pPr>
              <w:tabs>
                <w:tab w:val="left" w:pos="3210" w:leader="none"/>
              </w:tabs>
              <w:spacing w:before="0" w:after="0" w:line="240"/>
              <w:ind w:right="0" w:left="0" w:firstLine="0"/>
              <w:jc w:val="left"/>
              <w:rPr>
                <w:rFonts w:ascii="Calibri" w:hAnsi="Calibri" w:cs="Calibri" w:eastAsia="Calibri"/>
                <w:spacing w:val="0"/>
                <w:position w:val="0"/>
                <w:shd w:fill="auto" w:val="clear"/>
              </w:rPr>
            </w:pP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Gameplay</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$18 pw</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$14.50 pw</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½ hr Private</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$45-50</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$35-$47.50 per session</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¾ hr Private</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$57.50-$71.25</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$52.50-$71.25 per session </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1hr Private</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$75-95</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$75-95 per session </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Pickleball</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$10/week</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Drills and Skills</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$20</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$15</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Performance Package</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10-15% discount with an upgrade </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Gold </w:t>
            </w:r>
            <w:r>
              <w:rPr>
                <w:rFonts w:ascii="Calibri" w:hAnsi="Calibri" w:cs="Calibri" w:eastAsia="Calibri"/>
                <w:color w:val="365F91"/>
                <w:spacing w:val="0"/>
                <w:position w:val="0"/>
                <w:sz w:val="20"/>
                <w:shd w:fill="auto" w:val="clear"/>
              </w:rPr>
              <w:t xml:space="preserve">–</w:t>
            </w:r>
            <w:r>
              <w:rPr>
                <w:rFonts w:ascii="Calibri" w:hAnsi="Calibri" w:cs="Calibri" w:eastAsia="Calibri"/>
                <w:color w:val="365F91"/>
                <w:spacing w:val="0"/>
                <w:position w:val="0"/>
                <w:sz w:val="20"/>
                <w:shd w:fill="auto" w:val="clear"/>
              </w:rPr>
              <w:t xml:space="preserve"> Platinum membership</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Social Tennis</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$15</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r>
      <w:tr>
        <w:trPr>
          <w:trHeight w:val="1" w:hRule="atLeast"/>
          <w:jc w:val="left"/>
        </w:trPr>
        <w:tc>
          <w:tcPr>
            <w:tcW w:w="3119"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School lessons </w:t>
            </w:r>
          </w:p>
        </w:tc>
        <w:tc>
          <w:tcPr>
            <w:tcW w:w="297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$15</w:t>
            </w:r>
          </w:p>
        </w:tc>
        <w:tc>
          <w:tcPr>
            <w:tcW w:w="3118"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$13.50</w:t>
            </w:r>
          </w:p>
        </w:tc>
      </w:tr>
    </w:tbl>
    <w:p>
      <w:pPr>
        <w:tabs>
          <w:tab w:val="left" w:pos="3210" w:leader="none"/>
        </w:tabs>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Private lesson fees are also determined by the coach taking the session. </w:t>
      </w:r>
    </w:p>
    <w:tbl>
      <w:tblPr/>
      <w:tblGrid>
        <w:gridCol w:w="2380"/>
        <w:gridCol w:w="2230"/>
        <w:gridCol w:w="1627"/>
        <w:gridCol w:w="2811"/>
        <w:gridCol w:w="270"/>
      </w:tblGrid>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Membership</w:t>
            </w: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Fortnightly</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Annually </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Family</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color w:val="365F91"/>
                <w:spacing w:val="0"/>
                <w:position w:val="0"/>
                <w:sz w:val="20"/>
                <w:shd w:fill="auto" w:val="clear"/>
              </w:rPr>
            </w:pPr>
            <w:r>
              <w:rPr>
                <w:rFonts w:ascii="Calibri" w:hAnsi="Calibri" w:cs="Calibri" w:eastAsia="Calibri"/>
                <w:color w:val="365F91"/>
                <w:spacing w:val="0"/>
                <w:position w:val="0"/>
                <w:sz w:val="20"/>
                <w:shd w:fill="auto" w:val="clear"/>
              </w:rPr>
              <w:t xml:space="preserve">Social</w:t>
            </w:r>
          </w:p>
          <w:p>
            <w:pPr>
              <w:tabs>
                <w:tab w:val="left" w:pos="2010" w:leader="none"/>
              </w:tabs>
              <w:spacing w:before="0" w:after="0" w:line="240"/>
              <w:ind w:right="0" w:left="0" w:firstLine="0"/>
              <w:jc w:val="left"/>
              <w:rPr>
                <w:rFonts w:ascii="Calibri" w:hAnsi="Calibri" w:cs="Calibri" w:eastAsia="Calibri"/>
                <w:spacing w:val="0"/>
                <w:position w:val="0"/>
                <w:shd w:fill="auto" w:val="clear"/>
              </w:rPr>
            </w:pP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$10</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Hot Shots</w:t>
            </w: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$45</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VIP </w:t>
            </w: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N/A</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$60</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$119 (2 adults &amp; 2 children)</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Gold</w:t>
            </w: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$10 direct debit</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$199</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$399 or $18 per fortnight</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38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Platinum</w:t>
            </w:r>
          </w:p>
        </w:tc>
        <w:tc>
          <w:tcPr>
            <w:tcW w:w="223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$14 direct debit</w:t>
            </w:r>
          </w:p>
        </w:tc>
        <w:tc>
          <w:tcPr>
            <w:tcW w:w="1627"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$299</w:t>
            </w:r>
          </w:p>
        </w:tc>
        <w:tc>
          <w:tcPr>
            <w:tcW w:w="2811"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$599 or $25 per fortnight</w:t>
            </w:r>
          </w:p>
        </w:tc>
        <w:tc>
          <w:tcPr>
            <w:tcW w:w="270"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bl>
    <w:p>
      <w:pPr>
        <w:tabs>
          <w:tab w:val="left" w:pos="3210" w:leader="none"/>
        </w:tabs>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(Families with more than 2 children can still become VIP, Gold or Platinum members.  A payment of $30 per extra member is required for insurance and accident cover.)</w:t>
      </w:r>
    </w:p>
    <w:tbl>
      <w:tblPr/>
      <w:tblGrid>
        <w:gridCol w:w="3035"/>
        <w:gridCol w:w="2995"/>
        <w:gridCol w:w="2996"/>
      </w:tblGrid>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72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Court Hire (1hr Minimum)</w:t>
            </w: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Day time Per Hour</w:t>
            </w: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Night Time Per Hour</w:t>
            </w: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20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Non members</w:t>
            </w: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$14</w:t>
            </w: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$22</w:t>
            </w: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VIP Members</w:t>
            </w: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$10</w:t>
            </w: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$18</w:t>
            </w: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Gold</w:t>
            </w: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Free</w:t>
            </w: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$15</w:t>
            </w: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303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Platinum</w:t>
            </w:r>
          </w:p>
        </w:tc>
        <w:tc>
          <w:tcPr>
            <w:tcW w:w="2995"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Free</w:t>
            </w:r>
          </w:p>
        </w:tc>
        <w:tc>
          <w:tcPr>
            <w:tcW w:w="2996"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tabs>
                <w:tab w:val="left" w:pos="3210" w:leader="none"/>
              </w:tabs>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65F91"/>
                <w:spacing w:val="0"/>
                <w:position w:val="0"/>
                <w:sz w:val="20"/>
                <w:shd w:fill="auto" w:val="clear"/>
              </w:rPr>
              <w:t xml:space="preserve">$8</w:t>
            </w:r>
          </w:p>
        </w:tc>
      </w:tr>
    </w:tbl>
    <w:p>
      <w:pPr>
        <w:tabs>
          <w:tab w:val="left" w:pos="3210" w:leader="none"/>
        </w:tabs>
        <w:spacing w:before="0" w:after="200" w:line="276"/>
        <w:ind w:right="0" w:left="0" w:firstLine="0"/>
        <w:jc w:val="center"/>
        <w:rPr>
          <w:rFonts w:ascii="Edo SZ" w:hAnsi="Edo SZ" w:cs="Edo SZ" w:eastAsia="Edo SZ"/>
          <w:color w:val="auto"/>
          <w:spacing w:val="0"/>
          <w:position w:val="0"/>
          <w:sz w:val="52"/>
          <w:shd w:fill="auto" w:val="clear"/>
        </w:rPr>
      </w:pPr>
      <w:r>
        <w:rPr>
          <w:rFonts w:ascii="Edo SZ" w:hAnsi="Edo SZ" w:cs="Edo SZ" w:eastAsia="Edo SZ"/>
          <w:color w:val="auto"/>
          <w:spacing w:val="0"/>
          <w:position w:val="0"/>
          <w:sz w:val="52"/>
          <w:shd w:fill="auto" w:val="clear"/>
        </w:rPr>
        <w:t xml:space="preserve">Membership &amp; Coaching Enrolment Form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require all players to formally register in our coaching program by providing your contact details and payment instructions for your tuition fees.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Tuition fees are charged fortnightly by direct debit, and it is necessary to complete this form once as it remains current until it is cancelled</w:t>
      </w:r>
      <w:r>
        <w:rPr>
          <w:rFonts w:ascii="Calibri" w:hAnsi="Calibri" w:cs="Calibri" w:eastAsia="Calibri"/>
          <w:b/>
          <w:color w:val="auto"/>
          <w:spacing w:val="0"/>
          <w:position w:val="0"/>
          <w:sz w:val="22"/>
          <w:shd w:fill="auto" w:val="clear"/>
        </w:rPr>
        <w:t xml:space="preserve">. Please note that should your contact details or payment instructions change you will be required to fill out a new form. Electronic transfer details are provided on invoices emailed out each term or upon request. Customer statements are also available upon request.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tabs>
          <w:tab w:val="left" w:pos="3210" w:leader="none"/>
        </w:tabs>
        <w:spacing w:before="0" w:after="200" w:line="276"/>
        <w:ind w:right="0" w:left="0" w:firstLine="0"/>
        <w:jc w:val="left"/>
        <w:rPr>
          <w:rFonts w:ascii="Calibri" w:hAnsi="Calibri" w:cs="Calibri" w:eastAsia="Calibri"/>
          <w:b/>
          <w:color w:val="auto"/>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mailto:Kalyndchasetennis@outlook.com" Id="docRId3" Type="http://schemas.openxmlformats.org/officeDocument/2006/relationships/hyperlink" /><Relationship TargetMode="External" Target="http://www.tennis.com.au/qld/clubs/membership/member-benefits" Id="docRId5" Type="http://schemas.openxmlformats.org/officeDocument/2006/relationships/hyperlink" /><Relationship Target="styles.xml" Id="docRId7" Type="http://schemas.openxmlformats.org/officeDocument/2006/relationships/styles" /><Relationship Target="embeddings/oleObject0.bin" Id="docRId0" Type="http://schemas.openxmlformats.org/officeDocument/2006/relationships/oleObject" /><Relationship TargetMode="External" Target="mailto:Kalyndachasetennis@outlook.com" Id="docRId2" Type="http://schemas.openxmlformats.org/officeDocument/2006/relationships/hyperlink" /><Relationship TargetMode="External" Target="http://australia.marsh.com/Programs/Tennis/Home" Id="docRId4" Type="http://schemas.openxmlformats.org/officeDocument/2006/relationships/hyperlink" /><Relationship Target="numbering.xml" Id="docRId6" Type="http://schemas.openxmlformats.org/officeDocument/2006/relationships/numbering" /></Relationships>
</file>