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left"/>
        <w:widowControl w:val="1"/>
      </w:pPr>
      <w:r>
        <w:rPr>
          <w:rFonts w:ascii="Noto Sans CJK KR" w:hAnsi="Noto Sans CJK KR" w:eastAsia="Noto Sans CJK KR"/>
          <w:b/>
          <w:color w:val="17365D"/>
          <w:sz w:val="50"/>
          <w:lang w:eastAsia="ko-KR"/>
        </w:rPr>
        <w:t>WEHAGO 원천세 신고 업무용</w:t>
        <w:br/>
        <w:t>로컬 RPA 프로그램</w:t>
      </w:r>
    </w:p>
    <w:p>
      <w:pPr>
        <w:spacing w:before="200" w:after="440"/>
        <w:widowControl w:val="1"/>
      </w:pPr>
      <w:r>
        <w:rPr>
          <w:rFonts w:ascii="Noto Sans CJK KR" w:hAnsi="Noto Sans CJK KR" w:eastAsia="Noto Sans CJK KR"/>
          <w:b/>
          <w:color w:val="2F75B5"/>
          <w:sz w:val="30"/>
          <w:lang w:eastAsia="ko-KR"/>
        </w:rPr>
        <w:t>이용약관·유사 판례·출시 리스크 종합 검토보고서</w:t>
      </w:r>
    </w:p>
    <w:tbl>
      <w:tblPr>
        <w:tblW w:type="auto" w:w="0"/>
        <w:jc w:val="left"/>
        <w:tblLook w:firstColumn="1" w:firstRow="1" w:lastColumn="0" w:lastRow="0" w:noHBand="0" w:noVBand="1" w:val="04A0"/>
        <w:tblLayout w:type="fixed"/>
      </w:tblPr>
      <w:tblGrid>
        <w:gridCol w:w="4929"/>
        <w:gridCol w:w="4929"/>
      </w:tblGrid>
      <w:tr>
        <w:tc>
          <w:tcPr>
            <w:tcW w:type="dxa" w:w="397"/>
            <w:shd w:fill="2F75B5"/>
            <w:tcMar>
              <w:top w:w="300" w:type="dxa"/>
              <w:start w:w="260" w:type="dxa"/>
              <w:bottom w:w="300" w:type="dxa"/>
              <w:end w:w="260" w:type="dxa"/>
            </w:tcMar>
            <w:tcBorders>
              <w:top w:val="nil"/>
              <w:left w:val="nil"/>
              <w:bottom w:val="nil"/>
              <w:right w:val="nil"/>
            </w:tcBorders>
          </w:tcPr>
          <w:p/>
        </w:tc>
        <w:tc>
          <w:tcPr>
            <w:tcW w:type="dxa" w:w="8674"/>
            <w:shd w:fill="EDF4FB"/>
            <w:tcMar>
              <w:top w:w="300" w:type="dxa"/>
              <w:start w:w="260" w:type="dxa"/>
              <w:bottom w:w="300" w:type="dxa"/>
              <w:end w:w="260" w:type="dxa"/>
            </w:tcMar>
            <w:tcBorders>
              <w:top w:val="nil"/>
              <w:left w:val="nil"/>
              <w:bottom w:val="nil"/>
              <w:right w:val="nil"/>
            </w:tcBorders>
          </w:tcPr>
          <w:p>
            <w:pPr>
              <w:spacing w:after="120"/>
            </w:pPr>
            <w:r>
              <w:rPr>
                <w:rFonts w:ascii="Noto Sans CJK KR" w:hAnsi="Noto Sans CJK KR" w:eastAsia="Noto Sans CJK KR"/>
                <w:b/>
                <w:color w:val="17365D"/>
                <w:sz w:val="23"/>
              </w:rPr>
              <w:t>검토 대상 구조</w:t>
            </w:r>
          </w:p>
          <w:p>
            <w:pPr>
              <w:spacing w:after="40"/>
            </w:pPr>
            <w:r>
              <w:rPr>
                <w:rFonts w:ascii="Noto Sans CJK KR" w:hAnsi="Noto Sans CJK KR" w:eastAsia="Noto Sans CJK KR"/>
                <w:color w:val="222222"/>
                <w:sz w:val="19"/>
              </w:rPr>
              <w:t>• 정식 구독 직원이 직접 로그인</w:t>
            </w:r>
          </w:p>
          <w:p>
            <w:pPr>
              <w:spacing w:after="40"/>
            </w:pPr>
            <w:r>
              <w:rPr>
                <w:rFonts w:ascii="Noto Sans CJK KR" w:hAnsi="Noto Sans CJK KR" w:eastAsia="Noto Sans CJK KR"/>
                <w:color w:val="222222"/>
                <w:sz w:val="19"/>
              </w:rPr>
              <w:t>• 고객 PC에서만 실행되는 로컬 RPA</w:t>
            </w:r>
          </w:p>
          <w:p>
            <w:pPr>
              <w:spacing w:after="40"/>
            </w:pPr>
            <w:r>
              <w:rPr>
                <w:rFonts w:ascii="Noto Sans CJK KR" w:hAnsi="Noto Sans CJK KR" w:eastAsia="Noto Sans CJK KR"/>
                <w:color w:val="222222"/>
                <w:sz w:val="19"/>
              </w:rPr>
              <w:t>• 공개 브라우저 UI만 조작</w:t>
            </w:r>
          </w:p>
          <w:p>
            <w:pPr>
              <w:spacing w:after="40"/>
            </w:pPr>
            <w:r>
              <w:rPr>
                <w:rFonts w:ascii="Noto Sans CJK KR" w:hAnsi="Noto Sans CJK KR" w:eastAsia="Noto Sans CJK KR"/>
                <w:color w:val="222222"/>
                <w:sz w:val="19"/>
              </w:rPr>
              <w:t>• 인증정보·세션·신고자료 외부 저장 없음</w:t>
            </w:r>
          </w:p>
          <w:p>
            <w:pPr>
              <w:spacing w:after="40"/>
            </w:pPr>
            <w:r>
              <w:rPr>
                <w:rFonts w:ascii="Noto Sans CJK KR" w:hAnsi="Noto Sans CJK KR" w:eastAsia="Noto Sans CJK KR"/>
                <w:color w:val="222222"/>
                <w:sz w:val="19"/>
              </w:rPr>
              <w:t>• 서버 부하 방지를 위한 속도·물량 제한</w:t>
            </w:r>
          </w:p>
          <w:p>
            <w:pPr>
              <w:spacing w:after="40"/>
            </w:pPr>
            <w:r>
              <w:rPr>
                <w:rFonts w:ascii="Noto Sans CJK KR" w:hAnsi="Noto Sans CJK KR" w:eastAsia="Noto Sans CJK KR"/>
                <w:color w:val="222222"/>
                <w:sz w:val="19"/>
              </w:rPr>
              <w:t>• 최종 제출 전 담당자의 명시적 확인 필수</w:t>
            </w:r>
          </w:p>
        </w:tc>
      </w:tr>
    </w:tbl>
    <w:p>
      <w:pPr>
        <w:spacing w:before="480" w:after="80"/>
        <w:widowControl w:val="1"/>
      </w:pPr>
      <w:r>
        <w:rPr>
          <w:rFonts w:ascii="Noto Sans CJK KR" w:hAnsi="Noto Sans CJK KR" w:eastAsia="Noto Sans CJK KR"/>
          <w:b/>
          <w:color w:val="666666"/>
          <w:sz w:val="19"/>
          <w:lang w:eastAsia="ko-KR"/>
        </w:rPr>
        <w:t>검토 기준일</w:t>
      </w:r>
    </w:p>
    <w:p>
      <w:pPr>
        <w:widowControl w:val="1"/>
      </w:pPr>
      <w:r>
        <w:rPr>
          <w:rFonts w:ascii="Noto Sans CJK KR" w:hAnsi="Noto Sans CJK KR" w:eastAsia="Noto Sans CJK KR"/>
          <w:b/>
          <w:color w:val="17365D"/>
          <w:sz w:val="24"/>
          <w:lang w:eastAsia="ko-KR"/>
        </w:rPr>
        <w:t>2026년 7월 10일</w:t>
      </w:r>
    </w:p>
    <w:p>
      <w:pPr>
        <w:spacing w:before="700"/>
        <w:widowControl w:val="1"/>
      </w:pPr>
      <w:r>
        <w:rPr>
          <w:rFonts w:ascii="Noto Sans CJK KR" w:hAnsi="Noto Sans CJK KR" w:eastAsia="Noto Sans CJK KR"/>
          <w:b/>
          <w:color w:val="666666"/>
          <w:sz w:val="19"/>
          <w:lang w:eastAsia="ko-KR"/>
        </w:rPr>
        <w:t>중요 고지</w:t>
      </w:r>
    </w:p>
    <w:p>
      <w:pPr>
        <w:spacing w:line="324" w:lineRule="auto"/>
        <w:widowControl w:val="1"/>
      </w:pPr>
      <w:r>
        <w:rPr>
          <w:rFonts w:ascii="Noto Sans CJK KR" w:hAnsi="Noto Sans CJK KR" w:eastAsia="Noto Sans CJK KR"/>
          <w:color w:val="666666"/>
          <w:sz w:val="17"/>
          <w:lang w:eastAsia="ko-KR"/>
        </w:rPr>
        <w:t>본 보고서는 공개된 약관·공식 공지·판례를 바탕으로 한 사전 리스크 검토자료입니다. 개별 계약서, 로그인 후에만 노출되는 운영정책, 더존비즈온의 개별 회신 및 실제 프로그램 소스코드에 따라 결론이 달라질 수 있으며, 특정 사안에 대한 변호사 법률의견서를 대체하지 않습니다.</w:t>
      </w:r>
    </w:p>
    <w:p>
      <w:pPr>
        <w:widowControl w:val="1"/>
      </w:pPr>
      <w:r>
        <w:rPr>
          <w:lang w:eastAsia="ko-KR"/>
        </w:rPr>
        <w:br w:type="page"/>
      </w:r>
    </w:p>
    <w:p>
      <w:pPr>
        <w:keepNext/>
        <w:spacing w:before="280" w:after="140" w:line="252" w:lineRule="auto"/>
        <w:pBdr>
          <w:bottom w:val="single" w:sz="8" w:space="4" w:color="2F75B5"/>
        </w:pBdr>
        <w:widowControl w:val="1"/>
      </w:pPr>
      <w:r>
        <w:rPr>
          <w:rFonts w:ascii="Noto Sans CJK KR" w:hAnsi="Noto Sans CJK KR" w:eastAsia="Noto Sans CJK KR"/>
          <w:b/>
          <w:color w:val="17365D"/>
          <w:sz w:val="31"/>
          <w:lang w:eastAsia="ko-KR"/>
        </w:rPr>
        <w:t>1. 핵심 결론</w:t>
      </w:r>
    </w:p>
    <w:tbl>
      <w:tblPr>
        <w:tblW w:type="auto" w:w="0"/>
        <w:jc w:val="center"/>
        <w:tblLook w:firstColumn="1" w:firstRow="1" w:lastColumn="0" w:lastRow="0" w:noHBand="0" w:noVBand="1" w:val="04A0"/>
        <w:tblLayout w:type="fixed"/>
      </w:tblPr>
      <w:tblGrid>
        <w:gridCol w:w="9858"/>
      </w:tblGrid>
      <w:tr>
        <w:trPr>
          <w:cantSplit w:val="true"/>
        </w:trPr>
        <w:tc>
          <w:tcPr>
            <w:tcW w:type="dxa" w:w="9071"/>
            <w:shd w:fill="EDF4FB"/>
            <w:tcMar>
              <w:top w:w="140" w:type="dxa"/>
              <w:start w:w="180" w:type="dxa"/>
              <w:bottom w:w="140" w:type="dxa"/>
              <w:end w:w="180" w:type="dxa"/>
            </w:tcMar>
            <w:tcBorders>
              <w:top w:val="nil"/>
              <w:left w:val="single" w:sz="28" w:color="2F75B5"/>
              <w:bottom w:val="nil"/>
              <w:right w:val="nil"/>
            </w:tcBorders>
          </w:tcPr>
          <w:p>
            <w:pPr>
              <w:spacing w:after="60"/>
            </w:pPr>
            <w:r>
              <w:rPr>
                <w:rFonts w:ascii="Noto Sans CJK KR" w:hAnsi="Noto Sans CJK KR" w:eastAsia="Noto Sans CJK KR"/>
                <w:b/>
                <w:color w:val="17365D"/>
                <w:sz w:val="21"/>
              </w:rPr>
              <w:t>종합 의견: 조건부 판매 가능성이 높고, 공개 약관상 명시적 위반 근거는 약함</w:t>
            </w:r>
          </w:p>
          <w:p>
            <w:pPr>
              <w:spacing w:after="0" w:line="317" w:lineRule="auto"/>
            </w:pPr>
            <w:r>
              <w:rPr>
                <w:rFonts w:ascii="Noto Sans CJK KR" w:hAnsi="Noto Sans CJK KR" w:eastAsia="Noto Sans CJK KR"/>
                <w:color w:val="222222"/>
                <w:sz w:val="19"/>
              </w:rPr>
              <w:t>사용자가 직접 로그인하고, 프로그램이 고객 PC에서 공개된 브라우저 UI만 정상 속도로 조작하며, 인증정보·세션·신고자료를 외부로 전송하지 않고 최종 신고 전 사람이 직접 확인하는 구조라면, 현재 공개적으로 확인되는 WEHAGO 약관과 유사 판례상 고위험 요소 대부분이 제거됩니다. 다만 더존비즈온이 공개 UI 자동화를 포함한 제3자 RPA를 개별 통지나 운영정책으로 명시적으로 금지하는 경우 계약상 위험은 즉시 상승합니다.</w:t>
            </w:r>
          </w:p>
        </w:tc>
      </w:tr>
    </w:tbl>
    <w:p>
      <w:pPr>
        <w:spacing w:after="0"/>
        <w:widowControl w:val="1"/>
      </w:pPr>
    </w:p>
    <w:tbl>
      <w:tblPr>
        <w:tblW w:type="auto" w:w="0"/>
        <w:jc w:val="center"/>
        <w:tblLook w:firstColumn="1" w:firstRow="1" w:lastColumn="0" w:lastRow="0" w:noHBand="0" w:noVBand="1" w:val="04A0"/>
        <w:tblLayout w:type="fixed"/>
      </w:tblPr>
      <w:tblGrid>
        <w:gridCol w:w="4929"/>
        <w:gridCol w:w="4929"/>
      </w:tblGrid>
      <w:tr>
        <w:trPr>
          <w:cantSplit w:val="true"/>
        </w:trPr>
        <w:tc>
          <w:tcPr>
            <w:tcW w:type="dxa" w:w="1984"/>
            <w:shd w:fill="17365D"/>
            <w:tcMar>
              <w:top w:w="120" w:type="dxa"/>
              <w:start w:w="140" w:type="dxa"/>
              <w:bottom w:w="120" w:type="dxa"/>
              <w:end w:w="140" w:type="dxa"/>
            </w:tcMar>
            <w:tcBorders>
              <w:top w:val="single" w:sz="4" w:color="FFFFFF"/>
              <w:left w:val="single" w:sz="4" w:color="FFFFFF"/>
              <w:bottom w:val="single" w:sz="4" w:color="FFFFFF"/>
              <w:right w:val="single" w:sz="4" w:color="FFFFFF"/>
            </w:tcBorders>
          </w:tcPr>
          <w:p>
            <w:pPr>
              <w:jc w:val="center"/>
            </w:pPr>
            <w:r>
              <w:rPr>
                <w:rFonts w:ascii="Noto Sans CJK KR" w:hAnsi="Noto Sans CJK KR" w:eastAsia="Noto Sans CJK KR"/>
                <w:b/>
                <w:color w:val="FFFFFF"/>
                <w:sz w:val="19"/>
              </w:rPr>
              <w:t>최종 등급</w:t>
            </w:r>
          </w:p>
        </w:tc>
        <w:tc>
          <w:tcPr>
            <w:tcW w:type="dxa" w:w="7087"/>
            <w:shd w:fill="EDF4FB"/>
            <w:tcMar>
              <w:top w:w="120" w:type="dxa"/>
              <w:start w:w="140" w:type="dxa"/>
              <w:bottom w:w="120" w:type="dxa"/>
              <w:end w:w="140" w:type="dxa"/>
            </w:tcMar>
            <w:tcBorders>
              <w:top w:val="single" w:sz="4" w:color="FFFFFF"/>
              <w:left w:val="single" w:sz="4" w:color="FFFFFF"/>
              <w:bottom w:val="single" w:sz="4" w:color="FFFFFF"/>
              <w:right w:val="single" w:sz="4" w:color="FFFFFF"/>
            </w:tcBorders>
          </w:tcPr>
          <w:p>
            <w:r>
              <w:rPr>
                <w:rFonts w:ascii="Noto Sans CJK KR" w:hAnsi="Noto Sans CJK KR" w:eastAsia="Noto Sans CJK KR"/>
                <w:b/>
                <w:color w:val="222222"/>
                <w:sz w:val="20"/>
              </w:rPr>
              <w:t>약관 리스크: 낮음~중간 / 운영·호환성 리스크: 중간 / 오신고 책임 리스크: 중간~높음</w:t>
            </w:r>
          </w:p>
        </w:tc>
      </w:tr>
    </w:tbl>
    <w:p>
      <w:pPr>
        <w:spacing w:after="0"/>
        <w:widowControl w:val="1"/>
      </w:pPr>
    </w:p>
    <w:tbl>
      <w:tblPr>
        <w:tblW w:type="auto" w:w="0"/>
        <w:jc w:val="center"/>
        <w:tblLook w:firstColumn="1" w:firstRow="1" w:lastColumn="0" w:lastRow="0" w:noHBand="0" w:noVBand="1" w:val="04A0"/>
        <w:tblLayout w:type="fixed"/>
      </w:tblPr>
      <w:tblGrid>
        <w:gridCol w:w="4929"/>
        <w:gridCol w:w="4929"/>
      </w:tblGrid>
      <w:tr>
        <w:trPr>
          <w:cantSplit w:val="true"/>
        </w:trPr>
        <w:tc>
          <w:tcPr>
            <w:tcW w:type="dxa" w:w="1984"/>
            <w:shd w:fill="17365D"/>
            <w:tcMar>
              <w:top w:w="120" w:type="dxa"/>
              <w:start w:w="140" w:type="dxa"/>
              <w:bottom w:w="120" w:type="dxa"/>
              <w:end w:w="140" w:type="dxa"/>
            </w:tcMar>
            <w:tcBorders>
              <w:top w:val="single" w:sz="4" w:color="FFFFFF"/>
              <w:left w:val="single" w:sz="4" w:color="FFFFFF"/>
              <w:bottom w:val="single" w:sz="4" w:color="FFFFFF"/>
              <w:right w:val="single" w:sz="4" w:color="FFFFFF"/>
            </w:tcBorders>
          </w:tcPr>
          <w:p>
            <w:pPr>
              <w:jc w:val="center"/>
            </w:pPr>
            <w:r>
              <w:rPr>
                <w:rFonts w:ascii="Noto Sans CJK KR" w:hAnsi="Noto Sans CJK KR" w:eastAsia="Noto Sans CJK KR"/>
                <w:b/>
                <w:color w:val="FFFFFF"/>
                <w:sz w:val="19"/>
              </w:rPr>
              <w:t>핵심 조건</w:t>
            </w:r>
          </w:p>
        </w:tc>
        <w:tc>
          <w:tcPr>
            <w:tcW w:type="dxa" w:w="7087"/>
            <w:shd w:fill="EDF4FB"/>
            <w:tcMar>
              <w:top w:w="120" w:type="dxa"/>
              <w:start w:w="140" w:type="dxa"/>
              <w:bottom w:w="120" w:type="dxa"/>
              <w:end w:w="140" w:type="dxa"/>
            </w:tcMar>
            <w:tcBorders>
              <w:top w:val="single" w:sz="4" w:color="FFFFFF"/>
              <w:left w:val="single" w:sz="4" w:color="FFFFFF"/>
              <w:bottom w:val="single" w:sz="4" w:color="FFFFFF"/>
              <w:right w:val="single" w:sz="4" w:color="FFFFFF"/>
            </w:tcBorders>
          </w:tcPr>
          <w:p>
            <w:r>
              <w:rPr>
                <w:rFonts w:ascii="Noto Sans CJK KR" w:hAnsi="Noto Sans CJK KR" w:eastAsia="Noto Sans CJK KR"/>
                <w:b/>
                <w:color w:val="222222"/>
                <w:sz w:val="20"/>
              </w:rPr>
              <w:t>직접 로그인, 완전 로컬 처리, 공개 UI만 사용, 보안 미우회, 속도 제한, 최종 사람 승인</w:t>
            </w:r>
          </w:p>
        </w:tc>
      </w:tr>
    </w:tbl>
    <w:p>
      <w:pPr>
        <w:spacing w:after="0"/>
        <w:widowControl w:val="1"/>
      </w:pPr>
    </w:p>
    <w:tbl>
      <w:tblPr>
        <w:tblW w:type="auto" w:w="0"/>
        <w:jc w:val="center"/>
        <w:tblLook w:firstColumn="1" w:firstRow="1" w:lastColumn="0" w:lastRow="0" w:noHBand="0" w:noVBand="1" w:val="04A0"/>
        <w:tblLayout w:type="fixed"/>
      </w:tblPr>
      <w:tblGrid>
        <w:gridCol w:w="4929"/>
        <w:gridCol w:w="4929"/>
      </w:tblGrid>
      <w:tr>
        <w:trPr>
          <w:cantSplit w:val="true"/>
        </w:trPr>
        <w:tc>
          <w:tcPr>
            <w:tcW w:type="dxa" w:w="1984"/>
            <w:shd w:fill="17365D"/>
            <w:tcMar>
              <w:top w:w="120" w:type="dxa"/>
              <w:start w:w="140" w:type="dxa"/>
              <w:bottom w:w="120" w:type="dxa"/>
              <w:end w:w="140" w:type="dxa"/>
            </w:tcMar>
            <w:tcBorders>
              <w:top w:val="single" w:sz="4" w:color="FFFFFF"/>
              <w:left w:val="single" w:sz="4" w:color="FFFFFF"/>
              <w:bottom w:val="single" w:sz="4" w:color="FFFFFF"/>
              <w:right w:val="single" w:sz="4" w:color="FFFFFF"/>
            </w:tcBorders>
          </w:tcPr>
          <w:p>
            <w:pPr>
              <w:jc w:val="center"/>
            </w:pPr>
            <w:r>
              <w:rPr>
                <w:rFonts w:ascii="Noto Sans CJK KR" w:hAnsi="Noto Sans CJK KR" w:eastAsia="Noto Sans CJK KR"/>
                <w:b/>
                <w:color w:val="FFFFFF"/>
                <w:sz w:val="19"/>
              </w:rPr>
              <w:t>중단 조건</w:t>
            </w:r>
          </w:p>
        </w:tc>
        <w:tc>
          <w:tcPr>
            <w:tcW w:type="dxa" w:w="7087"/>
            <w:shd w:fill="EDF4FB"/>
            <w:tcMar>
              <w:top w:w="120" w:type="dxa"/>
              <w:start w:w="140" w:type="dxa"/>
              <w:bottom w:w="120" w:type="dxa"/>
              <w:end w:w="140" w:type="dxa"/>
            </w:tcMar>
            <w:tcBorders>
              <w:top w:val="single" w:sz="4" w:color="FFFFFF"/>
              <w:left w:val="single" w:sz="4" w:color="FFFFFF"/>
              <w:bottom w:val="single" w:sz="4" w:color="FFFFFF"/>
              <w:right w:val="single" w:sz="4" w:color="FFFFFF"/>
            </w:tcBorders>
          </w:tcPr>
          <w:p>
            <w:r>
              <w:rPr>
                <w:rFonts w:ascii="Noto Sans CJK KR" w:hAnsi="Noto Sans CJK KR" w:eastAsia="Noto Sans CJK KR"/>
                <w:b/>
                <w:color w:val="222222"/>
                <w:sz w:val="20"/>
              </w:rPr>
              <w:t>명시적 RPA 금지 통지, 계정 차단 우회 요구, 내부 API 사용 필요, 개인정보 외부 전송 발생</w:t>
            </w:r>
          </w:p>
        </w:tc>
      </w:tr>
    </w:tbl>
    <w:p>
      <w:pPr>
        <w:spacing w:after="0"/>
        <w:widowControl w:val="1"/>
      </w:pPr>
    </w:p>
    <w:p>
      <w:pPr>
        <w:keepNext/>
        <w:spacing w:before="200" w:after="100"/>
        <w:widowControl w:val="1"/>
      </w:pPr>
      <w:r>
        <w:rPr>
          <w:rFonts w:ascii="Noto Sans CJK KR" w:hAnsi="Noto Sans CJK KR" w:eastAsia="Noto Sans CJK KR"/>
          <w:b/>
          <w:color w:val="17365D"/>
          <w:sz w:val="24"/>
          <w:lang w:eastAsia="ko-KR"/>
        </w:rPr>
        <w:t>1.1 판단의 핵심 이유</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프로그램 판매자가 WEHAGO 계정의 이용주체가 되지 않고, 정식 구독 직원이 직접 로그인하므로 계정 양도·제3자 무단접속 위험이 낮습니다.</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내부 API, 비공개 기능, 패킷 분석, 토큰 추출 등을 사용하지 않으므로 역분석·접근권한 초과 논점이 크게 줄어듭니다.</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WEHAGO 화면·데이터베이스·콘텐츠를 수집하거나 경쟁영업에 재사용하지 않으므로 데이터베이스권 및 성과도용 위험이 낮습니다.</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동시실행·속도·재시도를 제한하여 실제 서버 장애를 발생시키지 않는다면 컴퓨터등장애업무방해 관련 위험이 낮습니다.</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최종 제출 전에 사람이 신고 내용을 명시적으로 검토하도록 하므로 프로그램이 독립적으로 세무판단·신고를 수행한다는 평가를 줄일 수 있습니다.</w:t>
      </w:r>
    </w:p>
    <w:p>
      <w:pPr>
        <w:keepNext/>
        <w:spacing w:before="200" w:after="100"/>
        <w:widowControl w:val="1"/>
      </w:pPr>
      <w:r>
        <w:rPr>
          <w:rFonts w:ascii="Noto Sans CJK KR" w:hAnsi="Noto Sans CJK KR" w:eastAsia="Noto Sans CJK KR"/>
          <w:b/>
          <w:color w:val="17365D"/>
          <w:sz w:val="24"/>
          <w:lang w:eastAsia="ko-KR"/>
        </w:rPr>
        <w:t>1.2 반드시 구분해야 하는 상황</w:t>
      </w:r>
    </w:p>
    <w:tbl>
      <w:tblPr>
        <w:tblW w:type="auto" w:w="0"/>
        <w:jc w:val="center"/>
        <w:tblLayout w:type="fixed"/>
        <w:tblLook w:firstColumn="1" w:firstRow="1" w:lastColumn="0" w:lastRow="0" w:noHBand="0" w:noVBand="1" w:val="04A0"/>
      </w:tblPr>
      <w:tblGrid>
        <w:gridCol w:w="3286"/>
        <w:gridCol w:w="3286"/>
        <w:gridCol w:w="3286"/>
      </w:tblGrid>
      <w:tr>
        <w:trPr>
          <w:tblHeader w:val="true"/>
          <w:cantSplit w:val="true"/>
        </w:trPr>
        <w:tc>
          <w:tcPr>
            <w:tcW w:type="dxa" w:w="2381"/>
            <w:shd w:fill="17365D"/>
            <w:tcMar>
              <w:top w:w="110" w:type="dxa"/>
              <w:start w:w="100" w:type="dxa"/>
              <w:bottom w:w="110" w:type="dxa"/>
              <w:end w:w="100" w:type="dxa"/>
            </w:tcMar>
            <w:tcBorders>
              <w:top w:val="single" w:sz="4" w:color="B4C6E7"/>
              <w:left w:val="single" w:sz="4" w:color="B4C6E7"/>
              <w:bottom w:val="single" w:sz="4" w:color="B4C6E7"/>
              <w:right w:val="single" w:sz="4" w:color="B4C6E7"/>
            </w:tcBorders>
            <w:vAlign w:val="center"/>
          </w:tcPr>
          <w:p>
            <w:pPr>
              <w:spacing w:after="0"/>
              <w:jc w:val="center"/>
            </w:pPr>
            <w:r>
              <w:rPr>
                <w:rFonts w:ascii="Noto Sans CJK KR" w:hAnsi="Noto Sans CJK KR" w:eastAsia="Noto Sans CJK KR"/>
                <w:b/>
                <w:color w:val="FFFFFF"/>
                <w:sz w:val="17"/>
              </w:rPr>
              <w:t>상황</w:t>
            </w:r>
          </w:p>
        </w:tc>
        <w:tc>
          <w:tcPr>
            <w:tcW w:type="dxa" w:w="3969"/>
            <w:shd w:fill="17365D"/>
            <w:tcMar>
              <w:top w:w="110" w:type="dxa"/>
              <w:start w:w="100" w:type="dxa"/>
              <w:bottom w:w="110" w:type="dxa"/>
              <w:end w:w="100" w:type="dxa"/>
            </w:tcMar>
            <w:tcBorders>
              <w:top w:val="single" w:sz="4" w:color="B4C6E7"/>
              <w:left w:val="single" w:sz="4" w:color="B4C6E7"/>
              <w:bottom w:val="single" w:sz="4" w:color="B4C6E7"/>
              <w:right w:val="single" w:sz="4" w:color="B4C6E7"/>
            </w:tcBorders>
            <w:vAlign w:val="center"/>
          </w:tcPr>
          <w:p>
            <w:pPr>
              <w:spacing w:after="0"/>
              <w:jc w:val="center"/>
            </w:pPr>
            <w:r>
              <w:rPr>
                <w:rFonts w:ascii="Noto Sans CJK KR" w:hAnsi="Noto Sans CJK KR" w:eastAsia="Noto Sans CJK KR"/>
                <w:b/>
                <w:color w:val="FFFFFF"/>
                <w:sz w:val="17"/>
              </w:rPr>
              <w:t>법적·약관상 의미</w:t>
            </w:r>
          </w:p>
        </w:tc>
        <w:tc>
          <w:tcPr>
            <w:tcW w:type="dxa" w:w="2721"/>
            <w:shd w:fill="17365D"/>
            <w:tcMar>
              <w:top w:w="110" w:type="dxa"/>
              <w:start w:w="100" w:type="dxa"/>
              <w:bottom w:w="110" w:type="dxa"/>
              <w:end w:w="100" w:type="dxa"/>
            </w:tcMar>
            <w:tcBorders>
              <w:top w:val="single" w:sz="4" w:color="B4C6E7"/>
              <w:left w:val="single" w:sz="4" w:color="B4C6E7"/>
              <w:bottom w:val="single" w:sz="4" w:color="B4C6E7"/>
              <w:right w:val="single" w:sz="4" w:color="B4C6E7"/>
            </w:tcBorders>
            <w:vAlign w:val="center"/>
          </w:tcPr>
          <w:p>
            <w:pPr>
              <w:spacing w:after="0"/>
              <w:jc w:val="center"/>
            </w:pPr>
            <w:r>
              <w:rPr>
                <w:rFonts w:ascii="Noto Sans CJK KR" w:hAnsi="Noto Sans CJK KR" w:eastAsia="Noto Sans CJK KR"/>
                <w:b/>
                <w:color w:val="FFFFFF"/>
                <w:sz w:val="17"/>
              </w:rPr>
              <w:t>권고 대응</w:t>
            </w:r>
          </w:p>
        </w:tc>
      </w:tr>
      <w:tr>
        <w:trPr>
          <w:cantSplit w:val="true"/>
          <w:trHeight w:hRule="atLeast"/>
        </w:trPr>
        <w:tc>
          <w:tcPr>
            <w:tcW w:type="dxa" w:w="3286"/>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서면승인 요청에 답변이 없음</w:t>
            </w:r>
          </w:p>
        </w:tc>
        <w:tc>
          <w:tcPr>
            <w:tcW w:type="dxa" w:w="3286"/>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허용도 금지도 확인되지 않은 상태. 그 자체로 위반을 의미하지 않음.</w:t>
            </w:r>
          </w:p>
        </w:tc>
        <w:tc>
          <w:tcPr>
            <w:tcW w:type="dxa" w:w="3286"/>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현재의 보수적 로컬 구조를 유지하고 문의·설계자료를 보관</w:t>
            </w:r>
          </w:p>
        </w:tc>
      </w:tr>
      <w:tr>
        <w:trPr>
          <w:cantSplit w:val="true"/>
          <w:trHeight w:hRule="atLeast"/>
        </w:trPr>
        <w:tc>
          <w:tcPr>
            <w:tcW w:type="dxa" w:w="3286"/>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공식 제휴·인증·API 제공만 거절</w:t>
            </w:r>
          </w:p>
        </w:tc>
        <w:tc>
          <w:tcPr>
            <w:tcW w:type="dxa" w:w="3286"/>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공개 UI 기반 로컬 RPA까지 금지했다는 의미로 단정하기 어려움.</w:t>
            </w:r>
          </w:p>
        </w:tc>
        <w:tc>
          <w:tcPr>
            <w:tcW w:type="dxa" w:w="3286"/>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비제휴 고지, 호환성 미보장, 공개 UI만 사용</w:t>
            </w:r>
          </w:p>
        </w:tc>
      </w:tr>
      <w:tr>
        <w:trPr>
          <w:cantSplit w:val="true"/>
          <w:trHeight w:hRule="atLeast"/>
        </w:trPr>
        <w:tc>
          <w:tcPr>
            <w:tcW w:type="dxa" w:w="3286"/>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공개 UI 포함 모든 제3자 자동화를 명시적으로 금지</w:t>
            </w:r>
          </w:p>
        </w:tc>
        <w:tc>
          <w:tcPr>
            <w:tcW w:type="dxa" w:w="3286"/>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회원의 운영정책 준수 의무 및 개별 통지 위반 주장 가능성이 커짐.</w:t>
            </w:r>
          </w:p>
        </w:tc>
        <w:tc>
          <w:tcPr>
            <w:tcW w:type="dxa" w:w="3286"/>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출시·사용 중단 또는 기능 범위를 재협의</w:t>
            </w:r>
          </w:p>
        </w:tc>
      </w:tr>
      <w:tr>
        <w:trPr>
          <w:cantSplit w:val="true"/>
          <w:trHeight w:hRule="atLeast"/>
        </w:trPr>
        <w:tc>
          <w:tcPr>
            <w:tcW w:type="dxa" w:w="3286"/>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차단 후 IP·계정·세션을 변경해 계속 실행</w:t>
            </w:r>
          </w:p>
        </w:tc>
        <w:tc>
          <w:tcPr>
            <w:tcW w:type="dxa" w:w="3286"/>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접근 제한 및 제공자의 의사를 인식하고 우회한 정황으로 매우 불리함.</w:t>
            </w:r>
          </w:p>
        </w:tc>
        <w:tc>
          <w:tcPr>
            <w:tcW w:type="dxa" w:w="3286"/>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즉시 중단하고 원인 확인·서면 협의</w:t>
            </w:r>
          </w:p>
        </w:tc>
      </w:tr>
    </w:tbl>
    <w:p>
      <w:pPr>
        <w:spacing w:after="20"/>
        <w:widowControl w:val="1"/>
      </w:pPr>
    </w:p>
    <w:p>
      <w:pPr>
        <w:keepNext/>
        <w:spacing w:before="200" w:after="100"/>
        <w:widowControl w:val="1"/>
      </w:pPr>
      <w:r>
        <w:rPr>
          <w:rFonts w:ascii="Noto Sans CJK KR" w:hAnsi="Noto Sans CJK KR" w:eastAsia="Noto Sans CJK KR"/>
          <w:b/>
          <w:color w:val="17365D"/>
          <w:sz w:val="24"/>
          <w:lang w:eastAsia="ko-KR"/>
        </w:rPr>
        <w:t>1.3 한 문장 결론</w:t>
      </w:r>
    </w:p>
    <w:tbl>
      <w:tblPr>
        <w:tblW w:type="auto" w:w="0"/>
        <w:jc w:val="center"/>
        <w:tblLook w:firstColumn="1" w:firstRow="1" w:lastColumn="0" w:lastRow="0" w:noHBand="0" w:noVBand="1" w:val="04A0"/>
        <w:tblLayout w:type="fixed"/>
      </w:tblPr>
      <w:tblGrid>
        <w:gridCol w:w="9858"/>
      </w:tblGrid>
      <w:tr>
        <w:trPr>
          <w:cantSplit w:val="true"/>
        </w:trPr>
        <w:tc>
          <w:tcPr>
            <w:tcW w:type="dxa" w:w="9071"/>
            <w:shd w:fill="F3F7FB"/>
            <w:tcMar>
              <w:top w:w="140" w:type="dxa"/>
              <w:start w:w="180" w:type="dxa"/>
              <w:bottom w:w="140" w:type="dxa"/>
              <w:end w:w="180" w:type="dxa"/>
            </w:tcMar>
            <w:tcBorders>
              <w:top w:val="nil"/>
              <w:left w:val="single" w:sz="28" w:color="17365D"/>
              <w:bottom w:val="nil"/>
              <w:right w:val="nil"/>
            </w:tcBorders>
          </w:tcPr>
          <w:p>
            <w:pPr>
              <w:spacing w:after="60"/>
            </w:pPr>
            <w:r>
              <w:rPr>
                <w:rFonts w:ascii="Noto Sans CJK KR" w:hAnsi="Noto Sans CJK KR" w:eastAsia="Noto Sans CJK KR"/>
                <w:b/>
                <w:color w:val="17365D"/>
                <w:sz w:val="21"/>
              </w:rPr>
              <w:t>최종 판단</w:t>
            </w:r>
          </w:p>
          <w:p>
            <w:pPr>
              <w:spacing w:after="0" w:line="317" w:lineRule="auto"/>
            </w:pPr>
            <w:r>
              <w:rPr>
                <w:rFonts w:ascii="Noto Sans CJK KR" w:hAnsi="Noto Sans CJK KR" w:eastAsia="Noto Sans CJK KR"/>
                <w:color w:val="222222"/>
                <w:sz w:val="19"/>
              </w:rPr>
              <w:t>현재 설명된 제품은 WEHAGO 서비스를 재판매하거나 무단으로 이용하는 도구보다는, 적법한 이용자가 자신의 로컬 환경에서 반복 입력을 수행하도록 보조하는 생산성 도구에 가깝습니다. 공개 약관만으로 이를 명시적 위반이라고 단정할 근거는 약하지만, 금지 통지·운영정책 변경·실제 서버 영향·데이터 외부 전송이 발생하면 결론이 달라집니다.</w:t>
            </w:r>
          </w:p>
        </w:tc>
      </w:tr>
    </w:tbl>
    <w:p>
      <w:pPr>
        <w:spacing w:after="0"/>
        <w:widowControl w:val="1"/>
      </w:pPr>
    </w:p>
    <w:p>
      <w:pPr>
        <w:widowControl w:val="1"/>
      </w:pPr>
      <w:r>
        <w:rPr>
          <w:lang w:eastAsia="ko-KR"/>
        </w:rPr>
        <w:br w:type="page"/>
      </w:r>
    </w:p>
    <w:p>
      <w:pPr>
        <w:keepNext/>
        <w:spacing w:before="280" w:after="140" w:line="252" w:lineRule="auto"/>
        <w:pBdr>
          <w:bottom w:val="single" w:sz="8" w:space="4" w:color="2F75B5"/>
        </w:pBdr>
        <w:widowControl w:val="1"/>
      </w:pPr>
      <w:r>
        <w:rPr>
          <w:rFonts w:ascii="Noto Sans CJK KR" w:hAnsi="Noto Sans CJK KR" w:eastAsia="Noto Sans CJK KR"/>
          <w:b/>
          <w:color w:val="17365D"/>
          <w:sz w:val="31"/>
          <w:lang w:eastAsia="ko-KR"/>
        </w:rPr>
        <w:t>2. 검토 목적·범위·전제</w:t>
      </w:r>
    </w:p>
    <w:p>
      <w:pPr>
        <w:keepNext/>
        <w:spacing w:before="200" w:after="100"/>
        <w:widowControl w:val="1"/>
      </w:pPr>
      <w:r>
        <w:rPr>
          <w:rFonts w:ascii="Noto Sans CJK KR" w:hAnsi="Noto Sans CJK KR" w:eastAsia="Noto Sans CJK KR"/>
          <w:b/>
          <w:color w:val="17365D"/>
          <w:sz w:val="24"/>
          <w:lang w:eastAsia="ko-KR"/>
        </w:rPr>
        <w:t>2.1 검토 목적</w:t>
      </w:r>
    </w:p>
    <w:p>
      <w:pPr>
        <w:spacing w:after="100" w:before="0" w:line="341" w:lineRule="auto"/>
        <w:jc w:val="both"/>
        <w:widowControl w:val="1"/>
      </w:pPr>
      <w:r>
        <w:rPr>
          <w:rFonts w:ascii="Noto Sans CJK KR" w:hAnsi="Noto Sans CJK KR" w:eastAsia="Noto Sans CJK KR"/>
          <w:b w:val="0"/>
          <w:i w:val="0"/>
          <w:color w:val="222222"/>
          <w:sz w:val="20"/>
          <w:lang w:eastAsia="ko-KR"/>
        </w:rPr>
        <w:t>회계법인 또는 세무회계사무소가 정식으로 구독하는 WEHAGO T 환경에서 원천세 신고 업무의 반복 입력·화면 이동을 자동화하는 프로그램을 유상 판매할 때, WEHAGO 관련 약관과 국내 유사 판례에 비추어 예상되는 계약상·민사상·형사상 리스크를 사전에 정리하는 것을 목적으로 합니다.</w:t>
      </w:r>
    </w:p>
    <w:p>
      <w:pPr>
        <w:keepNext/>
        <w:spacing w:before="200" w:after="100"/>
        <w:widowControl w:val="1"/>
      </w:pPr>
      <w:r>
        <w:rPr>
          <w:rFonts w:ascii="Noto Sans CJK KR" w:hAnsi="Noto Sans CJK KR" w:eastAsia="Noto Sans CJK KR"/>
          <w:b/>
          <w:color w:val="17365D"/>
          <w:sz w:val="24"/>
          <w:lang w:eastAsia="ko-KR"/>
        </w:rPr>
        <w:t>2.2 검토한 쟁점</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제3자 상용 로컬 RPA의 판매·사용 자체가 공개 약관에 의해 명시적으로 금지되는지</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정식 이용자의 직접 로그인과 프로그램의 화면 조작이 계정 양도 또는 무단접속으로 평가될 수 있는지</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자동화 요청이 서비스 운영방해 또는 컴퓨터등장애업무방해로 평가될 수 있는지</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화면·데이터·업무규칙의 이용이 저작권, 데이터베이스권 또는 부정경쟁행위에 해당할 수 있는지</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프로그램 판매자가 원천세 관련 개인정보의 수탁자로 평가될 수 있는지</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더존비즈온이 공개 UI를 포함한 제3자 RPA를 공개적으로 명시 금지한 사례가 확인되는지</w:t>
      </w:r>
    </w:p>
    <w:p>
      <w:pPr>
        <w:keepNext/>
        <w:spacing w:before="200" w:after="100"/>
        <w:widowControl w:val="1"/>
      </w:pPr>
      <w:r>
        <w:rPr>
          <w:rFonts w:ascii="Noto Sans CJK KR" w:hAnsi="Noto Sans CJK KR" w:eastAsia="Noto Sans CJK KR"/>
          <w:b/>
          <w:color w:val="17365D"/>
          <w:sz w:val="24"/>
          <w:lang w:eastAsia="ko-KR"/>
        </w:rPr>
        <w:t>2.3 제품 구조에 관한 핵심 전제</w:t>
      </w:r>
    </w:p>
    <w:tbl>
      <w:tblPr>
        <w:tblW w:type="auto" w:w="0"/>
        <w:jc w:val="center"/>
        <w:tblLayout w:type="fixed"/>
        <w:tblLook w:firstColumn="1" w:firstRow="1" w:lastColumn="0" w:lastRow="0" w:noHBand="0" w:noVBand="1" w:val="04A0"/>
      </w:tblPr>
      <w:tblGrid>
        <w:gridCol w:w="4929"/>
        <w:gridCol w:w="4929"/>
      </w:tblGrid>
      <w:tr>
        <w:trPr>
          <w:tblHeader w:val="true"/>
          <w:cantSplit w:val="true"/>
        </w:trPr>
        <w:tc>
          <w:tcPr>
            <w:tcW w:type="dxa" w:w="1814"/>
            <w:shd w:fill="17365D"/>
            <w:tcMar>
              <w:top w:w="110" w:type="dxa"/>
              <w:start w:w="100" w:type="dxa"/>
              <w:bottom w:w="110" w:type="dxa"/>
              <w:end w:w="100" w:type="dxa"/>
            </w:tcMar>
            <w:tcBorders>
              <w:top w:val="single" w:sz="4" w:color="B4C6E7"/>
              <w:left w:val="single" w:sz="4" w:color="B4C6E7"/>
              <w:bottom w:val="single" w:sz="4" w:color="B4C6E7"/>
              <w:right w:val="single" w:sz="4" w:color="B4C6E7"/>
            </w:tcBorders>
            <w:vAlign w:val="center"/>
          </w:tcPr>
          <w:p>
            <w:pPr>
              <w:spacing w:after="0"/>
              <w:jc w:val="center"/>
            </w:pPr>
            <w:r>
              <w:rPr>
                <w:rFonts w:ascii="Noto Sans CJK KR" w:hAnsi="Noto Sans CJK KR" w:eastAsia="Noto Sans CJK KR"/>
                <w:b/>
                <w:color w:val="FFFFFF"/>
                <w:sz w:val="17"/>
              </w:rPr>
              <w:t>구분</w:t>
            </w:r>
          </w:p>
        </w:tc>
        <w:tc>
          <w:tcPr>
            <w:tcW w:type="dxa" w:w="7257"/>
            <w:shd w:fill="17365D"/>
            <w:tcMar>
              <w:top w:w="110" w:type="dxa"/>
              <w:start w:w="100" w:type="dxa"/>
              <w:bottom w:w="110" w:type="dxa"/>
              <w:end w:w="100" w:type="dxa"/>
            </w:tcMar>
            <w:tcBorders>
              <w:top w:val="single" w:sz="4" w:color="B4C6E7"/>
              <w:left w:val="single" w:sz="4" w:color="B4C6E7"/>
              <w:bottom w:val="single" w:sz="4" w:color="B4C6E7"/>
              <w:right w:val="single" w:sz="4" w:color="B4C6E7"/>
            </w:tcBorders>
            <w:vAlign w:val="center"/>
          </w:tcPr>
          <w:p>
            <w:pPr>
              <w:spacing w:after="0"/>
              <w:jc w:val="center"/>
            </w:pPr>
            <w:r>
              <w:rPr>
                <w:rFonts w:ascii="Noto Sans CJK KR" w:hAnsi="Noto Sans CJK KR" w:eastAsia="Noto Sans CJK KR"/>
                <w:b/>
                <w:color w:val="FFFFFF"/>
                <w:sz w:val="17"/>
              </w:rPr>
              <w:t>전제 내용</w:t>
            </w:r>
          </w:p>
        </w:tc>
      </w:tr>
      <w:tr>
        <w:trPr>
          <w:cantSplit w:val="true"/>
          <w:trHeight w:hRule="atLeast"/>
        </w:trPr>
        <w:tc>
          <w:tcPr>
            <w:tcW w:type="dxa" w:w="4929"/>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이용자</w:t>
            </w:r>
          </w:p>
        </w:tc>
        <w:tc>
          <w:tcPr>
            <w:tcW w:type="dxa" w:w="4929"/>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WEHAGO를 정식 구독한 회계법인 또는 세무회계사무소의 권한 있는 직원</w:t>
            </w:r>
          </w:p>
        </w:tc>
      </w:tr>
      <w:tr>
        <w:trPr>
          <w:cantSplit w:val="true"/>
          <w:trHeight w:hRule="atLeast"/>
        </w:trPr>
        <w:tc>
          <w:tcPr>
            <w:tcW w:type="dxa" w:w="4929"/>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로그인</w:t>
            </w:r>
          </w:p>
        </w:tc>
        <w:tc>
          <w:tcPr>
            <w:tcW w:type="dxa" w:w="4929"/>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직원이 직접 로그인하며 프로그램은 ID, 비밀번호, 공동인증서 비밀번호, OTP를 수집·저장하지 않음</w:t>
            </w:r>
          </w:p>
        </w:tc>
      </w:tr>
      <w:tr>
        <w:trPr>
          <w:cantSplit w:val="true"/>
          <w:trHeight w:hRule="atLeast"/>
        </w:trPr>
        <w:tc>
          <w:tcPr>
            <w:tcW w:type="dxa" w:w="4929"/>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실행 위치</w:t>
            </w:r>
          </w:p>
        </w:tc>
        <w:tc>
          <w:tcPr>
            <w:tcW w:type="dxa" w:w="4929"/>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고객이 관리하는 로컬 PC 또는 고객 내부 환경에서만 실행</w:t>
            </w:r>
          </w:p>
        </w:tc>
      </w:tr>
      <w:tr>
        <w:trPr>
          <w:cantSplit w:val="true"/>
          <w:trHeight w:hRule="atLeast"/>
        </w:trPr>
        <w:tc>
          <w:tcPr>
            <w:tcW w:type="dxa" w:w="4929"/>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접근 방식</w:t>
            </w:r>
          </w:p>
        </w:tc>
        <w:tc>
          <w:tcPr>
            <w:tcW w:type="dxa" w:w="4929"/>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사용자 브라우저에 표시된 공개 UI의 클릭·입력만 수행</w:t>
            </w:r>
          </w:p>
        </w:tc>
      </w:tr>
      <w:tr>
        <w:trPr>
          <w:cantSplit w:val="true"/>
          <w:trHeight w:hRule="atLeast"/>
        </w:trPr>
        <w:tc>
          <w:tcPr>
            <w:tcW w:type="dxa" w:w="4929"/>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미사용 기능</w:t>
            </w:r>
          </w:p>
        </w:tc>
        <w:tc>
          <w:tcPr>
            <w:tcW w:type="dxa" w:w="4929"/>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내부 API, 비공개 엔드포인트, 패킷 분석, 세션 토큰 추출, CAPTCHA·MFA 우회</w:t>
            </w:r>
          </w:p>
        </w:tc>
      </w:tr>
      <w:tr>
        <w:trPr>
          <w:cantSplit w:val="true"/>
          <w:trHeight w:hRule="atLeast"/>
        </w:trPr>
        <w:tc>
          <w:tcPr>
            <w:tcW w:type="dxa" w:w="4929"/>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데이터 처리</w:t>
            </w:r>
          </w:p>
        </w:tc>
        <w:tc>
          <w:tcPr>
            <w:tcW w:type="dxa" w:w="4929"/>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원천세 신고자료, 주민등록번호, 급여·세액 정보, 화면 캡처를 판매자 서버로 전송·저장하지 않음</w:t>
            </w:r>
          </w:p>
        </w:tc>
      </w:tr>
      <w:tr>
        <w:trPr>
          <w:cantSplit w:val="true"/>
          <w:trHeight w:hRule="atLeast"/>
        </w:trPr>
        <w:tc>
          <w:tcPr>
            <w:tcW w:type="dxa" w:w="4929"/>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부하 관리</w:t>
            </w:r>
          </w:p>
        </w:tc>
        <w:tc>
          <w:tcPr>
            <w:tcW w:type="dxa" w:w="4929"/>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동시 실행, 클릭 간격, 재시도 횟수와 물량을 제한하고 지연·오류 발생 시 중단</w:t>
            </w:r>
          </w:p>
        </w:tc>
      </w:tr>
      <w:tr>
        <w:trPr>
          <w:cantSplit w:val="true"/>
          <w:trHeight w:hRule="atLeast"/>
        </w:trPr>
        <w:tc>
          <w:tcPr>
            <w:tcW w:type="dxa" w:w="4929"/>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최종 신고</w:t>
            </w:r>
          </w:p>
        </w:tc>
        <w:tc>
          <w:tcPr>
            <w:tcW w:type="dxa" w:w="4929"/>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제출 전 사람이 대상 사업자, 귀속연월, 인원, 소득금액, 세액 및 오류를 확인한 뒤 명시적으로 승인</w:t>
            </w:r>
          </w:p>
        </w:tc>
      </w:tr>
      <w:tr>
        <w:trPr>
          <w:cantSplit w:val="true"/>
          <w:trHeight w:hRule="atLeast"/>
        </w:trPr>
        <w:tc>
          <w:tcPr>
            <w:tcW w:type="dxa" w:w="4929"/>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상표·콘텐츠</w:t>
            </w:r>
          </w:p>
        </w:tc>
        <w:tc>
          <w:tcPr>
            <w:tcW w:type="dxa" w:w="4929"/>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WEHAGO 화면, 소스, 로고, 매뉴얼을 복제하지 않고 공식 인증·제휴로 오인시키지 않음</w:t>
            </w:r>
          </w:p>
        </w:tc>
      </w:tr>
      <w:tr>
        <w:trPr>
          <w:cantSplit w:val="true"/>
          <w:trHeight w:hRule="atLeast"/>
        </w:trPr>
        <w:tc>
          <w:tcPr>
            <w:tcW w:type="dxa" w:w="4929"/>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라이선스</w:t>
            </w:r>
          </w:p>
        </w:tc>
        <w:tc>
          <w:tcPr>
            <w:tcW w:type="dxa" w:w="4929"/>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WEHAGO 계정이나 이용권을 자동화 프로그램과 묶어 재판매하지 않음</w:t>
            </w:r>
          </w:p>
        </w:tc>
      </w:tr>
    </w:tbl>
    <w:p>
      <w:pPr>
        <w:spacing w:after="20"/>
        <w:widowControl w:val="1"/>
      </w:pPr>
    </w:p>
    <w:p>
      <w:pPr>
        <w:keepNext/>
        <w:spacing w:before="200" w:after="100"/>
        <w:widowControl w:val="1"/>
      </w:pPr>
      <w:r>
        <w:rPr>
          <w:rFonts w:ascii="Noto Sans CJK KR" w:hAnsi="Noto Sans CJK KR" w:eastAsia="Noto Sans CJK KR"/>
          <w:b/>
          <w:color w:val="17365D"/>
          <w:sz w:val="24"/>
          <w:lang w:eastAsia="ko-KR"/>
        </w:rPr>
        <w:t>2.4 검토의 한계</w:t>
      </w:r>
    </w:p>
    <w:p>
      <w:pPr>
        <w:spacing w:after="100" w:before="0" w:line="341" w:lineRule="auto"/>
        <w:jc w:val="both"/>
        <w:widowControl w:val="1"/>
      </w:pPr>
      <w:r>
        <w:rPr>
          <w:rFonts w:ascii="Noto Sans CJK KR" w:hAnsi="Noto Sans CJK KR" w:eastAsia="Noto Sans CJK KR"/>
          <w:b w:val="0"/>
          <w:i w:val="0"/>
          <w:color w:val="222222"/>
          <w:sz w:val="20"/>
          <w:lang w:eastAsia="ko-KR"/>
        </w:rPr>
        <w:t>WEHAGO 정책센터는 자바스크립트로 문서를 동적으로 불러오는 구조이므로, 공개 검색도구에서 모든 탭의 모든 시행본 전문이 동일한 수준으로 노출되지는 않았습니다. 본 보고서는 공개 검색 가능한 WEHAGO 서비스 이용약관, WEHAGO T 관련 약관·개정공지, 개인정보처리방침 공지, One AI 약관 및 국가법령정보센터 판례를 중심으로 작성했습니다. 다음 자료는 별도 확보가 필요합니다.</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회계법인과 더존비즈온 사이에 체결된 개별 계약서·주문서·특약</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로그인 이후 특정 관리자에게만 노출되는 공지·운영정책</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더존비즈온 고객센터·영업담당자가 발송한 개별 서면 답변</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실제 프로그램 소스코드, 통신 로그, 원격지원 및 오류수집 정책</w:t>
      </w:r>
    </w:p>
    <w:p>
      <w:pPr>
        <w:keepNext/>
        <w:spacing w:before="280" w:after="140" w:line="252" w:lineRule="auto"/>
        <w:pBdr>
          <w:bottom w:val="single" w:sz="8" w:space="4" w:color="2F75B5"/>
        </w:pBdr>
        <w:widowControl w:val="1"/>
      </w:pPr>
      <w:r>
        <w:rPr>
          <w:rFonts w:ascii="Noto Sans CJK KR" w:hAnsi="Noto Sans CJK KR" w:eastAsia="Noto Sans CJK KR"/>
          <w:b/>
          <w:color w:val="17365D"/>
          <w:sz w:val="31"/>
          <w:lang w:eastAsia="ko-KR"/>
        </w:rPr>
        <w:t>3. WEHAGO 약관 관련 리스크 분석</w:t>
      </w:r>
    </w:p>
    <w:p>
      <w:pPr>
        <w:keepNext/>
        <w:spacing w:before="200" w:after="100"/>
        <w:widowControl w:val="1"/>
      </w:pPr>
      <w:r>
        <w:rPr>
          <w:rFonts w:ascii="Noto Sans CJK KR" w:hAnsi="Noto Sans CJK KR" w:eastAsia="Noto Sans CJK KR"/>
          <w:b/>
          <w:color w:val="17365D"/>
          <w:sz w:val="24"/>
          <w:lang w:eastAsia="ko-KR"/>
        </w:rPr>
        <w:t>3.1 자동화 프로그램의 유상 판매 자체</w:t>
      </w:r>
    </w:p>
    <w:p>
      <w:pPr>
        <w:spacing w:after="100" w:before="0" w:line="341" w:lineRule="auto"/>
        <w:jc w:val="both"/>
        <w:widowControl w:val="1"/>
      </w:pPr>
      <w:r>
        <w:rPr>
          <w:rFonts w:ascii="Noto Sans CJK KR" w:hAnsi="Noto Sans CJK KR" w:eastAsia="Noto Sans CJK KR"/>
          <w:b w:val="0"/>
          <w:i w:val="0"/>
          <w:color w:val="222222"/>
          <w:sz w:val="20"/>
          <w:lang w:eastAsia="ko-KR"/>
        </w:rPr>
        <w:t>공개적으로 확인되는 문서에서는 “WEHAGO의 공개 화면을 조작하는 모든 RPA·매크로·제3자 자동화 프로그램의 개발, 사용 또는 판매를 금지한다”는 직접적인 문구를 확인하지 못했습니다. 따라서 독립된 로컬 소프트웨어를 유상 판매한다는 사실만으로 즉시 약관 위반이라고 단정하기는 어렵습니다. 다만 약관은 통상 회원에게 별도의 서비스 이용정책과 공지사항을 준수하도록 요구하므로, 향후 개별 통지나 운영정책이 확인되면 그 내용이 우선적인 리스크 판단 자료가 됩니다. [공식자료 1~3]</w:t>
      </w:r>
    </w:p>
    <w:p>
      <w:pPr>
        <w:keepNext/>
        <w:spacing w:before="200" w:after="100"/>
        <w:widowControl w:val="1"/>
      </w:pPr>
      <w:r>
        <w:rPr>
          <w:rFonts w:ascii="Noto Sans CJK KR" w:hAnsi="Noto Sans CJK KR" w:eastAsia="Noto Sans CJK KR"/>
          <w:b/>
          <w:color w:val="17365D"/>
          <w:sz w:val="24"/>
          <w:lang w:eastAsia="ko-KR"/>
        </w:rPr>
        <w:t>3.2 계정·접근권한</w:t>
      </w:r>
    </w:p>
    <w:p>
      <w:pPr>
        <w:spacing w:after="100" w:before="0" w:line="341" w:lineRule="auto"/>
        <w:jc w:val="both"/>
        <w:widowControl w:val="1"/>
      </w:pPr>
      <w:r>
        <w:rPr>
          <w:rFonts w:ascii="Noto Sans CJK KR" w:hAnsi="Noto Sans CJK KR" w:eastAsia="Noto Sans CJK KR"/>
          <w:b w:val="0"/>
          <w:i w:val="0"/>
          <w:color w:val="222222"/>
          <w:sz w:val="20"/>
          <w:lang w:eastAsia="ko-KR"/>
        </w:rPr>
        <w:t>계정 관련 위험은 프로그램 판매자가 고객의 계정으로 로그인하거나 인증정보·세션을 보유할 때 가장 커집니다. 본 구조에서는 정식 구독 직원이 직접 로그인하고 프로그램은 로그인 이후의 반복적 사실행위만 보조하므로, 제3자가 별개의 이용주체가 되어 접근권한을 행사하는 경우와 구별됩니다. 대법원 2005도870 판결도 접근권한은 서비스 제공자가 정한 범위를 기준으로 판단한다고 하면서, 이용자의 사자 또는 사실행위 대행자에 불과해 사회통념상 이용자의 직접 사용과 동일시되는 예외 가능성을 제시했습니다. [판례 2]</w:t>
      </w:r>
    </w:p>
    <w:tbl>
      <w:tblPr>
        <w:tblW w:type="auto" w:w="0"/>
        <w:jc w:val="center"/>
        <w:tblLook w:firstColumn="1" w:firstRow="1" w:lastColumn="0" w:lastRow="0" w:noHBand="0" w:noVBand="1" w:val="04A0"/>
        <w:tblLayout w:type="fixed"/>
      </w:tblPr>
      <w:tblGrid>
        <w:gridCol w:w="9858"/>
      </w:tblGrid>
      <w:tr>
        <w:trPr>
          <w:cantSplit w:val="true"/>
        </w:trPr>
        <w:tc>
          <w:tcPr>
            <w:tcW w:type="dxa" w:w="9071"/>
            <w:shd w:fill="FFF2CC"/>
            <w:tcMar>
              <w:top w:w="140" w:type="dxa"/>
              <w:start w:w="180" w:type="dxa"/>
              <w:bottom w:w="140" w:type="dxa"/>
              <w:end w:w="180" w:type="dxa"/>
            </w:tcMar>
            <w:tcBorders>
              <w:top w:val="nil"/>
              <w:left w:val="single" w:sz="28" w:color="BF9000"/>
              <w:bottom w:val="nil"/>
              <w:right w:val="nil"/>
            </w:tcBorders>
          </w:tcPr>
          <w:p>
            <w:pPr>
              <w:spacing w:after="60"/>
            </w:pPr>
            <w:r>
              <w:rPr>
                <w:rFonts w:ascii="Noto Sans CJK KR" w:hAnsi="Noto Sans CJK KR" w:eastAsia="Noto Sans CJK KR"/>
                <w:b/>
                <w:color w:val="17365D"/>
                <w:sz w:val="21"/>
              </w:rPr>
              <w:t>실무상 가장 중요한 통제</w:t>
            </w:r>
          </w:p>
          <w:p>
            <w:pPr>
              <w:spacing w:after="0" w:line="317" w:lineRule="auto"/>
            </w:pPr>
            <w:r>
              <w:rPr>
                <w:rFonts w:ascii="Noto Sans CJK KR" w:hAnsi="Noto Sans CJK KR" w:eastAsia="Noto Sans CJK KR"/>
                <w:color w:val="222222"/>
                <w:sz w:val="19"/>
              </w:rPr>
              <w:t>판매자 직원의 원격조작, 판매자 서버의 브라우저 제어, 쿠키·토큰 업로드, 자동 로그인 기능을 추가하면 현재의 낮은 위험 평가가 유지되기 어렵습니다.</w:t>
            </w:r>
          </w:p>
        </w:tc>
      </w:tr>
    </w:tbl>
    <w:p>
      <w:pPr>
        <w:spacing w:after="0"/>
        <w:widowControl w:val="1"/>
      </w:pPr>
    </w:p>
    <w:p>
      <w:pPr>
        <w:keepNext/>
        <w:spacing w:before="200" w:after="100"/>
        <w:widowControl w:val="1"/>
      </w:pPr>
      <w:r>
        <w:rPr>
          <w:rFonts w:ascii="Noto Sans CJK KR" w:hAnsi="Noto Sans CJK KR" w:eastAsia="Noto Sans CJK KR"/>
          <w:b/>
          <w:color w:val="17365D"/>
          <w:sz w:val="24"/>
          <w:lang w:eastAsia="ko-KR"/>
        </w:rPr>
        <w:t>3.3 정상적 서비스 운영과 서버 부하</w:t>
      </w:r>
    </w:p>
    <w:p>
      <w:pPr>
        <w:spacing w:after="100" w:before="0" w:line="341" w:lineRule="auto"/>
        <w:jc w:val="both"/>
        <w:widowControl w:val="1"/>
      </w:pPr>
      <w:r>
        <w:rPr>
          <w:rFonts w:ascii="Noto Sans CJK KR" w:hAnsi="Noto Sans CJK KR" w:eastAsia="Noto Sans CJK KR"/>
          <w:b w:val="0"/>
          <w:i w:val="0"/>
          <w:color w:val="222222"/>
          <w:sz w:val="20"/>
          <w:lang w:eastAsia="ko-KR"/>
        </w:rPr>
        <w:t>자동화 요청 자체보다 실제 요청의 빈도·동시성·재시도 방식과 서비스에 미친 영향이 중요합니다. 대법원 2021도1533 판결은 “자동접속프로그램으로 서버에 부하를 일으켜 정상 서비스를 방해하는 행위”를 금지한 약관 조항이 자동접속 자체 또는 접근권한 자체를 제한하는 내용은 아니라고 보았습니다. 또한 컴퓨터등장애업무방해는 정보처리장치가 목적에 부합하는 기능을 하지 못하는 등 현실적인 장애가 발생해야 합니다. [판례 1, 판례 3]</w:t>
      </w:r>
    </w:p>
    <w:p>
      <w:pPr>
        <w:spacing w:after="100" w:before="0" w:line="341" w:lineRule="auto"/>
        <w:jc w:val="both"/>
        <w:widowControl w:val="1"/>
      </w:pPr>
      <w:r>
        <w:rPr>
          <w:rFonts w:ascii="Noto Sans CJK KR" w:hAnsi="Noto Sans CJK KR" w:eastAsia="Noto Sans CJK KR"/>
          <w:b w:val="0"/>
          <w:i w:val="0"/>
          <w:color w:val="222222"/>
          <w:sz w:val="20"/>
          <w:lang w:eastAsia="ko-KR"/>
        </w:rPr>
        <w:t>따라서 본 제품에는 사용자 수와 처리건수가 증가하더라도 서버 호출이 사람의 정상 이용 패턴을 현저하게 초과하지 않도록 기술적 상한을 고정해야 합니다. “고객이 설정에서 무제한으로 올릴 수 있는 구조”는 피하는 것이 안전합니다.</w:t>
      </w:r>
    </w:p>
    <w:p>
      <w:pPr>
        <w:keepNext/>
        <w:spacing w:before="200" w:after="100"/>
        <w:widowControl w:val="1"/>
      </w:pPr>
      <w:r>
        <w:rPr>
          <w:rFonts w:ascii="Noto Sans CJK KR" w:hAnsi="Noto Sans CJK KR" w:eastAsia="Noto Sans CJK KR"/>
          <w:b/>
          <w:color w:val="17365D"/>
          <w:sz w:val="24"/>
          <w:lang w:eastAsia="ko-KR"/>
        </w:rPr>
        <w:t>3.4 비공개 API·보안 우회</w:t>
      </w:r>
    </w:p>
    <w:p>
      <w:pPr>
        <w:spacing w:after="100" w:before="0" w:line="341" w:lineRule="auto"/>
        <w:jc w:val="both"/>
        <w:widowControl w:val="1"/>
      </w:pPr>
      <w:r>
        <w:rPr>
          <w:rFonts w:ascii="Noto Sans CJK KR" w:hAnsi="Noto Sans CJK KR" w:eastAsia="Noto Sans CJK KR"/>
          <w:b w:val="0"/>
          <w:i w:val="0"/>
          <w:color w:val="222222"/>
          <w:sz w:val="20"/>
          <w:lang w:eastAsia="ko-KR"/>
        </w:rPr>
        <w:t>본 구조는 내부 API나 비공개 기능을 호출하지 않고 보안절차를 우회하지 않으므로 관련 위험이 낮습니다. 대법원 2021도1533 사건에서는 비공개 API 주소와 명령구문을 알아내어 호출한 경우에도 당시 보호조치와 약관 등을 종합해 형사상 침입죄가 부정되었지만, 이 판결을 내부 API 사용의 일반적 허가로 해석해서는 안 됩니다. 본 제품이 공개 UI 방식만 유지하는 것이 더 안전합니다. [판례 1]</w:t>
      </w:r>
    </w:p>
    <w:p>
      <w:pPr>
        <w:keepNext/>
        <w:spacing w:before="200" w:after="100"/>
        <w:widowControl w:val="1"/>
      </w:pPr>
      <w:r>
        <w:rPr>
          <w:rFonts w:ascii="Noto Sans CJK KR" w:hAnsi="Noto Sans CJK KR" w:eastAsia="Noto Sans CJK KR"/>
          <w:b/>
          <w:color w:val="17365D"/>
          <w:sz w:val="24"/>
          <w:lang w:eastAsia="ko-KR"/>
        </w:rPr>
        <w:t>3.5 지식재산권·데이터베이스·성과도용</w:t>
      </w:r>
    </w:p>
    <w:p>
      <w:pPr>
        <w:spacing w:after="100" w:before="0" w:line="341" w:lineRule="auto"/>
        <w:jc w:val="both"/>
        <w:widowControl w:val="1"/>
      </w:pPr>
      <w:r>
        <w:rPr>
          <w:rFonts w:ascii="Noto Sans CJK KR" w:hAnsi="Noto Sans CJK KR" w:eastAsia="Noto Sans CJK KR"/>
          <w:b w:val="0"/>
          <w:i w:val="0"/>
          <w:color w:val="222222"/>
          <w:sz w:val="20"/>
          <w:lang w:eastAsia="ko-KR"/>
        </w:rPr>
        <w:t>화면에 표시된 정보를 업무 처리 목적으로 일시적으로 읽고 입력하는 것과, WEHAGO의 화면·코드·데이터베이스를 복제·저장·분석해 별도 사업자산으로 활용하는 것은 구별됩니다. 서울중앙지법 2018가합508729 판결은 경쟁사의 숙박정보를 장기간 대량 복제하고, IP 차단을 회피하며, 경쟁 영업전략에 활용한 행위를 성과도용형 부정경쟁행위로 인정하고 10억 원 손해배상을 명했습니다. [판례 5]</w:t>
      </w:r>
    </w:p>
    <w:p>
      <w:pPr>
        <w:spacing w:after="100" w:before="0" w:line="341" w:lineRule="auto"/>
        <w:jc w:val="both"/>
        <w:widowControl w:val="1"/>
      </w:pPr>
      <w:r>
        <w:rPr>
          <w:rFonts w:ascii="Noto Sans CJK KR" w:hAnsi="Noto Sans CJK KR" w:eastAsia="Noto Sans CJK KR"/>
          <w:b w:val="0"/>
          <w:i w:val="0"/>
          <w:color w:val="222222"/>
          <w:sz w:val="20"/>
          <w:lang w:eastAsia="ko-KR"/>
        </w:rPr>
        <w:t>본 구조는 WEHAGO의 정보나 업무규칙을 외부 DB로 축적하지 않고 경쟁서비스를 만들기 위한 데이터 수집도 하지 않으므로 위 판례와 차이가 큽니다. 그러나 고객사의 신고 데이터를 중앙 서버에 모으거나, WEHAGO 화면·코드값·오류규칙을 대규모로 수집하여 별도 상품화하면 리스크가 급격히 상승합니다.</w:t>
      </w:r>
    </w:p>
    <w:p>
      <w:pPr>
        <w:keepNext/>
        <w:spacing w:before="200" w:after="100"/>
        <w:widowControl w:val="1"/>
      </w:pPr>
      <w:r>
        <w:rPr>
          <w:rFonts w:ascii="Noto Sans CJK KR" w:hAnsi="Noto Sans CJK KR" w:eastAsia="Noto Sans CJK KR"/>
          <w:b/>
          <w:color w:val="17365D"/>
          <w:sz w:val="24"/>
          <w:lang w:eastAsia="ko-KR"/>
        </w:rPr>
        <w:t>3.6 개인정보 처리</w:t>
      </w:r>
    </w:p>
    <w:p>
      <w:pPr>
        <w:spacing w:after="100" w:before="0" w:line="341" w:lineRule="auto"/>
        <w:jc w:val="both"/>
        <w:widowControl w:val="1"/>
      </w:pPr>
      <w:r>
        <w:rPr>
          <w:rFonts w:ascii="Noto Sans CJK KR" w:hAnsi="Noto Sans CJK KR" w:eastAsia="Noto Sans CJK KR"/>
          <w:b w:val="0"/>
          <w:i w:val="0"/>
          <w:color w:val="222222"/>
          <w:sz w:val="20"/>
          <w:lang w:eastAsia="ko-KR"/>
        </w:rPr>
        <w:t>프로그램이 고객 PC에서만 실행되고 판매자가 원천세 데이터·화면·로그에 접근하지 않는다면, 판매자가 회계법인의 개인정보 처리 수탁자라고 평가될 가능성은 상대적으로 낮습니다. 반대로 원격지원, 자동 오류수집, 화면 캡처, 클라우드 OCR·AI, 신고서 업로드 등을 통해 판매자 서버가 개인정보를 처리하면 개인정보 보호법상 위탁관계와 안전성 확보 의무를 별도로 검토해야 합니다. 개인정보 보호법 시행령은 위탁업무의 목적·범위, 재위탁 제한, 접근 제한, 감독 및 책임 등에 관한 조치를 요구합니다. [법령 1]</w:t>
      </w:r>
    </w:p>
    <w:p>
      <w:pPr>
        <w:keepNext/>
        <w:spacing w:before="200" w:after="100"/>
        <w:widowControl w:val="1"/>
      </w:pPr>
      <w:r>
        <w:rPr>
          <w:rFonts w:ascii="Noto Sans CJK KR" w:hAnsi="Noto Sans CJK KR" w:eastAsia="Noto Sans CJK KR"/>
          <w:b/>
          <w:color w:val="17365D"/>
          <w:sz w:val="24"/>
          <w:lang w:eastAsia="ko-KR"/>
        </w:rPr>
        <w:t>3.7 최종 제출과 세무업무 책임</w:t>
      </w:r>
    </w:p>
    <w:p>
      <w:pPr>
        <w:spacing w:after="100" w:before="0" w:line="341" w:lineRule="auto"/>
        <w:jc w:val="both"/>
        <w:widowControl w:val="1"/>
      </w:pPr>
      <w:r>
        <w:rPr>
          <w:rFonts w:ascii="Noto Sans CJK KR" w:hAnsi="Noto Sans CJK KR" w:eastAsia="Noto Sans CJK KR"/>
          <w:b w:val="0"/>
          <w:i w:val="0"/>
          <w:color w:val="222222"/>
          <w:sz w:val="20"/>
          <w:lang w:eastAsia="ko-KR"/>
        </w:rPr>
        <w:t>자동화가 반복 입력을 수행하더라도 신고 대상과 세액의 적정성 판단 및 최종 제출은 회계법인의 권한 있는 담당자가 수행하도록 해야 합니다. 최종 확인은 단순한 형식적 팝업이 아니라, 실제 제출값을 요약 표시하고 사용자가 명시적으로 승인하는 절차여야 합니다. 가능하면 WEHAGO 자체 최종 제출 화면의 제출 버튼은 사람이 직접 누르도록 설계하는 것이 가장 보수적입니다.</w:t>
      </w:r>
    </w:p>
    <w:p>
      <w:pPr>
        <w:keepNext/>
        <w:spacing w:before="280" w:after="140" w:line="252" w:lineRule="auto"/>
        <w:pBdr>
          <w:bottom w:val="single" w:sz="8" w:space="4" w:color="2F75B5"/>
        </w:pBdr>
        <w:widowControl w:val="1"/>
      </w:pPr>
      <w:r>
        <w:rPr>
          <w:rFonts w:ascii="Noto Sans CJK KR" w:hAnsi="Noto Sans CJK KR" w:eastAsia="Noto Sans CJK KR"/>
          <w:b/>
          <w:color w:val="17365D"/>
          <w:sz w:val="31"/>
          <w:lang w:eastAsia="ko-KR"/>
        </w:rPr>
        <w:t>4. 더존의 공개 UI 기반 제3자 RPA 명시 금지 여부</w:t>
      </w:r>
    </w:p>
    <w:p>
      <w:pPr>
        <w:keepNext/>
        <w:spacing w:before="200" w:after="100"/>
        <w:widowControl w:val="1"/>
      </w:pPr>
      <w:r>
        <w:rPr>
          <w:rFonts w:ascii="Noto Sans CJK KR" w:hAnsi="Noto Sans CJK KR" w:eastAsia="Noto Sans CJK KR"/>
          <w:b/>
          <w:color w:val="17365D"/>
          <w:sz w:val="24"/>
          <w:lang w:eastAsia="ko-KR"/>
        </w:rPr>
        <w:t>4.1 공개 검색 결과</w:t>
      </w:r>
    </w:p>
    <w:tbl>
      <w:tblPr>
        <w:tblW w:type="auto" w:w="0"/>
        <w:jc w:val="center"/>
        <w:tblLook w:firstColumn="1" w:firstRow="1" w:lastColumn="0" w:lastRow="0" w:noHBand="0" w:noVBand="1" w:val="04A0"/>
        <w:tblLayout w:type="fixed"/>
      </w:tblPr>
      <w:tblGrid>
        <w:gridCol w:w="9858"/>
      </w:tblGrid>
      <w:tr>
        <w:trPr>
          <w:cantSplit w:val="true"/>
        </w:trPr>
        <w:tc>
          <w:tcPr>
            <w:tcW w:type="dxa" w:w="9071"/>
            <w:shd w:fill="E2F0D9"/>
            <w:tcMar>
              <w:top w:w="140" w:type="dxa"/>
              <w:start w:w="180" w:type="dxa"/>
              <w:bottom w:w="140" w:type="dxa"/>
              <w:end w:w="180" w:type="dxa"/>
            </w:tcMar>
            <w:tcBorders>
              <w:top w:val="nil"/>
              <w:left w:val="single" w:sz="28" w:color="548235"/>
              <w:bottom w:val="nil"/>
              <w:right w:val="nil"/>
            </w:tcBorders>
          </w:tcPr>
          <w:p>
            <w:pPr>
              <w:spacing w:after="60"/>
            </w:pPr>
            <w:r>
              <w:rPr>
                <w:rFonts w:ascii="Noto Sans CJK KR" w:hAnsi="Noto Sans CJK KR" w:eastAsia="Noto Sans CJK KR"/>
                <w:b/>
                <w:color w:val="17365D"/>
                <w:sz w:val="21"/>
              </w:rPr>
              <w:t>확인 결과</w:t>
            </w:r>
          </w:p>
          <w:p>
            <w:pPr>
              <w:spacing w:after="0" w:line="317" w:lineRule="auto"/>
            </w:pPr>
            <w:r>
              <w:rPr>
                <w:rFonts w:ascii="Noto Sans CJK KR" w:hAnsi="Noto Sans CJK KR" w:eastAsia="Noto Sans CJK KR"/>
                <w:color w:val="222222"/>
                <w:sz w:val="19"/>
              </w:rPr>
              <w:t>2026년 7월 10일 기준, 공개 검색 가능한 WEHAGO·WEHAGO T 정책 페이지와 고객센터 공지에서 공개 브라우저 UI를 조작하는 제3자 로컬 RPA를 포괄적으로 금지하는 명시 문구는 확인하지 못했습니다.</w:t>
            </w:r>
          </w:p>
        </w:tc>
      </w:tr>
    </w:tbl>
    <w:p>
      <w:pPr>
        <w:spacing w:after="0"/>
        <w:widowControl w:val="1"/>
      </w:pPr>
    </w:p>
    <w:p>
      <w:pPr>
        <w:spacing w:after="100" w:before="0" w:line="341" w:lineRule="auto"/>
        <w:jc w:val="both"/>
        <w:widowControl w:val="1"/>
      </w:pPr>
      <w:r>
        <w:rPr>
          <w:rFonts w:ascii="Noto Sans CJK KR" w:hAnsi="Noto Sans CJK KR" w:eastAsia="Noto Sans CJK KR"/>
          <w:b w:val="0"/>
          <w:i w:val="0"/>
          <w:color w:val="222222"/>
          <w:sz w:val="20"/>
          <w:lang w:eastAsia="ko-KR"/>
        </w:rPr>
        <w:t>검색 시 RPA, 로봇, 매크로, 자동화 프로그램, 자동접속프로그램, 크롤링, 스크래핑, 제3자 프로그램, 비정상 접속 등의 표현을 조합해 확인했습니다. 공식 문서에서는 일반적인 회원 의무, 서비스 이용정책 준수, 지식재산권, 서비스 제한, 개인정보 처리, 개별 서비스 약관 등이 확인되었으나, 본 보고서의 전제와 같은 로컬 UI 보조도구를 직접 지칭한 공개 금지문은 발견되지 않았습니다. [공식자료 1~4]</w:t>
      </w:r>
    </w:p>
    <w:p>
      <w:pPr>
        <w:keepNext/>
        <w:spacing w:before="200" w:after="100"/>
        <w:widowControl w:val="1"/>
      </w:pPr>
      <w:r>
        <w:rPr>
          <w:rFonts w:ascii="Noto Sans CJK KR" w:hAnsi="Noto Sans CJK KR" w:eastAsia="Noto Sans CJK KR"/>
          <w:b/>
          <w:color w:val="17365D"/>
          <w:sz w:val="24"/>
          <w:lang w:eastAsia="ko-KR"/>
        </w:rPr>
        <w:t>4.2 이 결과가 의미하지 않는 것</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더존비즈온이 해당 프로그램을 승인·인증했다는 의미가 아닙니다.</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로그인 사용자에게만 표시되는 공지나 개별 계약 특약이 없다는 의미가 아닙니다.</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향후 약관·운영정책이 변경되거나 개별 중단 통지가 발송되지 않는다는 보장이 아닙니다.</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WEHAGO가 자동화 패턴을 기술적으로 탐지·제한하지 않을 것이라는 보장이 아닙니다.</w:t>
      </w:r>
    </w:p>
    <w:p>
      <w:pPr>
        <w:keepNext/>
        <w:spacing w:before="200" w:after="100"/>
        <w:widowControl w:val="1"/>
      </w:pPr>
      <w:r>
        <w:rPr>
          <w:rFonts w:ascii="Noto Sans CJK KR" w:hAnsi="Noto Sans CJK KR" w:eastAsia="Noto Sans CJK KR"/>
          <w:b/>
          <w:color w:val="17365D"/>
          <w:sz w:val="24"/>
          <w:lang w:eastAsia="ko-KR"/>
        </w:rPr>
        <w:t>4.3 명시적 금지 회신을 받은 경우</w:t>
      </w:r>
    </w:p>
    <w:p>
      <w:pPr>
        <w:spacing w:after="100" w:before="0" w:line="341" w:lineRule="auto"/>
        <w:jc w:val="both"/>
        <w:widowControl w:val="1"/>
      </w:pPr>
      <w:r>
        <w:rPr>
          <w:rFonts w:ascii="Noto Sans CJK KR" w:hAnsi="Noto Sans CJK KR" w:eastAsia="Noto Sans CJK KR"/>
          <w:b w:val="0"/>
          <w:i w:val="0"/>
          <w:color w:val="222222"/>
          <w:sz w:val="20"/>
          <w:lang w:eastAsia="ko-KR"/>
        </w:rPr>
        <w:t>더존비즈온이 “공식 제휴 또는 API 지원이 어렵다”고 답변한 경우와 “공개 UI를 포함한 모든 외부 자동화의 사용·판매를 금지한다”고 답변한 경우는 법적 의미가 다릅니다. 후자의 경우 회계법인은 운영정책 또는 개별 통지를 인식한 상태가 되므로, 약관 본문에 RPA라는 단어가 없어도 계정 제한·계약해지·사용중단 요구의 위험이 크게 증가합니다.</w:t>
      </w:r>
    </w:p>
    <w:tbl>
      <w:tblPr>
        <w:tblW w:type="auto" w:w="0"/>
        <w:jc w:val="center"/>
        <w:tblLayout w:type="fixed"/>
        <w:tblLook w:firstColumn="1" w:firstRow="1" w:lastColumn="0" w:lastRow="0" w:noHBand="0" w:noVBand="1" w:val="04A0"/>
      </w:tblPr>
      <w:tblGrid>
        <w:gridCol w:w="3286"/>
        <w:gridCol w:w="3286"/>
        <w:gridCol w:w="3286"/>
      </w:tblGrid>
      <w:tr>
        <w:trPr>
          <w:tblHeader w:val="true"/>
          <w:cantSplit w:val="true"/>
        </w:trPr>
        <w:tc>
          <w:tcPr>
            <w:tcW w:type="dxa" w:w="3118"/>
            <w:shd w:fill="17365D"/>
            <w:tcMar>
              <w:top w:w="110" w:type="dxa"/>
              <w:start w:w="100" w:type="dxa"/>
              <w:bottom w:w="110" w:type="dxa"/>
              <w:end w:w="100" w:type="dxa"/>
            </w:tcMar>
            <w:tcBorders>
              <w:top w:val="single" w:sz="4" w:color="B4C6E7"/>
              <w:left w:val="single" w:sz="4" w:color="B4C6E7"/>
              <w:bottom w:val="single" w:sz="4" w:color="B4C6E7"/>
              <w:right w:val="single" w:sz="4" w:color="B4C6E7"/>
            </w:tcBorders>
            <w:vAlign w:val="center"/>
          </w:tcPr>
          <w:p>
            <w:pPr>
              <w:spacing w:after="0"/>
              <w:jc w:val="center"/>
            </w:pPr>
            <w:r>
              <w:rPr>
                <w:rFonts w:ascii="Noto Sans CJK KR" w:hAnsi="Noto Sans CJK KR" w:eastAsia="Noto Sans CJK KR"/>
                <w:b/>
                <w:color w:val="FFFFFF"/>
                <w:sz w:val="17"/>
              </w:rPr>
              <w:t>회신 문구 유형</w:t>
            </w:r>
          </w:p>
        </w:tc>
        <w:tc>
          <w:tcPr>
            <w:tcW w:type="dxa" w:w="4535"/>
            <w:shd w:fill="17365D"/>
            <w:tcMar>
              <w:top w:w="110" w:type="dxa"/>
              <w:start w:w="100" w:type="dxa"/>
              <w:bottom w:w="110" w:type="dxa"/>
              <w:end w:w="100" w:type="dxa"/>
            </w:tcMar>
            <w:tcBorders>
              <w:top w:val="single" w:sz="4" w:color="B4C6E7"/>
              <w:left w:val="single" w:sz="4" w:color="B4C6E7"/>
              <w:bottom w:val="single" w:sz="4" w:color="B4C6E7"/>
              <w:right w:val="single" w:sz="4" w:color="B4C6E7"/>
            </w:tcBorders>
            <w:vAlign w:val="center"/>
          </w:tcPr>
          <w:p>
            <w:pPr>
              <w:spacing w:after="0"/>
              <w:jc w:val="center"/>
            </w:pPr>
            <w:r>
              <w:rPr>
                <w:rFonts w:ascii="Noto Sans CJK KR" w:hAnsi="Noto Sans CJK KR" w:eastAsia="Noto Sans CJK KR"/>
                <w:b/>
                <w:color w:val="FFFFFF"/>
                <w:sz w:val="17"/>
              </w:rPr>
              <w:t>해석</w:t>
            </w:r>
          </w:p>
        </w:tc>
        <w:tc>
          <w:tcPr>
            <w:tcW w:type="dxa" w:w="1417"/>
            <w:shd w:fill="17365D"/>
            <w:tcMar>
              <w:top w:w="110" w:type="dxa"/>
              <w:start w:w="100" w:type="dxa"/>
              <w:bottom w:w="110" w:type="dxa"/>
              <w:end w:w="100" w:type="dxa"/>
            </w:tcMar>
            <w:tcBorders>
              <w:top w:val="single" w:sz="4" w:color="B4C6E7"/>
              <w:left w:val="single" w:sz="4" w:color="B4C6E7"/>
              <w:bottom w:val="single" w:sz="4" w:color="B4C6E7"/>
              <w:right w:val="single" w:sz="4" w:color="B4C6E7"/>
            </w:tcBorders>
            <w:vAlign w:val="center"/>
          </w:tcPr>
          <w:p>
            <w:pPr>
              <w:spacing w:after="0"/>
              <w:jc w:val="center"/>
            </w:pPr>
            <w:r>
              <w:rPr>
                <w:rFonts w:ascii="Noto Sans CJK KR" w:hAnsi="Noto Sans CJK KR" w:eastAsia="Noto Sans CJK KR"/>
                <w:b/>
                <w:color w:val="FFFFFF"/>
                <w:sz w:val="17"/>
              </w:rPr>
              <w:t>위험도</w:t>
            </w:r>
          </w:p>
        </w:tc>
      </w:tr>
      <w:tr>
        <w:trPr>
          <w:cantSplit w:val="true"/>
          <w:trHeight w:hRule="atLeast"/>
        </w:trPr>
        <w:tc>
          <w:tcPr>
            <w:tcW w:type="dxa" w:w="3286"/>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공식 제휴·인증을 제공하지 않음</w:t>
            </w:r>
          </w:p>
        </w:tc>
        <w:tc>
          <w:tcPr>
            <w:tcW w:type="dxa" w:w="3286"/>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공식성·지원·호환성 보증 거절. 자동화 자체의 금지와는 구별 필요.</w:t>
            </w:r>
          </w:p>
        </w:tc>
        <w:tc>
          <w:tcPr>
            <w:tcW w:type="dxa" w:w="3286"/>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낮음~중간</w:t>
            </w:r>
          </w:p>
        </w:tc>
      </w:tr>
      <w:tr>
        <w:trPr>
          <w:cantSplit w:val="true"/>
          <w:trHeight w:hRule="atLeast"/>
        </w:trPr>
        <w:tc>
          <w:tcPr>
            <w:tcW w:type="dxa" w:w="3286"/>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API 또는 기술지원을 제공하지 않음</w:t>
            </w:r>
          </w:p>
        </w:tc>
        <w:tc>
          <w:tcPr>
            <w:tcW w:type="dxa" w:w="3286"/>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내부 연동을 지원하지 않는다는 의미. 공개 UI RPA는 별도 확인 필요.</w:t>
            </w:r>
          </w:p>
        </w:tc>
        <w:tc>
          <w:tcPr>
            <w:tcW w:type="dxa" w:w="3286"/>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낮음~중간</w:t>
            </w:r>
          </w:p>
        </w:tc>
      </w:tr>
      <w:tr>
        <w:trPr>
          <w:cantSplit w:val="true"/>
          <w:trHeight w:hRule="atLeast"/>
        </w:trPr>
        <w:tc>
          <w:tcPr>
            <w:tcW w:type="dxa" w:w="3286"/>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비공개 API·보안 우회 금지</w:t>
            </w:r>
          </w:p>
        </w:tc>
        <w:tc>
          <w:tcPr>
            <w:tcW w:type="dxa" w:w="3286"/>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현재 전제 구조에는 직접 해당하지 않음.</w:t>
            </w:r>
          </w:p>
        </w:tc>
        <w:tc>
          <w:tcPr>
            <w:tcW w:type="dxa" w:w="3286"/>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낮음</w:t>
            </w:r>
          </w:p>
        </w:tc>
      </w:tr>
      <w:tr>
        <w:trPr>
          <w:cantSplit w:val="true"/>
          <w:trHeight w:hRule="atLeast"/>
        </w:trPr>
        <w:tc>
          <w:tcPr>
            <w:tcW w:type="dxa" w:w="3286"/>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서버 부하 유발 자동접속 금지</w:t>
            </w:r>
          </w:p>
        </w:tc>
        <w:tc>
          <w:tcPr>
            <w:tcW w:type="dxa" w:w="3286"/>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요청량·동시성·재시도 통제로 대응 가능.</w:t>
            </w:r>
          </w:p>
        </w:tc>
        <w:tc>
          <w:tcPr>
            <w:tcW w:type="dxa" w:w="3286"/>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중간</w:t>
            </w:r>
          </w:p>
        </w:tc>
      </w:tr>
      <w:tr>
        <w:trPr>
          <w:cantSplit w:val="true"/>
          <w:trHeight w:hRule="atLeast"/>
        </w:trPr>
        <w:tc>
          <w:tcPr>
            <w:tcW w:type="dxa" w:w="3286"/>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공개 UI 포함 모든 제3자 자동화 금지</w:t>
            </w:r>
          </w:p>
        </w:tc>
        <w:tc>
          <w:tcPr>
            <w:tcW w:type="dxa" w:w="3286"/>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개별 통지·운영정책 위반 주장과 계정 제한 위험.</w:t>
            </w:r>
          </w:p>
        </w:tc>
        <w:tc>
          <w:tcPr>
            <w:tcW w:type="dxa" w:w="3286"/>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중간~높음</w:t>
            </w:r>
          </w:p>
        </w:tc>
      </w:tr>
    </w:tbl>
    <w:p>
      <w:pPr>
        <w:spacing w:after="20"/>
        <w:widowControl w:val="1"/>
      </w:pPr>
    </w:p>
    <w:p>
      <w:pPr>
        <w:keepNext/>
        <w:spacing w:before="280" w:after="140" w:line="252" w:lineRule="auto"/>
        <w:pBdr>
          <w:bottom w:val="single" w:sz="8" w:space="4" w:color="2F75B5"/>
        </w:pBdr>
        <w:widowControl w:val="1"/>
      </w:pPr>
      <w:r>
        <w:rPr>
          <w:rFonts w:ascii="Noto Sans CJK KR" w:hAnsi="Noto Sans CJK KR" w:eastAsia="Noto Sans CJK KR"/>
          <w:b/>
          <w:color w:val="17365D"/>
          <w:sz w:val="31"/>
          <w:lang w:eastAsia="ko-KR"/>
        </w:rPr>
        <w:t>5. 유사 판례 분석</w:t>
      </w:r>
    </w:p>
    <w:p>
      <w:pPr>
        <w:keepNext/>
        <w:spacing w:before="200" w:after="100"/>
        <w:widowControl w:val="1"/>
      </w:pPr>
      <w:r>
        <w:rPr>
          <w:rFonts w:ascii="Noto Sans CJK KR" w:hAnsi="Noto Sans CJK KR" w:eastAsia="Noto Sans CJK KR"/>
          <w:b/>
          <w:color w:val="17365D"/>
          <w:sz w:val="24"/>
          <w:lang w:eastAsia="ko-KR"/>
        </w:rPr>
        <w:t>5.1 판례 요약표</w:t>
      </w:r>
    </w:p>
    <w:tbl>
      <w:tblPr>
        <w:tblW w:type="auto" w:w="0"/>
        <w:jc w:val="center"/>
        <w:tblLayout w:type="fixed"/>
        <w:tblLook w:firstColumn="1" w:firstRow="1" w:lastColumn="0" w:lastRow="0" w:noHBand="0" w:noVBand="1" w:val="04A0"/>
      </w:tblPr>
      <w:tblGrid>
        <w:gridCol w:w="2464"/>
        <w:gridCol w:w="2464"/>
        <w:gridCol w:w="2464"/>
        <w:gridCol w:w="2464"/>
      </w:tblGrid>
      <w:tr>
        <w:trPr>
          <w:tblHeader w:val="true"/>
          <w:cantSplit w:val="true"/>
        </w:trPr>
        <w:tc>
          <w:tcPr>
            <w:tcW w:type="dxa" w:w="2324"/>
            <w:shd w:fill="17365D"/>
            <w:tcMar>
              <w:top w:w="110" w:type="dxa"/>
              <w:start w:w="100" w:type="dxa"/>
              <w:bottom w:w="110" w:type="dxa"/>
              <w:end w:w="100" w:type="dxa"/>
            </w:tcMar>
            <w:tcBorders>
              <w:top w:val="single" w:sz="4" w:color="B4C6E7"/>
              <w:left w:val="single" w:sz="4" w:color="B4C6E7"/>
              <w:bottom w:val="single" w:sz="4" w:color="B4C6E7"/>
              <w:right w:val="single" w:sz="4" w:color="B4C6E7"/>
            </w:tcBorders>
            <w:vAlign w:val="center"/>
          </w:tcPr>
          <w:p>
            <w:pPr>
              <w:spacing w:after="0"/>
              <w:jc w:val="center"/>
            </w:pPr>
            <w:r>
              <w:rPr>
                <w:rFonts w:ascii="Noto Sans CJK KR" w:hAnsi="Noto Sans CJK KR" w:eastAsia="Noto Sans CJK KR"/>
                <w:b/>
                <w:color w:val="FFFFFF"/>
                <w:sz w:val="16"/>
              </w:rPr>
              <w:t>판례</w:t>
            </w:r>
          </w:p>
        </w:tc>
        <w:tc>
          <w:tcPr>
            <w:tcW w:type="dxa" w:w="1984"/>
            <w:shd w:fill="17365D"/>
            <w:tcMar>
              <w:top w:w="110" w:type="dxa"/>
              <w:start w:w="100" w:type="dxa"/>
              <w:bottom w:w="110" w:type="dxa"/>
              <w:end w:w="100" w:type="dxa"/>
            </w:tcMar>
            <w:tcBorders>
              <w:top w:val="single" w:sz="4" w:color="B4C6E7"/>
              <w:left w:val="single" w:sz="4" w:color="B4C6E7"/>
              <w:bottom w:val="single" w:sz="4" w:color="B4C6E7"/>
              <w:right w:val="single" w:sz="4" w:color="B4C6E7"/>
            </w:tcBorders>
            <w:vAlign w:val="center"/>
          </w:tcPr>
          <w:p>
            <w:pPr>
              <w:spacing w:after="0"/>
              <w:jc w:val="center"/>
            </w:pPr>
            <w:r>
              <w:rPr>
                <w:rFonts w:ascii="Noto Sans CJK KR" w:hAnsi="Noto Sans CJK KR" w:eastAsia="Noto Sans CJK KR"/>
                <w:b/>
                <w:color w:val="FFFFFF"/>
                <w:sz w:val="16"/>
              </w:rPr>
              <w:t>핵심 쟁점</w:t>
            </w:r>
          </w:p>
        </w:tc>
        <w:tc>
          <w:tcPr>
            <w:tcW w:type="dxa" w:w="3118"/>
            <w:shd w:fill="17365D"/>
            <w:tcMar>
              <w:top w:w="110" w:type="dxa"/>
              <w:start w:w="100" w:type="dxa"/>
              <w:bottom w:w="110" w:type="dxa"/>
              <w:end w:w="100" w:type="dxa"/>
            </w:tcMar>
            <w:tcBorders>
              <w:top w:val="single" w:sz="4" w:color="B4C6E7"/>
              <w:left w:val="single" w:sz="4" w:color="B4C6E7"/>
              <w:bottom w:val="single" w:sz="4" w:color="B4C6E7"/>
              <w:right w:val="single" w:sz="4" w:color="B4C6E7"/>
            </w:tcBorders>
            <w:vAlign w:val="center"/>
          </w:tcPr>
          <w:p>
            <w:pPr>
              <w:spacing w:after="0"/>
              <w:jc w:val="center"/>
            </w:pPr>
            <w:r>
              <w:rPr>
                <w:rFonts w:ascii="Noto Sans CJK KR" w:hAnsi="Noto Sans CJK KR" w:eastAsia="Noto Sans CJK KR"/>
                <w:b/>
                <w:color w:val="FFFFFF"/>
                <w:sz w:val="16"/>
              </w:rPr>
              <w:t>판단 요지</w:t>
            </w:r>
          </w:p>
        </w:tc>
        <w:tc>
          <w:tcPr>
            <w:tcW w:type="dxa" w:w="1644"/>
            <w:shd w:fill="17365D"/>
            <w:tcMar>
              <w:top w:w="110" w:type="dxa"/>
              <w:start w:w="100" w:type="dxa"/>
              <w:bottom w:w="110" w:type="dxa"/>
              <w:end w:w="100" w:type="dxa"/>
            </w:tcMar>
            <w:tcBorders>
              <w:top w:val="single" w:sz="4" w:color="B4C6E7"/>
              <w:left w:val="single" w:sz="4" w:color="B4C6E7"/>
              <w:bottom w:val="single" w:sz="4" w:color="B4C6E7"/>
              <w:right w:val="single" w:sz="4" w:color="B4C6E7"/>
            </w:tcBorders>
            <w:vAlign w:val="center"/>
          </w:tcPr>
          <w:p>
            <w:pPr>
              <w:spacing w:after="0"/>
              <w:jc w:val="center"/>
            </w:pPr>
            <w:r>
              <w:rPr>
                <w:rFonts w:ascii="Noto Sans CJK KR" w:hAnsi="Noto Sans CJK KR" w:eastAsia="Noto Sans CJK KR"/>
                <w:b/>
                <w:color w:val="FFFFFF"/>
                <w:sz w:val="16"/>
              </w:rPr>
              <w:t>본 제품에 대한 의미</w:t>
            </w:r>
          </w:p>
        </w:tc>
      </w:tr>
      <w:tr>
        <w:trPr>
          <w:cantSplit w:val="true"/>
          <w:trHeight w:hRule="atLeast"/>
        </w:trPr>
        <w:tc>
          <w:tcPr>
            <w:tcW w:type="dxa" w:w="2464"/>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대법원 2022.5.12. 2021도1533</w:t>
            </w:r>
          </w:p>
        </w:tc>
        <w:tc>
          <w:tcPr>
            <w:tcW w:type="dxa" w:w="2464"/>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API 크롤링·접근권한·DB·업무방해</w:t>
            </w:r>
          </w:p>
        </w:tc>
        <w:tc>
          <w:tcPr>
            <w:tcW w:type="dxa" w:w="2464"/>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접근 제한은 보호조치·약관 등 객관적 사정을 종합. 서버부하 금지 조항만으로 접근권한 제한은 아님. 현실적 장애 필요.</w:t>
            </w:r>
          </w:p>
        </w:tc>
        <w:tc>
          <w:tcPr>
            <w:tcW w:type="dxa" w:w="2464"/>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유리하나 약관상 허가를 의미하지 않음</w:t>
            </w:r>
          </w:p>
        </w:tc>
      </w:tr>
      <w:tr>
        <w:trPr>
          <w:cantSplit w:val="true"/>
          <w:trHeight w:hRule="atLeast"/>
        </w:trPr>
        <w:tc>
          <w:tcPr>
            <w:tcW w:type="dxa" w:w="2464"/>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대법원 2005.11.25. 2005도870</w:t>
            </w:r>
          </w:p>
        </w:tc>
        <w:tc>
          <w:tcPr>
            <w:tcW w:type="dxa" w:w="2464"/>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타인 계정 사용과 접근권한</w:t>
            </w:r>
          </w:p>
        </w:tc>
        <w:tc>
          <w:tcPr>
            <w:tcW w:type="dxa" w:w="2464"/>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계정 명의자의 동의만으로 제3자 권한이 당연히 생기지 않음. 다만 단순 사실행위 대행 예외 가능.</w:t>
            </w:r>
          </w:p>
        </w:tc>
        <w:tc>
          <w:tcPr>
            <w:tcW w:type="dxa" w:w="2464"/>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직접 로그인 구조가 매우 중요</w:t>
            </w:r>
          </w:p>
        </w:tc>
      </w:tr>
      <w:tr>
        <w:trPr>
          <w:cantSplit w:val="true"/>
          <w:trHeight w:hRule="atLeast"/>
        </w:trPr>
        <w:tc>
          <w:tcPr>
            <w:tcW w:type="dxa" w:w="2464"/>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서울중앙지법 2009.12.18. 2009노677</w:t>
            </w:r>
          </w:p>
        </w:tc>
        <w:tc>
          <w:tcPr>
            <w:tcW w:type="dxa" w:w="2464"/>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공개 홈페이지 자동접속</w:t>
            </w:r>
          </w:p>
        </w:tc>
        <w:tc>
          <w:tcPr>
            <w:tcW w:type="dxa" w:w="2464"/>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로그인 제한 없는 공개 영역에 5초 간격 자동접속한 사실만으로 침입 부정. 현실적 장애 별도 판단.</w:t>
            </w:r>
          </w:p>
        </w:tc>
        <w:tc>
          <w:tcPr>
            <w:tcW w:type="dxa" w:w="2464"/>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자동화 자체가 침입은 아니라는 보조 근거</w:t>
            </w:r>
          </w:p>
        </w:tc>
      </w:tr>
      <w:tr>
        <w:trPr>
          <w:cantSplit w:val="true"/>
          <w:trHeight w:hRule="atLeast"/>
        </w:trPr>
        <w:tc>
          <w:tcPr>
            <w:tcW w:type="dxa" w:w="2464"/>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의정부지법 2017.9.11. 2017노309</w:t>
            </w:r>
          </w:p>
        </w:tc>
        <w:tc>
          <w:tcPr>
            <w:tcW w:type="dxa" w:w="2464"/>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자동프로그램 판매·악성프로그램</w:t>
            </w:r>
          </w:p>
        </w:tc>
        <w:tc>
          <w:tcPr>
            <w:tcW w:type="dxa" w:w="2464"/>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정상 이용보다 5~500배 부하를 발생시킨 자동프로그램도 증거만으로 악성프로그램에 해당한다고 보기 어렵다고 판단.</w:t>
            </w:r>
          </w:p>
        </w:tc>
        <w:tc>
          <w:tcPr>
            <w:tcW w:type="dxa" w:w="2464"/>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판매 자체가 곧 불법은 아님. 하급심·사안 차이 주의</w:t>
            </w:r>
          </w:p>
        </w:tc>
      </w:tr>
      <w:tr>
        <w:trPr>
          <w:cantSplit w:val="true"/>
          <w:trHeight w:hRule="atLeast"/>
        </w:trPr>
        <w:tc>
          <w:tcPr>
            <w:tcW w:type="dxa" w:w="2464"/>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서울중앙지법 2021.8.19. 2018가합508729</w:t>
            </w:r>
          </w:p>
        </w:tc>
        <w:tc>
          <w:tcPr>
            <w:tcW w:type="dxa" w:w="2464"/>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대량 크롤링·성과도용</w:t>
            </w:r>
          </w:p>
        </w:tc>
        <w:tc>
          <w:tcPr>
            <w:tcW w:type="dxa" w:w="2464"/>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대량 복제, IP 차단 회피, 경쟁영업 활용을 부정경쟁행위로 인정하고 10억 원 배상.</w:t>
            </w:r>
          </w:p>
        </w:tc>
        <w:tc>
          <w:tcPr>
            <w:tcW w:type="dxa" w:w="2464"/>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데이터 축적·우회·경쟁 활용은 금지선</w:t>
            </w:r>
          </w:p>
        </w:tc>
      </w:tr>
    </w:tbl>
    <w:p>
      <w:pPr>
        <w:spacing w:after="20"/>
        <w:widowControl w:val="1"/>
      </w:pPr>
    </w:p>
    <w:p>
      <w:pPr>
        <w:keepNext/>
        <w:spacing w:before="200" w:after="100"/>
        <w:widowControl w:val="1"/>
      </w:pPr>
      <w:r>
        <w:rPr>
          <w:rFonts w:ascii="Noto Sans CJK KR" w:hAnsi="Noto Sans CJK KR" w:eastAsia="Noto Sans CJK KR"/>
          <w:b/>
          <w:color w:val="17365D"/>
          <w:sz w:val="24"/>
          <w:lang w:eastAsia="ko-KR"/>
        </w:rPr>
        <w:t>5.2 대법원 2021도1533의 적용</w:t>
      </w:r>
    </w:p>
    <w:p>
      <w:pPr>
        <w:spacing w:after="100" w:before="0" w:line="341" w:lineRule="auto"/>
        <w:jc w:val="both"/>
        <w:widowControl w:val="1"/>
      </w:pPr>
      <w:r>
        <w:rPr>
          <w:rFonts w:ascii="Noto Sans CJK KR" w:hAnsi="Noto Sans CJK KR" w:eastAsia="Noto Sans CJK KR"/>
          <w:b w:val="0"/>
          <w:i w:val="0"/>
          <w:color w:val="222222"/>
          <w:sz w:val="20"/>
          <w:lang w:eastAsia="ko-KR"/>
        </w:rPr>
        <w:t>이 판례는 자동화 프로그램을 사용했다는 사실만으로 정보통신망 침입이나 업무방해가 성립하는 것은 아니라는 점을 보여줍니다. 접근권한 제한 여부는 서비스 제공자의 보호조치와 이용약관 등 객관적 사정을 종합해 판단하며, 실제 서비스 장애가 발생했는지도 중요합니다. 본 제품은 판례 사안보다 보수적으로 내부 API를 사용하지 않고, 사용자가 직접 로그인하며, 요청량을 제한합니다. 따라서 형사상 부정접속·장애업무방해 위험을 낮추는 요소가 많습니다. [판례 1]</w:t>
      </w:r>
    </w:p>
    <w:p>
      <w:pPr>
        <w:spacing w:after="100" w:before="0" w:line="341" w:lineRule="auto"/>
        <w:jc w:val="both"/>
        <w:widowControl w:val="1"/>
      </w:pPr>
      <w:r>
        <w:rPr>
          <w:rFonts w:ascii="Noto Sans CJK KR" w:hAnsi="Noto Sans CJK KR" w:eastAsia="Noto Sans CJK KR"/>
          <w:b w:val="0"/>
          <w:i w:val="0"/>
          <w:color w:val="222222"/>
          <w:sz w:val="20"/>
          <w:lang w:eastAsia="ko-KR"/>
        </w:rPr>
        <w:t>다만 이 판결은 형사책임에 관한 것으로, WEHAGO와 회원 사이의 계약상 약관 위반이나 계정 정지까지 면책하는 판결은 아닙니다.</w:t>
      </w:r>
    </w:p>
    <w:p>
      <w:pPr>
        <w:keepNext/>
        <w:spacing w:before="200" w:after="100"/>
        <w:widowControl w:val="1"/>
      </w:pPr>
      <w:r>
        <w:rPr>
          <w:rFonts w:ascii="Noto Sans CJK KR" w:hAnsi="Noto Sans CJK KR" w:eastAsia="Noto Sans CJK KR"/>
          <w:b/>
          <w:color w:val="17365D"/>
          <w:sz w:val="24"/>
          <w:lang w:eastAsia="ko-KR"/>
        </w:rPr>
        <w:t>5.3 대법원 2005도870의 적용</w:t>
      </w:r>
    </w:p>
    <w:p>
      <w:pPr>
        <w:spacing w:after="100" w:before="0" w:line="341" w:lineRule="auto"/>
        <w:jc w:val="both"/>
        <w:widowControl w:val="1"/>
      </w:pPr>
      <w:r>
        <w:rPr>
          <w:rFonts w:ascii="Noto Sans CJK KR" w:hAnsi="Noto Sans CJK KR" w:eastAsia="Noto Sans CJK KR"/>
          <w:b w:val="0"/>
          <w:i w:val="0"/>
          <w:color w:val="222222"/>
          <w:sz w:val="20"/>
          <w:lang w:eastAsia="ko-KR"/>
        </w:rPr>
        <w:t>제3자가 계정 명의자의 ID와 비밀번호를 사용하면 명의자의 동의만으로 정당한 접근권한이 생기는 것은 아니라는 판례입니다. 본 제품은 판매자나 프로그램이 별도 자격으로 로그인하지 않고, 정식 직원이 직접 인증한 브라우저에서 입력행위만 보조하므로 판례의 위험요소가 상당 부분 제거됩니다. [판례 2]</w:t>
      </w:r>
    </w:p>
    <w:p>
      <w:pPr>
        <w:keepNext/>
        <w:spacing w:before="200" w:after="100"/>
        <w:widowControl w:val="1"/>
      </w:pPr>
      <w:r>
        <w:rPr>
          <w:rFonts w:ascii="Noto Sans CJK KR" w:hAnsi="Noto Sans CJK KR" w:eastAsia="Noto Sans CJK KR"/>
          <w:b/>
          <w:color w:val="17365D"/>
          <w:sz w:val="24"/>
          <w:lang w:eastAsia="ko-KR"/>
        </w:rPr>
        <w:t>5.4 2017노309의 적용</w:t>
      </w:r>
    </w:p>
    <w:p>
      <w:pPr>
        <w:spacing w:after="100" w:before="0" w:line="341" w:lineRule="auto"/>
        <w:jc w:val="both"/>
        <w:widowControl w:val="1"/>
      </w:pPr>
      <w:r>
        <w:rPr>
          <w:rFonts w:ascii="Noto Sans CJK KR" w:hAnsi="Noto Sans CJK KR" w:eastAsia="Noto Sans CJK KR"/>
          <w:b w:val="0"/>
          <w:i w:val="0"/>
          <w:color w:val="222222"/>
          <w:sz w:val="20"/>
          <w:lang w:eastAsia="ko-KR"/>
        </w:rPr>
        <w:t>자동프로그램을 개발·유상 판매했다는 사실만으로 악성프로그램 유포가 되는 것은 아니라는 하급심 사례입니다. 다만 해당 프로그램은 대량 광고·메시지 전송 기능이 있었고 일부는 정상 이용보다 훨씬 높은 트래픽을 발생시켰으므로, 본 제품의 정당성을 직접 보장하는 판례라기보다 “자동화 판매 자체와 악성성이 동일하지 않다”는 제한적인 참고자료입니다. [판례 4]</w:t>
      </w:r>
    </w:p>
    <w:p>
      <w:pPr>
        <w:keepNext/>
        <w:spacing w:before="200" w:after="100"/>
        <w:widowControl w:val="1"/>
      </w:pPr>
      <w:r>
        <w:rPr>
          <w:rFonts w:ascii="Noto Sans CJK KR" w:hAnsi="Noto Sans CJK KR" w:eastAsia="Noto Sans CJK KR"/>
          <w:b/>
          <w:color w:val="17365D"/>
          <w:sz w:val="24"/>
          <w:lang w:eastAsia="ko-KR"/>
        </w:rPr>
        <w:t>5.5 야놀자·여기어때 민사판결의 경고선</w:t>
      </w:r>
    </w:p>
    <w:p>
      <w:pPr>
        <w:spacing w:after="100" w:before="0" w:line="341" w:lineRule="auto"/>
        <w:jc w:val="both"/>
        <w:widowControl w:val="1"/>
      </w:pPr>
      <w:r>
        <w:rPr>
          <w:rFonts w:ascii="Noto Sans CJK KR" w:hAnsi="Noto Sans CJK KR" w:eastAsia="Noto Sans CJK KR"/>
          <w:b w:val="0"/>
          <w:i w:val="0"/>
          <w:color w:val="222222"/>
          <w:sz w:val="20"/>
          <w:lang w:eastAsia="ko-KR"/>
        </w:rPr>
        <w:t>위 판결에서 책임이 인정된 핵심은 단순 자동화가 아니라 경쟁사의 대량 정보를 조직적·지속적으로 복제하고, 차단을 회피하며, 경쟁 영업전략 수립에 활용한 점입니다. 따라서 본 제품은 다음을 금지선으로 명문화해야 합니다. [판례 5]</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WEHAGO 또는 고객 신고 데이터를 판매자 중앙서버에 축적하는 기능</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화면·코드·오류규칙·업무흐름을 대량 수집하여 별도 데이터베이스로 상품화하는 행위</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자동화 차단 또는 세션 종료 후 IP·계정·브라우저 지문을 바꾸어 우회하는 기능</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서비스의 본래 업무처리 목적이 아닌 경쟁 분석·벤치마킹·서비스 복제 목적의 사용</w:t>
      </w:r>
    </w:p>
    <w:p>
      <w:pPr>
        <w:keepNext/>
        <w:spacing w:before="280" w:after="140" w:line="252" w:lineRule="auto"/>
        <w:pBdr>
          <w:bottom w:val="single" w:sz="8" w:space="4" w:color="2F75B5"/>
        </w:pBdr>
        <w:widowControl w:val="1"/>
      </w:pPr>
      <w:r>
        <w:rPr>
          <w:rFonts w:ascii="Noto Sans CJK KR" w:hAnsi="Noto Sans CJK KR" w:eastAsia="Noto Sans CJK KR"/>
          <w:b/>
          <w:color w:val="17365D"/>
          <w:sz w:val="31"/>
          <w:lang w:eastAsia="ko-KR"/>
        </w:rPr>
        <w:t>6. 최종 리스크 매트릭스</w:t>
      </w:r>
    </w:p>
    <w:tbl>
      <w:tblPr>
        <w:tblW w:type="auto" w:w="0"/>
        <w:jc w:val="center"/>
        <w:tblLayout w:type="fixed"/>
        <w:tblLook w:firstColumn="1" w:firstRow="1" w:lastColumn="0" w:lastRow="0" w:noHBand="0" w:noVBand="1" w:val="04A0"/>
      </w:tblPr>
      <w:tblGrid>
        <w:gridCol w:w="2464"/>
        <w:gridCol w:w="2464"/>
        <w:gridCol w:w="2464"/>
        <w:gridCol w:w="2464"/>
      </w:tblGrid>
      <w:tr>
        <w:trPr>
          <w:tblHeader w:val="true"/>
          <w:cantSplit w:val="true"/>
        </w:trPr>
        <w:tc>
          <w:tcPr>
            <w:tcW w:type="dxa" w:w="2098"/>
            <w:shd w:fill="17365D"/>
            <w:tcMar>
              <w:top w:w="110" w:type="dxa"/>
              <w:start w:w="100" w:type="dxa"/>
              <w:bottom w:w="110" w:type="dxa"/>
              <w:end w:w="100" w:type="dxa"/>
            </w:tcMar>
            <w:tcBorders>
              <w:top w:val="single" w:sz="4" w:color="B4C6E7"/>
              <w:left w:val="single" w:sz="4" w:color="B4C6E7"/>
              <w:bottom w:val="single" w:sz="4" w:color="B4C6E7"/>
              <w:right w:val="single" w:sz="4" w:color="B4C6E7"/>
            </w:tcBorders>
            <w:vAlign w:val="center"/>
          </w:tcPr>
          <w:p>
            <w:pPr>
              <w:spacing w:after="0"/>
              <w:jc w:val="center"/>
            </w:pPr>
            <w:r>
              <w:rPr>
                <w:rFonts w:ascii="Noto Sans CJK KR" w:hAnsi="Noto Sans CJK KR" w:eastAsia="Noto Sans CJK KR"/>
                <w:b/>
                <w:color w:val="FFFFFF"/>
                <w:sz w:val="16"/>
              </w:rPr>
              <w:t>위험 영역</w:t>
            </w:r>
          </w:p>
        </w:tc>
        <w:tc>
          <w:tcPr>
            <w:tcW w:type="dxa" w:w="1191"/>
            <w:shd w:fill="17365D"/>
            <w:tcMar>
              <w:top w:w="110" w:type="dxa"/>
              <w:start w:w="100" w:type="dxa"/>
              <w:bottom w:w="110" w:type="dxa"/>
              <w:end w:w="100" w:type="dxa"/>
            </w:tcMar>
            <w:tcBorders>
              <w:top w:val="single" w:sz="4" w:color="B4C6E7"/>
              <w:left w:val="single" w:sz="4" w:color="B4C6E7"/>
              <w:bottom w:val="single" w:sz="4" w:color="B4C6E7"/>
              <w:right w:val="single" w:sz="4" w:color="B4C6E7"/>
            </w:tcBorders>
            <w:vAlign w:val="center"/>
          </w:tcPr>
          <w:p>
            <w:pPr>
              <w:spacing w:after="0"/>
              <w:jc w:val="center"/>
            </w:pPr>
            <w:r>
              <w:rPr>
                <w:rFonts w:ascii="Noto Sans CJK KR" w:hAnsi="Noto Sans CJK KR" w:eastAsia="Noto Sans CJK KR"/>
                <w:b/>
                <w:color w:val="FFFFFF"/>
                <w:sz w:val="16"/>
              </w:rPr>
              <w:t>등급</w:t>
            </w:r>
          </w:p>
        </w:tc>
        <w:tc>
          <w:tcPr>
            <w:tcW w:type="dxa" w:w="3345"/>
            <w:shd w:fill="17365D"/>
            <w:tcMar>
              <w:top w:w="110" w:type="dxa"/>
              <w:start w:w="100" w:type="dxa"/>
              <w:bottom w:w="110" w:type="dxa"/>
              <w:end w:w="100" w:type="dxa"/>
            </w:tcMar>
            <w:tcBorders>
              <w:top w:val="single" w:sz="4" w:color="B4C6E7"/>
              <w:left w:val="single" w:sz="4" w:color="B4C6E7"/>
              <w:bottom w:val="single" w:sz="4" w:color="B4C6E7"/>
              <w:right w:val="single" w:sz="4" w:color="B4C6E7"/>
            </w:tcBorders>
            <w:vAlign w:val="center"/>
          </w:tcPr>
          <w:p>
            <w:pPr>
              <w:spacing w:after="0"/>
              <w:jc w:val="center"/>
            </w:pPr>
            <w:r>
              <w:rPr>
                <w:rFonts w:ascii="Noto Sans CJK KR" w:hAnsi="Noto Sans CJK KR" w:eastAsia="Noto Sans CJK KR"/>
                <w:b/>
                <w:color w:val="FFFFFF"/>
                <w:sz w:val="16"/>
              </w:rPr>
              <w:t>평가 근거</w:t>
            </w:r>
          </w:p>
        </w:tc>
        <w:tc>
          <w:tcPr>
            <w:tcW w:type="dxa" w:w="2438"/>
            <w:shd w:fill="17365D"/>
            <w:tcMar>
              <w:top w:w="110" w:type="dxa"/>
              <w:start w:w="100" w:type="dxa"/>
              <w:bottom w:w="110" w:type="dxa"/>
              <w:end w:w="100" w:type="dxa"/>
            </w:tcMar>
            <w:tcBorders>
              <w:top w:val="single" w:sz="4" w:color="B4C6E7"/>
              <w:left w:val="single" w:sz="4" w:color="B4C6E7"/>
              <w:bottom w:val="single" w:sz="4" w:color="B4C6E7"/>
              <w:right w:val="single" w:sz="4" w:color="B4C6E7"/>
            </w:tcBorders>
            <w:vAlign w:val="center"/>
          </w:tcPr>
          <w:p>
            <w:pPr>
              <w:spacing w:after="0"/>
              <w:jc w:val="center"/>
            </w:pPr>
            <w:r>
              <w:rPr>
                <w:rFonts w:ascii="Noto Sans CJK KR" w:hAnsi="Noto Sans CJK KR" w:eastAsia="Noto Sans CJK KR"/>
                <w:b/>
                <w:color w:val="FFFFFF"/>
                <w:sz w:val="16"/>
              </w:rPr>
              <w:t>필수 통제</w:t>
            </w:r>
          </w:p>
        </w:tc>
      </w:tr>
      <w:tr>
        <w:trPr>
          <w:cantSplit w:val="true"/>
          <w:trHeight w:hRule="atLeast"/>
        </w:trPr>
        <w:tc>
          <w:tcPr>
            <w:tcW w:type="dxa" w:w="2464"/>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계정 양도·제3자 무단접속</w:t>
            </w:r>
          </w:p>
        </w:tc>
        <w:tc>
          <w:tcPr>
            <w:tcW w:type="dxa" w:w="2464"/>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매우 낮음</w:t>
            </w:r>
          </w:p>
        </w:tc>
        <w:tc>
          <w:tcPr>
            <w:tcW w:type="dxa" w:w="2464"/>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정식 직원이 직접 로그인하고 인증정보·세션을 판매자가 보유하지 않음</w:t>
            </w:r>
          </w:p>
        </w:tc>
        <w:tc>
          <w:tcPr>
            <w:tcW w:type="dxa" w:w="2464"/>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원격조작·세션 업로드·자동로그인 금지</w:t>
            </w:r>
          </w:p>
        </w:tc>
      </w:tr>
      <w:tr>
        <w:trPr>
          <w:cantSplit w:val="true"/>
          <w:trHeight w:hRule="atLeast"/>
        </w:trPr>
        <w:tc>
          <w:tcPr>
            <w:tcW w:type="dxa" w:w="2464"/>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비공개 API·역분석</w:t>
            </w:r>
          </w:p>
        </w:tc>
        <w:tc>
          <w:tcPr>
            <w:tcW w:type="dxa" w:w="2464"/>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매우 낮음</w:t>
            </w:r>
          </w:p>
        </w:tc>
        <w:tc>
          <w:tcPr>
            <w:tcW w:type="dxa" w:w="2464"/>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브라우저 공개 UI 외 기능을 사용하지 않음</w:t>
            </w:r>
          </w:p>
        </w:tc>
        <w:tc>
          <w:tcPr>
            <w:tcW w:type="dxa" w:w="2464"/>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네트워크 요청 재현·토큰 추출 기능 금지</w:t>
            </w:r>
          </w:p>
        </w:tc>
      </w:tr>
      <w:tr>
        <w:trPr>
          <w:cantSplit w:val="true"/>
          <w:trHeight w:hRule="atLeast"/>
        </w:trPr>
        <w:tc>
          <w:tcPr>
            <w:tcW w:type="dxa" w:w="2464"/>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보안절차 우회</w:t>
            </w:r>
          </w:p>
        </w:tc>
        <w:tc>
          <w:tcPr>
            <w:tcW w:type="dxa" w:w="2464"/>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매우 낮음</w:t>
            </w:r>
          </w:p>
        </w:tc>
        <w:tc>
          <w:tcPr>
            <w:tcW w:type="dxa" w:w="2464"/>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CAPTCHA, MFA, IP 제한 등을 우회하지 않음</w:t>
            </w:r>
          </w:p>
        </w:tc>
        <w:tc>
          <w:tcPr>
            <w:tcW w:type="dxa" w:w="2464"/>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차단·추가인증 발생 시 자동 중단</w:t>
            </w:r>
          </w:p>
        </w:tc>
      </w:tr>
      <w:tr>
        <w:trPr>
          <w:cantSplit w:val="true"/>
          <w:trHeight w:hRule="atLeast"/>
        </w:trPr>
        <w:tc>
          <w:tcPr>
            <w:tcW w:type="dxa" w:w="2464"/>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서버 부하·운영방해</w:t>
            </w:r>
          </w:p>
        </w:tc>
        <w:tc>
          <w:tcPr>
            <w:tcW w:type="dxa" w:w="2464"/>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낮음</w:t>
            </w:r>
          </w:p>
        </w:tc>
        <w:tc>
          <w:tcPr>
            <w:tcW w:type="dxa" w:w="2464"/>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속도·물량·동시실행·재시도 제한</w:t>
            </w:r>
          </w:p>
        </w:tc>
        <w:tc>
          <w:tcPr>
            <w:tcW w:type="dxa" w:w="2464"/>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객관적 상한, 장애 감지, kill switch</w:t>
            </w:r>
          </w:p>
        </w:tc>
      </w:tr>
      <w:tr>
        <w:trPr>
          <w:cantSplit w:val="true"/>
          <w:trHeight w:hRule="atLeast"/>
        </w:trPr>
        <w:tc>
          <w:tcPr>
            <w:tcW w:type="dxa" w:w="2464"/>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약관의 포괄적 해석</w:t>
            </w:r>
          </w:p>
        </w:tc>
        <w:tc>
          <w:tcPr>
            <w:tcW w:type="dxa" w:w="2464"/>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낮음~중간</w:t>
            </w:r>
          </w:p>
        </w:tc>
        <w:tc>
          <w:tcPr>
            <w:tcW w:type="dxa" w:w="2464"/>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공개 문서상 RPA 직접 금지 미확인. 운영정책 준수조항은 존재 가능</w:t>
            </w:r>
          </w:p>
        </w:tc>
        <w:tc>
          <w:tcPr>
            <w:tcW w:type="dxa" w:w="2464"/>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정책 모니터링, 개별 회신 보관</w:t>
            </w:r>
          </w:p>
        </w:tc>
      </w:tr>
      <w:tr>
        <w:trPr>
          <w:cantSplit w:val="true"/>
          <w:trHeight w:hRule="atLeast"/>
        </w:trPr>
        <w:tc>
          <w:tcPr>
            <w:tcW w:type="dxa" w:w="2464"/>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지식재산권·DB·성과도용</w:t>
            </w:r>
          </w:p>
        </w:tc>
        <w:tc>
          <w:tcPr>
            <w:tcW w:type="dxa" w:w="2464"/>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낮음</w:t>
            </w:r>
          </w:p>
        </w:tc>
        <w:tc>
          <w:tcPr>
            <w:tcW w:type="dxa" w:w="2464"/>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화면·데이터를 복제·축적·경쟁 활용하지 않음</w:t>
            </w:r>
          </w:p>
        </w:tc>
        <w:tc>
          <w:tcPr>
            <w:tcW w:type="dxa" w:w="2464"/>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중앙 데이터 수집 및 콘텐츠 복제 금지</w:t>
            </w:r>
          </w:p>
        </w:tc>
      </w:tr>
      <w:tr>
        <w:trPr>
          <w:cantSplit w:val="true"/>
          <w:trHeight w:hRule="atLeast"/>
        </w:trPr>
        <w:tc>
          <w:tcPr>
            <w:tcW w:type="dxa" w:w="2464"/>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개인정보 처리위탁</w:t>
            </w:r>
          </w:p>
        </w:tc>
        <w:tc>
          <w:tcPr>
            <w:tcW w:type="dxa" w:w="2464"/>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낮음</w:t>
            </w:r>
          </w:p>
        </w:tc>
        <w:tc>
          <w:tcPr>
            <w:tcW w:type="dxa" w:w="2464"/>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완전 로컬·외부 전송 없음이라는 전제</w:t>
            </w:r>
          </w:p>
        </w:tc>
        <w:tc>
          <w:tcPr>
            <w:tcW w:type="dxa" w:w="2464"/>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텔레메트리·원격지원·캡처 정기 점검</w:t>
            </w:r>
          </w:p>
        </w:tc>
      </w:tr>
      <w:tr>
        <w:trPr>
          <w:cantSplit w:val="true"/>
          <w:trHeight w:hRule="atLeast"/>
        </w:trPr>
        <w:tc>
          <w:tcPr>
            <w:tcW w:type="dxa" w:w="2464"/>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오신고·고객 손해배상</w:t>
            </w:r>
          </w:p>
        </w:tc>
        <w:tc>
          <w:tcPr>
            <w:tcW w:type="dxa" w:w="2464"/>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중간~높음</w:t>
            </w:r>
          </w:p>
        </w:tc>
        <w:tc>
          <w:tcPr>
            <w:tcW w:type="dxa" w:w="2464"/>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사람 확인으로 낮아지나 신고기한·세액 오류 손해 가능</w:t>
            </w:r>
          </w:p>
        </w:tc>
        <w:tc>
          <w:tcPr>
            <w:tcW w:type="dxa" w:w="2464"/>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검증화면, 감사로그, 책임배분, 수동대체절차</w:t>
            </w:r>
          </w:p>
        </w:tc>
      </w:tr>
      <w:tr>
        <w:trPr>
          <w:cantSplit w:val="true"/>
          <w:trHeight w:hRule="atLeast"/>
        </w:trPr>
        <w:tc>
          <w:tcPr>
            <w:tcW w:type="dxa" w:w="2464"/>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화면 변경·호환성</w:t>
            </w:r>
          </w:p>
        </w:tc>
        <w:tc>
          <w:tcPr>
            <w:tcW w:type="dxa" w:w="2464"/>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중간~높음</w:t>
            </w:r>
          </w:p>
        </w:tc>
        <w:tc>
          <w:tcPr>
            <w:tcW w:type="dxa" w:w="2464"/>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WEHAGO UI 변경 시 기능 중단·오작동 가능</w:t>
            </w:r>
          </w:p>
        </w:tc>
        <w:tc>
          <w:tcPr>
            <w:tcW w:type="dxa" w:w="2464"/>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fail-safe, 버전차단, 긴급 패치·수동전환</w:t>
            </w:r>
          </w:p>
        </w:tc>
      </w:tr>
      <w:tr>
        <w:trPr>
          <w:cantSplit w:val="true"/>
          <w:trHeight w:hRule="atLeast"/>
        </w:trPr>
        <w:tc>
          <w:tcPr>
            <w:tcW w:type="dxa" w:w="2464"/>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사후 계정 제한</w:t>
            </w:r>
          </w:p>
        </w:tc>
        <w:tc>
          <w:tcPr>
            <w:tcW w:type="dxa" w:w="2464"/>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중간</w:t>
            </w:r>
          </w:p>
        </w:tc>
        <w:tc>
          <w:tcPr>
            <w:tcW w:type="dxa" w:w="2464"/>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위법성과 별개로 제공자가 정책상 제한할 가능성</w:t>
            </w:r>
          </w:p>
        </w:tc>
        <w:tc>
          <w:tcPr>
            <w:tcW w:type="dxa" w:w="2464"/>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6"/>
              </w:rPr>
              <w:t>중단 기능, 고객 고지, 금지 통지 시 재검토</w:t>
            </w:r>
          </w:p>
        </w:tc>
      </w:tr>
    </w:tbl>
    <w:p>
      <w:pPr>
        <w:spacing w:after="20"/>
        <w:widowControl w:val="1"/>
      </w:pPr>
    </w:p>
    <w:p>
      <w:pPr>
        <w:keepNext/>
        <w:spacing w:before="200" w:after="100"/>
        <w:widowControl w:val="1"/>
      </w:pPr>
      <w:r>
        <w:rPr>
          <w:rFonts w:ascii="Noto Sans CJK KR" w:hAnsi="Noto Sans CJK KR" w:eastAsia="Noto Sans CJK KR"/>
          <w:b/>
          <w:color w:val="17365D"/>
          <w:sz w:val="24"/>
          <w:lang w:eastAsia="ko-KR"/>
        </w:rPr>
        <w:t>6.1 종합 등급 해석</w:t>
      </w:r>
    </w:p>
    <w:tbl>
      <w:tblPr>
        <w:tblW w:type="auto" w:w="0"/>
        <w:jc w:val="center"/>
        <w:tblLook w:firstColumn="1" w:firstRow="1" w:lastColumn="0" w:lastRow="0" w:noHBand="0" w:noVBand="1" w:val="04A0"/>
        <w:tblLayout w:type="fixed"/>
      </w:tblPr>
      <w:tblGrid>
        <w:gridCol w:w="9858"/>
      </w:tblGrid>
      <w:tr>
        <w:trPr>
          <w:cantSplit w:val="true"/>
        </w:trPr>
        <w:tc>
          <w:tcPr>
            <w:tcW w:type="dxa" w:w="9071"/>
            <w:shd w:fill="E2F0D9"/>
            <w:tcMar>
              <w:top w:w="140" w:type="dxa"/>
              <w:start w:w="180" w:type="dxa"/>
              <w:bottom w:w="140" w:type="dxa"/>
              <w:end w:w="180" w:type="dxa"/>
            </w:tcMar>
            <w:tcBorders>
              <w:top w:val="nil"/>
              <w:left w:val="single" w:sz="28" w:color="548235"/>
              <w:bottom w:val="nil"/>
              <w:right w:val="nil"/>
            </w:tcBorders>
          </w:tcPr>
          <w:p>
            <w:pPr>
              <w:spacing w:after="60"/>
            </w:pPr>
            <w:r>
              <w:rPr>
                <w:rFonts w:ascii="Noto Sans CJK KR" w:hAnsi="Noto Sans CJK KR" w:eastAsia="Noto Sans CJK KR"/>
                <w:b/>
                <w:color w:val="17365D"/>
                <w:sz w:val="21"/>
              </w:rPr>
              <w:t>약관상 결론</w:t>
            </w:r>
          </w:p>
          <w:p>
            <w:pPr>
              <w:spacing w:after="0" w:line="317" w:lineRule="auto"/>
            </w:pPr>
            <w:r>
              <w:rPr>
                <w:rFonts w:ascii="Noto Sans CJK KR" w:hAnsi="Noto Sans CJK KR" w:eastAsia="Noto Sans CJK KR"/>
                <w:color w:val="222222"/>
                <w:sz w:val="19"/>
              </w:rPr>
              <w:t>현재의 제품 전제를 유지하는 경우 “명시적 위반”보다는 “운영정책 또는 개별 통지에 따라 달라질 수 있는 조건부 위험”에 가깝습니다.</w:t>
            </w:r>
          </w:p>
        </w:tc>
      </w:tr>
    </w:tbl>
    <w:p>
      <w:pPr>
        <w:spacing w:after="0"/>
        <w:widowControl w:val="1"/>
      </w:pPr>
    </w:p>
    <w:tbl>
      <w:tblPr>
        <w:tblW w:type="auto" w:w="0"/>
        <w:jc w:val="center"/>
        <w:tblLook w:firstColumn="1" w:firstRow="1" w:lastColumn="0" w:lastRow="0" w:noHBand="0" w:noVBand="1" w:val="04A0"/>
        <w:tblLayout w:type="fixed"/>
      </w:tblPr>
      <w:tblGrid>
        <w:gridCol w:w="9858"/>
      </w:tblGrid>
      <w:tr>
        <w:trPr>
          <w:cantSplit w:val="true"/>
        </w:trPr>
        <w:tc>
          <w:tcPr>
            <w:tcW w:type="dxa" w:w="9071"/>
            <w:shd w:fill="FFF2CC"/>
            <w:tcMar>
              <w:top w:w="140" w:type="dxa"/>
              <w:start w:w="180" w:type="dxa"/>
              <w:bottom w:w="140" w:type="dxa"/>
              <w:end w:w="180" w:type="dxa"/>
            </w:tcMar>
            <w:tcBorders>
              <w:top w:val="nil"/>
              <w:left w:val="single" w:sz="28" w:color="BF9000"/>
              <w:bottom w:val="nil"/>
              <w:right w:val="nil"/>
            </w:tcBorders>
          </w:tcPr>
          <w:p>
            <w:pPr>
              <w:spacing w:after="60"/>
            </w:pPr>
            <w:r>
              <w:rPr>
                <w:rFonts w:ascii="Noto Sans CJK KR" w:hAnsi="Noto Sans CJK KR" w:eastAsia="Noto Sans CJK KR"/>
                <w:b/>
                <w:color w:val="17365D"/>
                <w:sz w:val="21"/>
              </w:rPr>
              <w:t>사업상 결론</w:t>
            </w:r>
          </w:p>
          <w:p>
            <w:pPr>
              <w:spacing w:after="0" w:line="317" w:lineRule="auto"/>
            </w:pPr>
            <w:r>
              <w:rPr>
                <w:rFonts w:ascii="Noto Sans CJK KR" w:hAnsi="Noto Sans CJK KR" w:eastAsia="Noto Sans CJK KR"/>
                <w:color w:val="222222"/>
                <w:sz w:val="19"/>
              </w:rPr>
              <w:t>가장 큰 현실적 위험은 형사상 침입보다 WEHAGO 화면 변경, 계정 제한, 신고기한 내 장애, 고객의 오신고 손해배상 청구입니다.</w:t>
            </w:r>
          </w:p>
        </w:tc>
      </w:tr>
    </w:tbl>
    <w:p>
      <w:pPr>
        <w:spacing w:after="0"/>
        <w:widowControl w:val="1"/>
      </w:pPr>
    </w:p>
    <w:p>
      <w:pPr>
        <w:keepNext/>
        <w:spacing w:before="280" w:after="140" w:line="252" w:lineRule="auto"/>
        <w:pBdr>
          <w:bottom w:val="single" w:sz="8" w:space="4" w:color="2F75B5"/>
        </w:pBdr>
        <w:widowControl w:val="1"/>
      </w:pPr>
      <w:r>
        <w:rPr>
          <w:rFonts w:ascii="Noto Sans CJK KR" w:hAnsi="Noto Sans CJK KR" w:eastAsia="Noto Sans CJK KR"/>
          <w:b/>
          <w:color w:val="17365D"/>
          <w:sz w:val="31"/>
          <w:lang w:eastAsia="ko-KR"/>
        </w:rPr>
        <w:t>7. 출시 전 필수 기술·운영 통제</w:t>
      </w:r>
    </w:p>
    <w:p>
      <w:pPr>
        <w:keepNext/>
        <w:spacing w:before="200" w:after="100"/>
        <w:widowControl w:val="1"/>
      </w:pPr>
      <w:r>
        <w:rPr>
          <w:rFonts w:ascii="Noto Sans CJK KR" w:hAnsi="Noto Sans CJK KR" w:eastAsia="Noto Sans CJK KR"/>
          <w:b/>
          <w:color w:val="17365D"/>
          <w:sz w:val="24"/>
          <w:lang w:eastAsia="ko-KR"/>
        </w:rPr>
        <w:t>7.1 기술적 통제</w:t>
      </w:r>
    </w:p>
    <w:p>
      <w:pPr>
        <w:spacing w:after="80"/>
        <w:ind w:left="454" w:hanging="454"/>
        <w:widowControl w:val="1"/>
      </w:pPr>
      <w:r>
        <w:rPr>
          <w:rFonts w:ascii="Noto Sans CJK KR" w:hAnsi="Noto Sans CJK KR" w:eastAsia="Noto Sans CJK KR"/>
          <w:b/>
          <w:color w:val="17365D"/>
          <w:sz w:val="20"/>
          <w:lang w:eastAsia="ko-KR"/>
        </w:rPr>
        <w:t xml:space="preserve">1. 로그인 분리: </w:t>
      </w:r>
      <w:r>
        <w:rPr>
          <w:rFonts w:ascii="Noto Sans CJK KR" w:hAnsi="Noto Sans CJK KR" w:eastAsia="Noto Sans CJK KR"/>
          <w:sz w:val="20"/>
          <w:lang w:eastAsia="ko-KR"/>
        </w:rPr>
        <w:t>프로그램은 로그인 화면을 자동 입력하지 않고, 사용자가 로그인 완료 후 명시적으로 자동화를 시작하도록 설계합니다.</w:t>
      </w:r>
    </w:p>
    <w:p>
      <w:pPr>
        <w:spacing w:after="80"/>
        <w:ind w:left="454" w:hanging="454"/>
        <w:widowControl w:val="1"/>
      </w:pPr>
      <w:r>
        <w:rPr>
          <w:rFonts w:ascii="Noto Sans CJK KR" w:hAnsi="Noto Sans CJK KR" w:eastAsia="Noto Sans CJK KR"/>
          <w:b/>
          <w:color w:val="17365D"/>
          <w:sz w:val="20"/>
          <w:lang w:eastAsia="ko-KR"/>
        </w:rPr>
        <w:t xml:space="preserve">2. 인증정보 비수집: </w:t>
      </w:r>
      <w:r>
        <w:rPr>
          <w:rFonts w:ascii="Noto Sans CJK KR" w:hAnsi="Noto Sans CJK KR" w:eastAsia="Noto Sans CJK KR"/>
          <w:sz w:val="20"/>
          <w:lang w:eastAsia="ko-KR"/>
        </w:rPr>
        <w:t>ID·비밀번호·OTP·인증서 비밀번호·브라우저 쿠키·세션 토큰을 애플리케이션 로그와 서버로 전송하지 않습니다.</w:t>
      </w:r>
    </w:p>
    <w:p>
      <w:pPr>
        <w:spacing w:after="80"/>
        <w:ind w:left="454" w:hanging="454"/>
        <w:widowControl w:val="1"/>
      </w:pPr>
      <w:r>
        <w:rPr>
          <w:rFonts w:ascii="Noto Sans CJK KR" w:hAnsi="Noto Sans CJK KR" w:eastAsia="Noto Sans CJK KR"/>
          <w:b/>
          <w:color w:val="17365D"/>
          <w:sz w:val="20"/>
          <w:lang w:eastAsia="ko-KR"/>
        </w:rPr>
        <w:t xml:space="preserve">3. 공개 UI 한정: </w:t>
      </w:r>
      <w:r>
        <w:rPr>
          <w:rFonts w:ascii="Noto Sans CJK KR" w:hAnsi="Noto Sans CJK KR" w:eastAsia="Noto Sans CJK KR"/>
          <w:sz w:val="20"/>
          <w:lang w:eastAsia="ko-KR"/>
        </w:rPr>
        <w:t>DOM 또는 접근성 트리를 이용하더라도 현재 브라우저에 실제 표시된 입력창·버튼만 조작합니다.</w:t>
      </w:r>
    </w:p>
    <w:p>
      <w:pPr>
        <w:spacing w:after="80"/>
        <w:ind w:left="454" w:hanging="454"/>
        <w:widowControl w:val="1"/>
      </w:pPr>
      <w:r>
        <w:rPr>
          <w:rFonts w:ascii="Noto Sans CJK KR" w:hAnsi="Noto Sans CJK KR" w:eastAsia="Noto Sans CJK KR"/>
          <w:b/>
          <w:color w:val="17365D"/>
          <w:sz w:val="20"/>
          <w:lang w:eastAsia="ko-KR"/>
        </w:rPr>
        <w:t xml:space="preserve">4. 요청량 제한: </w:t>
      </w:r>
      <w:r>
        <w:rPr>
          <w:rFonts w:ascii="Noto Sans CJK KR" w:hAnsi="Noto Sans CJK KR" w:eastAsia="Noto Sans CJK KR"/>
          <w:sz w:val="20"/>
          <w:lang w:eastAsia="ko-KR"/>
        </w:rPr>
        <w:t>고객사별 동시 실행 수, 클릭 간격, 처리건수, 재시도 횟수에 소프트웨어 차원의 상한을 둡니다.</w:t>
      </w:r>
    </w:p>
    <w:p>
      <w:pPr>
        <w:spacing w:after="80"/>
        <w:ind w:left="454" w:hanging="454"/>
        <w:widowControl w:val="1"/>
      </w:pPr>
      <w:r>
        <w:rPr>
          <w:rFonts w:ascii="Noto Sans CJK KR" w:hAnsi="Noto Sans CJK KR" w:eastAsia="Noto Sans CJK KR"/>
          <w:b/>
          <w:color w:val="17365D"/>
          <w:sz w:val="20"/>
          <w:lang w:eastAsia="ko-KR"/>
        </w:rPr>
        <w:t xml:space="preserve">5. Fail-safe: </w:t>
      </w:r>
      <w:r>
        <w:rPr>
          <w:rFonts w:ascii="Noto Sans CJK KR" w:hAnsi="Noto Sans CJK KR" w:eastAsia="Noto Sans CJK KR"/>
          <w:sz w:val="20"/>
          <w:lang w:eastAsia="ko-KR"/>
        </w:rPr>
        <w:t>화면 요소 불일치, 응답 지연, 보안 인증, 접속 차단, 예상치 못한 팝업이 나타나면 자동으로 중단합니다.</w:t>
      </w:r>
    </w:p>
    <w:p>
      <w:pPr>
        <w:spacing w:after="80"/>
        <w:ind w:left="454" w:hanging="454"/>
        <w:widowControl w:val="1"/>
      </w:pPr>
      <w:r>
        <w:rPr>
          <w:rFonts w:ascii="Noto Sans CJK KR" w:hAnsi="Noto Sans CJK KR" w:eastAsia="Noto Sans CJK KR"/>
          <w:b/>
          <w:color w:val="17365D"/>
          <w:sz w:val="20"/>
          <w:lang w:eastAsia="ko-KR"/>
        </w:rPr>
        <w:t xml:space="preserve">6. 최종 승인: </w:t>
      </w:r>
      <w:r>
        <w:rPr>
          <w:rFonts w:ascii="Noto Sans CJK KR" w:hAnsi="Noto Sans CJK KR" w:eastAsia="Noto Sans CJK KR"/>
          <w:sz w:val="20"/>
          <w:lang w:eastAsia="ko-KR"/>
        </w:rPr>
        <w:t>사업자·귀속연월·인원·소득금액·세액 합계와 오류목록을 표시하고 사람이 체크·승인해야 다음 단계로 진행합니다.</w:t>
      </w:r>
    </w:p>
    <w:p>
      <w:pPr>
        <w:spacing w:after="80"/>
        <w:ind w:left="454" w:hanging="454"/>
        <w:widowControl w:val="1"/>
      </w:pPr>
      <w:r>
        <w:rPr>
          <w:rFonts w:ascii="Noto Sans CJK KR" w:hAnsi="Noto Sans CJK KR" w:eastAsia="Noto Sans CJK KR"/>
          <w:b/>
          <w:color w:val="17365D"/>
          <w:sz w:val="20"/>
          <w:lang w:eastAsia="ko-KR"/>
        </w:rPr>
        <w:t xml:space="preserve">7. 외부 전송 최소화: </w:t>
      </w:r>
      <w:r>
        <w:rPr>
          <w:rFonts w:ascii="Noto Sans CJK KR" w:hAnsi="Noto Sans CJK KR" w:eastAsia="Noto Sans CJK KR"/>
          <w:sz w:val="20"/>
          <w:lang w:eastAsia="ko-KR"/>
        </w:rPr>
        <w:t>라이선스 확인이 필요하면 개인정보·신고내용과 분리된 최소 식별정보만 전송합니다.</w:t>
      </w:r>
    </w:p>
    <w:p>
      <w:pPr>
        <w:spacing w:after="80"/>
        <w:ind w:left="454" w:hanging="454"/>
        <w:widowControl w:val="1"/>
      </w:pPr>
      <w:r>
        <w:rPr>
          <w:rFonts w:ascii="Noto Sans CJK KR" w:hAnsi="Noto Sans CJK KR" w:eastAsia="Noto Sans CJK KR"/>
          <w:b/>
          <w:color w:val="17365D"/>
          <w:sz w:val="20"/>
          <w:lang w:eastAsia="ko-KR"/>
        </w:rPr>
        <w:t xml:space="preserve">8. 업데이트 통제: </w:t>
      </w:r>
      <w:r>
        <w:rPr>
          <w:rFonts w:ascii="Noto Sans CJK KR" w:hAnsi="Noto Sans CJK KR" w:eastAsia="Noto Sans CJK KR"/>
          <w:sz w:val="20"/>
          <w:lang w:eastAsia="ko-KR"/>
        </w:rPr>
        <w:t>UI 변경이 감지되면 자동화를 전체 중단하고 검증된 버전에서만 다시 활성화합니다.</w:t>
      </w:r>
    </w:p>
    <w:p>
      <w:pPr>
        <w:spacing w:after="80"/>
        <w:ind w:left="454" w:hanging="454"/>
        <w:widowControl w:val="1"/>
      </w:pPr>
      <w:r>
        <w:rPr>
          <w:rFonts w:ascii="Noto Sans CJK KR" w:hAnsi="Noto Sans CJK KR" w:eastAsia="Noto Sans CJK KR"/>
          <w:b/>
          <w:color w:val="17365D"/>
          <w:sz w:val="20"/>
          <w:lang w:eastAsia="ko-KR"/>
        </w:rPr>
        <w:t xml:space="preserve">9. 우회 기능 금지: </w:t>
      </w:r>
      <w:r>
        <w:rPr>
          <w:rFonts w:ascii="Noto Sans CJK KR" w:hAnsi="Noto Sans CJK KR" w:eastAsia="Noto Sans CJK KR"/>
          <w:sz w:val="20"/>
          <w:lang w:eastAsia="ko-KR"/>
        </w:rPr>
        <w:t>IP 변경, 프록시 전환, 계정 분산, 브라우저 지문 변경 등 차단 회피 기능을 포함하지 않습니다.</w:t>
      </w:r>
    </w:p>
    <w:p>
      <w:pPr>
        <w:spacing w:after="80"/>
        <w:ind w:left="454" w:hanging="454"/>
        <w:widowControl w:val="1"/>
      </w:pPr>
      <w:r>
        <w:rPr>
          <w:rFonts w:ascii="Noto Sans CJK KR" w:hAnsi="Noto Sans CJK KR" w:eastAsia="Noto Sans CJK KR"/>
          <w:b/>
          <w:color w:val="17365D"/>
          <w:sz w:val="20"/>
          <w:lang w:eastAsia="ko-KR"/>
        </w:rPr>
        <w:t xml:space="preserve">10. 감사로그: </w:t>
      </w:r>
      <w:r>
        <w:rPr>
          <w:rFonts w:ascii="Noto Sans CJK KR" w:hAnsi="Noto Sans CJK KR" w:eastAsia="Noto Sans CJK KR"/>
          <w:sz w:val="20"/>
          <w:lang w:eastAsia="ko-KR"/>
        </w:rPr>
        <w:t>개인정보를 제외한 실행 시작·종료, 단계, 오류, 사용자 승인시각을 로컬에 보관합니다.</w:t>
      </w:r>
    </w:p>
    <w:p>
      <w:pPr>
        <w:keepNext/>
        <w:spacing w:before="200" w:after="100"/>
        <w:widowControl w:val="1"/>
      </w:pPr>
      <w:r>
        <w:rPr>
          <w:rFonts w:ascii="Noto Sans CJK KR" w:hAnsi="Noto Sans CJK KR" w:eastAsia="Noto Sans CJK KR"/>
          <w:b/>
          <w:color w:val="17365D"/>
          <w:sz w:val="24"/>
          <w:lang w:eastAsia="ko-KR"/>
        </w:rPr>
        <w:t>7.2 운영 통제</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월별 약관·정책·공지 변경 모니터링 및 버전별 검토기록 보관</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더존의 차단·경고·중단 요청을 받으면 우회하지 않고 즉시 해당 자동화 기능 중지</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신고기한 임박 시 수동 처리로 전환하는 업무연속성 절차 마련</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원격지원은 고객의 일회성 명시적 승인 하에 수행하고, 주민번호·급여·세액이 보이지 않도록 조치</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고객별 실행환경 분리 및 한 고객의 데이터가 다른 고객에게 노출되지 않도록 통제</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오류 화면이나 로그를 개발사에 전달할 때 개인정보 마스킹을 기본값으로 적용</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회계법인 담당자 교육: 자동화 결과는 초안이며 신고 적정성을 반드시 직접 검토</w:t>
      </w:r>
    </w:p>
    <w:p>
      <w:pPr>
        <w:keepNext/>
        <w:spacing w:before="200" w:after="100"/>
        <w:widowControl w:val="1"/>
      </w:pPr>
      <w:r>
        <w:rPr>
          <w:rFonts w:ascii="Noto Sans CJK KR" w:hAnsi="Noto Sans CJK KR" w:eastAsia="Noto Sans CJK KR"/>
          <w:b/>
          <w:color w:val="17365D"/>
          <w:sz w:val="24"/>
          <w:lang w:eastAsia="ko-KR"/>
        </w:rPr>
        <w:t>7.3 최종 확인 화면의 최소 구성</w:t>
      </w:r>
    </w:p>
    <w:tbl>
      <w:tblPr>
        <w:tblW w:type="auto" w:w="0"/>
        <w:jc w:val="center"/>
        <w:tblLayout w:type="fixed"/>
        <w:tblLook w:firstColumn="1" w:firstRow="1" w:lastColumn="0" w:lastRow="0" w:noHBand="0" w:noVBand="1" w:val="04A0"/>
      </w:tblPr>
      <w:tblGrid>
        <w:gridCol w:w="3286"/>
        <w:gridCol w:w="3286"/>
        <w:gridCol w:w="3286"/>
      </w:tblGrid>
      <w:tr>
        <w:trPr>
          <w:tblHeader w:val="true"/>
          <w:cantSplit w:val="true"/>
        </w:trPr>
        <w:tc>
          <w:tcPr>
            <w:tcW w:type="dxa" w:w="1814"/>
            <w:shd w:fill="17365D"/>
            <w:tcMar>
              <w:top w:w="110" w:type="dxa"/>
              <w:start w:w="100" w:type="dxa"/>
              <w:bottom w:w="110" w:type="dxa"/>
              <w:end w:w="100" w:type="dxa"/>
            </w:tcMar>
            <w:tcBorders>
              <w:top w:val="single" w:sz="4" w:color="B4C6E7"/>
              <w:left w:val="single" w:sz="4" w:color="B4C6E7"/>
              <w:bottom w:val="single" w:sz="4" w:color="B4C6E7"/>
              <w:right w:val="single" w:sz="4" w:color="B4C6E7"/>
            </w:tcBorders>
            <w:vAlign w:val="center"/>
          </w:tcPr>
          <w:p>
            <w:pPr>
              <w:spacing w:after="0"/>
              <w:jc w:val="center"/>
            </w:pPr>
            <w:r>
              <w:rPr>
                <w:rFonts w:ascii="Noto Sans CJK KR" w:hAnsi="Noto Sans CJK KR" w:eastAsia="Noto Sans CJK KR"/>
                <w:b/>
                <w:color w:val="FFFFFF"/>
                <w:sz w:val="17"/>
              </w:rPr>
              <w:t>확인 항목</w:t>
            </w:r>
          </w:p>
        </w:tc>
        <w:tc>
          <w:tcPr>
            <w:tcW w:type="dxa" w:w="4649"/>
            <w:shd w:fill="17365D"/>
            <w:tcMar>
              <w:top w:w="110" w:type="dxa"/>
              <w:start w:w="100" w:type="dxa"/>
              <w:bottom w:w="110" w:type="dxa"/>
              <w:end w:w="100" w:type="dxa"/>
            </w:tcMar>
            <w:tcBorders>
              <w:top w:val="single" w:sz="4" w:color="B4C6E7"/>
              <w:left w:val="single" w:sz="4" w:color="B4C6E7"/>
              <w:bottom w:val="single" w:sz="4" w:color="B4C6E7"/>
              <w:right w:val="single" w:sz="4" w:color="B4C6E7"/>
            </w:tcBorders>
            <w:vAlign w:val="center"/>
          </w:tcPr>
          <w:p>
            <w:pPr>
              <w:spacing w:after="0"/>
              <w:jc w:val="center"/>
            </w:pPr>
            <w:r>
              <w:rPr>
                <w:rFonts w:ascii="Noto Sans CJK KR" w:hAnsi="Noto Sans CJK KR" w:eastAsia="Noto Sans CJK KR"/>
                <w:b/>
                <w:color w:val="FFFFFF"/>
                <w:sz w:val="17"/>
              </w:rPr>
              <w:t>필수 표시 내용</w:t>
            </w:r>
          </w:p>
        </w:tc>
        <w:tc>
          <w:tcPr>
            <w:tcW w:type="dxa" w:w="2608"/>
            <w:shd w:fill="17365D"/>
            <w:tcMar>
              <w:top w:w="110" w:type="dxa"/>
              <w:start w:w="100" w:type="dxa"/>
              <w:bottom w:w="110" w:type="dxa"/>
              <w:end w:w="100" w:type="dxa"/>
            </w:tcMar>
            <w:tcBorders>
              <w:top w:val="single" w:sz="4" w:color="B4C6E7"/>
              <w:left w:val="single" w:sz="4" w:color="B4C6E7"/>
              <w:bottom w:val="single" w:sz="4" w:color="B4C6E7"/>
              <w:right w:val="single" w:sz="4" w:color="B4C6E7"/>
            </w:tcBorders>
            <w:vAlign w:val="center"/>
          </w:tcPr>
          <w:p>
            <w:pPr>
              <w:spacing w:after="0"/>
              <w:jc w:val="center"/>
            </w:pPr>
            <w:r>
              <w:rPr>
                <w:rFonts w:ascii="Noto Sans CJK KR" w:hAnsi="Noto Sans CJK KR" w:eastAsia="Noto Sans CJK KR"/>
                <w:b/>
                <w:color w:val="FFFFFF"/>
                <w:sz w:val="17"/>
              </w:rPr>
              <w:t>권장 방식</w:t>
            </w:r>
          </w:p>
        </w:tc>
      </w:tr>
      <w:tr>
        <w:trPr>
          <w:cantSplit w:val="true"/>
          <w:trHeight w:hRule="atLeast"/>
        </w:trPr>
        <w:tc>
          <w:tcPr>
            <w:tcW w:type="dxa" w:w="3286"/>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신고 대상</w:t>
            </w:r>
          </w:p>
        </w:tc>
        <w:tc>
          <w:tcPr>
            <w:tcW w:type="dxa" w:w="3286"/>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사업자명·사업자등록번호 일부 마스킹·귀속연월</w:t>
            </w:r>
          </w:p>
        </w:tc>
        <w:tc>
          <w:tcPr>
            <w:tcW w:type="dxa" w:w="3286"/>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상단 고정 표시</w:t>
            </w:r>
          </w:p>
        </w:tc>
      </w:tr>
      <w:tr>
        <w:trPr>
          <w:cantSplit w:val="true"/>
          <w:trHeight w:hRule="atLeast"/>
        </w:trPr>
        <w:tc>
          <w:tcPr>
            <w:tcW w:type="dxa" w:w="3286"/>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인원·금액</w:t>
            </w:r>
          </w:p>
        </w:tc>
        <w:tc>
          <w:tcPr>
            <w:tcW w:type="dxa" w:w="3286"/>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소득 유형별 인원, 지급액, 소득세, 지방소득세 합계</w:t>
            </w:r>
          </w:p>
        </w:tc>
        <w:tc>
          <w:tcPr>
            <w:tcW w:type="dxa" w:w="3286"/>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자동입력 전후 비교</w:t>
            </w:r>
          </w:p>
        </w:tc>
      </w:tr>
      <w:tr>
        <w:trPr>
          <w:cantSplit w:val="true"/>
          <w:trHeight w:hRule="atLeast"/>
        </w:trPr>
        <w:tc>
          <w:tcPr>
            <w:tcW w:type="dxa" w:w="3286"/>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오류·경고</w:t>
            </w:r>
          </w:p>
        </w:tc>
        <w:tc>
          <w:tcPr>
            <w:tcW w:type="dxa" w:w="3286"/>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누락값, 전월 대비 급변, 세액 불일치, 제출 불가 항목</w:t>
            </w:r>
          </w:p>
        </w:tc>
        <w:tc>
          <w:tcPr>
            <w:tcW w:type="dxa" w:w="3286"/>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오류는 제출 차단, 경고는 사유 입력</w:t>
            </w:r>
          </w:p>
        </w:tc>
      </w:tr>
      <w:tr>
        <w:trPr>
          <w:cantSplit w:val="true"/>
          <w:trHeight w:hRule="atLeast"/>
        </w:trPr>
        <w:tc>
          <w:tcPr>
            <w:tcW w:type="dxa" w:w="3286"/>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사용자 승인</w:t>
            </w:r>
          </w:p>
        </w:tc>
        <w:tc>
          <w:tcPr>
            <w:tcW w:type="dxa" w:w="3286"/>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“표시된 신고내용을 검토했다”는 체크와 승인자 정보</w:t>
            </w:r>
          </w:p>
        </w:tc>
        <w:tc>
          <w:tcPr>
            <w:tcW w:type="dxa" w:w="3286"/>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기본 미체크, 승인시각 기록</w:t>
            </w:r>
          </w:p>
        </w:tc>
      </w:tr>
      <w:tr>
        <w:trPr>
          <w:cantSplit w:val="true"/>
          <w:trHeight w:hRule="atLeast"/>
        </w:trPr>
        <w:tc>
          <w:tcPr>
            <w:tcW w:type="dxa" w:w="3286"/>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제출 동작</w:t>
            </w:r>
          </w:p>
        </w:tc>
        <w:tc>
          <w:tcPr>
            <w:tcW w:type="dxa" w:w="3286"/>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가능하면 WEHAGO 자체 제출 버튼을 사용자가 직접 클릭</w:t>
            </w:r>
          </w:p>
        </w:tc>
        <w:tc>
          <w:tcPr>
            <w:tcW w:type="dxa" w:w="3286"/>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7"/>
              </w:rPr>
              <w:t>자동 클릭보다 보수적</w:t>
            </w:r>
          </w:p>
        </w:tc>
      </w:tr>
    </w:tbl>
    <w:p>
      <w:pPr>
        <w:spacing w:after="20"/>
        <w:widowControl w:val="1"/>
      </w:pPr>
    </w:p>
    <w:p>
      <w:pPr>
        <w:keepNext/>
        <w:spacing w:before="280" w:after="140" w:line="252" w:lineRule="auto"/>
        <w:pBdr>
          <w:bottom w:val="single" w:sz="8" w:space="4" w:color="2F75B5"/>
        </w:pBdr>
        <w:widowControl w:val="1"/>
      </w:pPr>
      <w:r>
        <w:rPr>
          <w:rFonts w:ascii="Noto Sans CJK KR" w:hAnsi="Noto Sans CJK KR" w:eastAsia="Noto Sans CJK KR"/>
          <w:b/>
          <w:color w:val="17365D"/>
          <w:sz w:val="31"/>
          <w:lang w:eastAsia="ko-KR"/>
        </w:rPr>
        <w:t>8. 판매계약·이용약관·마케팅 권고</w:t>
      </w:r>
    </w:p>
    <w:p>
      <w:pPr>
        <w:keepNext/>
        <w:spacing w:before="200" w:after="100"/>
        <w:widowControl w:val="1"/>
      </w:pPr>
      <w:r>
        <w:rPr>
          <w:rFonts w:ascii="Noto Sans CJK KR" w:hAnsi="Noto Sans CJK KR" w:eastAsia="Noto Sans CJK KR"/>
          <w:b/>
          <w:color w:val="17365D"/>
          <w:sz w:val="24"/>
          <w:lang w:eastAsia="ko-KR"/>
        </w:rPr>
        <w:t>8.1 판매계약에 포함할 핵심 조항</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고객은 더존비즈온과 직접 유효한 WEHAGO T 이용계약을 유지해야 하며, 프로그램 가격에는 WEHAGO 이용권이 포함되지 않는다는 조항</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본 제품은 더존비즈온이 개발·공급·인증하거나 공식 제휴한 제품이 아니라는 조항</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프로그램은 반복 입력을 보조하며 세무판단, 신고내용 검토 및 제출 책임은 고객의 권한 있는 담당자에게 있다는 조항</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WEHAGO의 약관·운영정책·화면 변경, 점검, 계정 제한으로 기능이 중단될 수 있다는 조항</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더존비즈온이 자동화를 금지하거나 중단을 요청하면 해당 기능을 중단·변경할 수 있다는 조항</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신고기한 임박 시 고객이 수동 처리로 전환해야 하며 자동화만을 유일한 신고수단으로 의존하지 않는다는 조항</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개인정보와 신고자료를 개발사 서버로 전송하지 않는 범위, 원격지원 시 처리절차 및 로그정책</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간접손해·영업손실·가산세 등 책임 제한은 고의·중과실 및 강행법규를 고려해 변호사 검토를 거쳐 설계</w:t>
      </w:r>
    </w:p>
    <w:p>
      <w:pPr>
        <w:keepNext/>
        <w:spacing w:before="200" w:after="100"/>
        <w:widowControl w:val="1"/>
      </w:pPr>
      <w:r>
        <w:rPr>
          <w:rFonts w:ascii="Noto Sans CJK KR" w:hAnsi="Noto Sans CJK KR" w:eastAsia="Noto Sans CJK KR"/>
          <w:b/>
          <w:color w:val="17365D"/>
          <w:sz w:val="24"/>
          <w:lang w:eastAsia="ko-KR"/>
        </w:rPr>
        <w:t>8.2 권장 비제휴 고지 문구</w:t>
      </w:r>
    </w:p>
    <w:tbl>
      <w:tblPr>
        <w:tblW w:type="auto" w:w="0"/>
        <w:jc w:val="center"/>
        <w:tblLook w:firstColumn="1" w:firstRow="1" w:lastColumn="0" w:lastRow="0" w:noHBand="0" w:noVBand="1" w:val="04A0"/>
        <w:tblLayout w:type="fixed"/>
      </w:tblPr>
      <w:tblGrid>
        <w:gridCol w:w="9858"/>
      </w:tblGrid>
      <w:tr>
        <w:trPr>
          <w:cantSplit w:val="true"/>
        </w:trPr>
        <w:tc>
          <w:tcPr>
            <w:tcW w:type="dxa" w:w="9071"/>
            <w:shd w:fill="F2F2F2"/>
            <w:tcMar>
              <w:top w:w="140" w:type="dxa"/>
              <w:start w:w="180" w:type="dxa"/>
              <w:bottom w:w="140" w:type="dxa"/>
              <w:end w:w="180" w:type="dxa"/>
            </w:tcMar>
            <w:tcBorders>
              <w:top w:val="nil"/>
              <w:left w:val="single" w:sz="28" w:color="666666"/>
              <w:bottom w:val="nil"/>
              <w:right w:val="nil"/>
            </w:tcBorders>
          </w:tcPr>
          <w:p>
            <w:pPr>
              <w:spacing w:after="60"/>
            </w:pPr>
            <w:r>
              <w:rPr>
                <w:rFonts w:ascii="Noto Sans CJK KR" w:hAnsi="Noto Sans CJK KR" w:eastAsia="Noto Sans CJK KR"/>
                <w:b/>
                <w:color w:val="17365D"/>
                <w:sz w:val="21"/>
              </w:rPr>
              <w:t>예시 문구</w:t>
            </w:r>
          </w:p>
          <w:p>
            <w:pPr>
              <w:spacing w:after="0" w:line="317" w:lineRule="auto"/>
            </w:pPr>
            <w:r>
              <w:rPr>
                <w:rFonts w:ascii="Noto Sans CJK KR" w:hAnsi="Noto Sans CJK KR" w:eastAsia="Noto Sans CJK KR"/>
                <w:color w:val="222222"/>
                <w:sz w:val="19"/>
              </w:rPr>
              <w:t>본 제품은 주식회사 더존비즈온이 제작·공급하거나 공식 인증한 제품이 아닌 독립형 로컬 업무자동화 소프트웨어입니다. WEHAGO 및 관련 상표는 각 권리자에게 귀속됩니다. 사용자는 별도의 적법한 WEHAGO T 이용계약을 보유하고 해당 약관과 운영정책을 준수해야 합니다.</w:t>
            </w:r>
          </w:p>
        </w:tc>
      </w:tr>
    </w:tbl>
    <w:p>
      <w:pPr>
        <w:spacing w:after="0"/>
        <w:widowControl w:val="1"/>
      </w:pPr>
    </w:p>
    <w:p>
      <w:pPr>
        <w:keepNext/>
        <w:spacing w:before="200" w:after="100"/>
        <w:widowControl w:val="1"/>
      </w:pPr>
      <w:r>
        <w:rPr>
          <w:rFonts w:ascii="Noto Sans CJK KR" w:hAnsi="Noto Sans CJK KR" w:eastAsia="Noto Sans CJK KR"/>
          <w:b/>
          <w:color w:val="17365D"/>
          <w:sz w:val="24"/>
          <w:lang w:eastAsia="ko-KR"/>
        </w:rPr>
        <w:t>8.3 피해야 할 광고 표현</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“WEHAGO 공식 자동신고”, “더존 인증”, “공식 연동”, “더존과 공동개발”</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사람의 검토 없이 정확한 신고를 보장한다는 표현</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가산세·신고 오류·계정 제한이 절대 발생하지 않는다는 표현</w:t>
      </w:r>
    </w:p>
    <w:p>
      <w:pPr>
        <w:spacing w:after="50" w:line="312" w:lineRule="auto"/>
        <w:ind w:left="283" w:hanging="227"/>
        <w:widowControl w:val="1"/>
      </w:pPr>
      <w:r>
        <w:rPr>
          <w:rFonts w:ascii="Noto Sans CJK KR" w:hAnsi="Noto Sans CJK KR" w:eastAsia="Noto Sans CJK KR"/>
          <w:b/>
          <w:color w:val="2F75B5"/>
          <w:sz w:val="20"/>
          <w:lang w:eastAsia="ko-KR"/>
        </w:rPr>
        <w:t xml:space="preserve">•  </w:t>
      </w:r>
      <w:r>
        <w:rPr>
          <w:rFonts w:ascii="Noto Sans CJK KR" w:hAnsi="Noto Sans CJK KR" w:eastAsia="Noto Sans CJK KR"/>
          <w:color w:val="222222"/>
          <w:sz w:val="20"/>
          <w:lang w:eastAsia="ko-KR"/>
        </w:rPr>
        <w:t>WEHAGO 로고·UI를 제품 로고 또는 공식 제품처럼 사용하는 표시</w:t>
      </w:r>
    </w:p>
    <w:p>
      <w:pPr>
        <w:keepNext/>
        <w:spacing w:before="280" w:after="140" w:line="252" w:lineRule="auto"/>
        <w:pBdr>
          <w:bottom w:val="single" w:sz="8" w:space="4" w:color="2F75B5"/>
        </w:pBdr>
        <w:widowControl w:val="1"/>
      </w:pPr>
      <w:r>
        <w:rPr>
          <w:rFonts w:ascii="Noto Sans CJK KR" w:hAnsi="Noto Sans CJK KR" w:eastAsia="Noto Sans CJK KR"/>
          <w:b/>
          <w:color w:val="17365D"/>
          <w:sz w:val="31"/>
          <w:lang w:eastAsia="ko-KR"/>
        </w:rPr>
        <w:t>9. 즉시 재검토가 필요한 변경사항</w:t>
      </w:r>
    </w:p>
    <w:tbl>
      <w:tblPr>
        <w:tblW w:type="auto" w:w="0"/>
        <w:jc w:val="center"/>
        <w:tblLayout w:type="fixed"/>
        <w:tblLook w:firstColumn="1" w:firstRow="1" w:lastColumn="0" w:lastRow="0" w:noHBand="0" w:noVBand="1" w:val="04A0"/>
      </w:tblPr>
      <w:tblGrid>
        <w:gridCol w:w="4929"/>
        <w:gridCol w:w="4929"/>
      </w:tblGrid>
      <w:tr>
        <w:trPr>
          <w:tblHeader w:val="true"/>
          <w:cantSplit w:val="true"/>
        </w:trPr>
        <w:tc>
          <w:tcPr>
            <w:tcW w:type="dxa" w:w="2268"/>
            <w:shd w:fill="17365D"/>
            <w:tcMar>
              <w:top w:w="110" w:type="dxa"/>
              <w:start w:w="100" w:type="dxa"/>
              <w:bottom w:w="110" w:type="dxa"/>
              <w:end w:w="100" w:type="dxa"/>
            </w:tcMar>
            <w:tcBorders>
              <w:top w:val="single" w:sz="4" w:color="B4C6E7"/>
              <w:left w:val="single" w:sz="4" w:color="B4C6E7"/>
              <w:bottom w:val="single" w:sz="4" w:color="B4C6E7"/>
              <w:right w:val="single" w:sz="4" w:color="B4C6E7"/>
            </w:tcBorders>
            <w:vAlign w:val="center"/>
          </w:tcPr>
          <w:p>
            <w:pPr>
              <w:spacing w:after="0"/>
              <w:jc w:val="center"/>
            </w:pPr>
            <w:r>
              <w:rPr>
                <w:rFonts w:ascii="Noto Sans CJK KR" w:hAnsi="Noto Sans CJK KR" w:eastAsia="Noto Sans CJK KR"/>
                <w:b/>
                <w:color w:val="FFFFFF"/>
                <w:sz w:val="18"/>
              </w:rPr>
              <w:t>변경 영역</w:t>
            </w:r>
          </w:p>
        </w:tc>
        <w:tc>
          <w:tcPr>
            <w:tcW w:type="dxa" w:w="6803"/>
            <w:shd w:fill="17365D"/>
            <w:tcMar>
              <w:top w:w="110" w:type="dxa"/>
              <w:start w:w="100" w:type="dxa"/>
              <w:bottom w:w="110" w:type="dxa"/>
              <w:end w:w="100" w:type="dxa"/>
            </w:tcMar>
            <w:tcBorders>
              <w:top w:val="single" w:sz="4" w:color="B4C6E7"/>
              <w:left w:val="single" w:sz="4" w:color="B4C6E7"/>
              <w:bottom w:val="single" w:sz="4" w:color="B4C6E7"/>
              <w:right w:val="single" w:sz="4" w:color="B4C6E7"/>
            </w:tcBorders>
            <w:vAlign w:val="center"/>
          </w:tcPr>
          <w:p>
            <w:pPr>
              <w:spacing w:after="0"/>
              <w:jc w:val="center"/>
            </w:pPr>
            <w:r>
              <w:rPr>
                <w:rFonts w:ascii="Noto Sans CJK KR" w:hAnsi="Noto Sans CJK KR" w:eastAsia="Noto Sans CJK KR"/>
                <w:b/>
                <w:color w:val="FFFFFF"/>
                <w:sz w:val="18"/>
              </w:rPr>
              <w:t>재검토 트리거</w:t>
            </w:r>
          </w:p>
        </w:tc>
      </w:tr>
      <w:tr>
        <w:trPr>
          <w:cantSplit w:val="true"/>
          <w:trHeight w:hRule="atLeast"/>
        </w:trPr>
        <w:tc>
          <w:tcPr>
            <w:tcW w:type="dxa" w:w="4929"/>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8"/>
              </w:rPr>
              <w:t>제품 기능 변경</w:t>
            </w:r>
          </w:p>
        </w:tc>
        <w:tc>
          <w:tcPr>
            <w:tcW w:type="dxa" w:w="4929"/>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8"/>
              </w:rPr>
              <w:t>자동로그인, 무인 제출, 클라우드 실행, 원격 브라우저 제어, 내부 API 사용, AI·OCR 서버 전송</w:t>
            </w:r>
          </w:p>
        </w:tc>
      </w:tr>
      <w:tr>
        <w:trPr>
          <w:cantSplit w:val="true"/>
          <w:trHeight w:hRule="atLeast"/>
        </w:trPr>
        <w:tc>
          <w:tcPr>
            <w:tcW w:type="dxa" w:w="4929"/>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8"/>
              </w:rPr>
              <w:t>데이터 흐름 변경</w:t>
            </w:r>
          </w:p>
        </w:tc>
        <w:tc>
          <w:tcPr>
            <w:tcW w:type="dxa" w:w="4929"/>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8"/>
              </w:rPr>
              <w:t>화면 캡처·DOM·신고서·주민번호·급여·세액·쿠키·토큰이 외부로 전송되는 경우</w:t>
            </w:r>
          </w:p>
        </w:tc>
      </w:tr>
      <w:tr>
        <w:trPr>
          <w:cantSplit w:val="true"/>
          <w:trHeight w:hRule="atLeast"/>
        </w:trPr>
        <w:tc>
          <w:tcPr>
            <w:tcW w:type="dxa" w:w="4929"/>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8"/>
              </w:rPr>
              <w:t>WEHAGO 측 조치</w:t>
            </w:r>
          </w:p>
        </w:tc>
        <w:tc>
          <w:tcPr>
            <w:tcW w:type="dxa" w:w="4929"/>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8"/>
              </w:rPr>
              <w:t>자동화 금지 공지, 고객센터의 명시적 중단 회신, 계정 제한, CAPTCHA·추가 인증의 반복 발생</w:t>
            </w:r>
          </w:p>
        </w:tc>
      </w:tr>
      <w:tr>
        <w:trPr>
          <w:cantSplit w:val="true"/>
          <w:trHeight w:hRule="atLeast"/>
        </w:trPr>
        <w:tc>
          <w:tcPr>
            <w:tcW w:type="dxa" w:w="4929"/>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8"/>
              </w:rPr>
              <w:t>사업모델 변경</w:t>
            </w:r>
          </w:p>
        </w:tc>
        <w:tc>
          <w:tcPr>
            <w:tcW w:type="dxa" w:w="4929"/>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8"/>
              </w:rPr>
              <w:t>WEHAGO 계정·라이선스 결합 판매, 신고 대행, 성과보수형 세무업무, 중앙집중형 데이터 분석</w:t>
            </w:r>
          </w:p>
        </w:tc>
      </w:tr>
      <w:tr>
        <w:trPr>
          <w:cantSplit w:val="true"/>
          <w:trHeight w:hRule="atLeast"/>
        </w:trPr>
        <w:tc>
          <w:tcPr>
            <w:tcW w:type="dxa" w:w="4929"/>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8"/>
              </w:rPr>
              <w:t>운영 규모 변경</w:t>
            </w:r>
          </w:p>
        </w:tc>
        <w:tc>
          <w:tcPr>
            <w:tcW w:type="dxa" w:w="4929"/>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8"/>
              </w:rPr>
              <w:t>다수 회계법인의 대량 병렬 실행, 야간 무인처리, 사용자 설정에 의한 무제한 요청</w:t>
            </w:r>
          </w:p>
        </w:tc>
      </w:tr>
      <w:tr>
        <w:trPr>
          <w:cantSplit w:val="true"/>
          <w:trHeight w:hRule="atLeast"/>
        </w:trPr>
        <w:tc>
          <w:tcPr>
            <w:tcW w:type="dxa" w:w="4929"/>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8"/>
              </w:rPr>
              <w:t>법령·판례 변경</w:t>
            </w:r>
          </w:p>
        </w:tc>
        <w:tc>
          <w:tcPr>
            <w:tcW w:type="dxa" w:w="4929"/>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8"/>
              </w:rPr>
              <w:t>접근권한, 자동화, 개인정보, 세무대리 관련 법령 개정 또는 신규 대법원 판결</w:t>
            </w:r>
          </w:p>
        </w:tc>
      </w:tr>
    </w:tbl>
    <w:p>
      <w:pPr>
        <w:spacing w:after="20"/>
        <w:widowControl w:val="1"/>
      </w:pPr>
    </w:p>
    <w:p>
      <w:pPr>
        <w:keepNext/>
        <w:spacing w:before="280" w:after="140" w:line="252" w:lineRule="auto"/>
        <w:pBdr>
          <w:bottom w:val="single" w:sz="8" w:space="4" w:color="2F75B5"/>
        </w:pBdr>
        <w:widowControl w:val="1"/>
      </w:pPr>
      <w:r>
        <w:rPr>
          <w:rFonts w:ascii="Noto Sans CJK KR" w:hAnsi="Noto Sans CJK KR" w:eastAsia="Noto Sans CJK KR"/>
          <w:b/>
          <w:color w:val="17365D"/>
          <w:sz w:val="31"/>
          <w:lang w:eastAsia="ko-KR"/>
        </w:rPr>
        <w:t>10. 최종 의견</w:t>
      </w:r>
    </w:p>
    <w:p>
      <w:pPr>
        <w:spacing w:after="100" w:before="0" w:line="341" w:lineRule="auto"/>
        <w:jc w:val="both"/>
        <w:widowControl w:val="1"/>
      </w:pPr>
      <w:r>
        <w:rPr>
          <w:rFonts w:ascii="Noto Sans CJK KR" w:hAnsi="Noto Sans CJK KR" w:eastAsia="Noto Sans CJK KR"/>
          <w:b w:val="0"/>
          <w:i w:val="0"/>
          <w:color w:val="222222"/>
          <w:sz w:val="20"/>
          <w:lang w:eastAsia="ko-KR"/>
        </w:rPr>
        <w:t>본 보고서의 전제가 실제 구현과 운영에서 모두 유지된다는 조건 아래, 해당 프로그램은 WEHAGO의 계정·서비스를 제3자가 대신 이용하거나 WEHAGO 데이터를 수집·재판매하는 서비스보다는, 정식 이용자의 로컬 브라우저 입력을 보조하는 업무도구로 평가될 가능성이 높습니다.</w:t>
      </w:r>
    </w:p>
    <w:p>
      <w:pPr>
        <w:spacing w:after="100" w:before="0" w:line="341" w:lineRule="auto"/>
        <w:jc w:val="both"/>
        <w:widowControl w:val="1"/>
      </w:pPr>
      <w:r>
        <w:rPr>
          <w:rFonts w:ascii="Noto Sans CJK KR" w:hAnsi="Noto Sans CJK KR" w:eastAsia="Noto Sans CJK KR"/>
          <w:b w:val="0"/>
          <w:i w:val="0"/>
          <w:color w:val="222222"/>
          <w:sz w:val="20"/>
          <w:lang w:eastAsia="ko-KR"/>
        </w:rPr>
        <w:t>공개적으로 확인되는 WEHAGO 관련 문서에서는 공개 UI 기반 제3자 로컬 RPA를 포괄적으로 금지하는 명시 조항을 찾지 못했으며, 국내 유사 판례도 자동화 프로그램의 사용·판매 자체만으로 정보통신망 침입, 악성프로그램 유포 또는 업무방해가 성립하는 것은 아니라는 점을 보여줍니다. 반면 접근 제한의 우회, 대량 트래픽, 데이터의 조직적 복제, 경쟁영업 활용, 판매자의 계정 사용은 책임을 크게 높이는 요소입니다.</w:t>
      </w:r>
    </w:p>
    <w:tbl>
      <w:tblPr>
        <w:tblW w:type="auto" w:w="0"/>
        <w:jc w:val="center"/>
        <w:tblLook w:firstColumn="1" w:firstRow="1" w:lastColumn="0" w:lastRow="0" w:noHBand="0" w:noVBand="1" w:val="04A0"/>
        <w:tblLayout w:type="fixed"/>
      </w:tblPr>
      <w:tblGrid>
        <w:gridCol w:w="9858"/>
      </w:tblGrid>
      <w:tr>
        <w:trPr>
          <w:cantSplit w:val="true"/>
        </w:trPr>
        <w:tc>
          <w:tcPr>
            <w:tcW w:type="dxa" w:w="9071"/>
            <w:shd w:fill="EDF4FB"/>
            <w:tcMar>
              <w:top w:w="140" w:type="dxa"/>
              <w:start w:w="180" w:type="dxa"/>
              <w:bottom w:w="140" w:type="dxa"/>
              <w:end w:w="180" w:type="dxa"/>
            </w:tcMar>
            <w:tcBorders>
              <w:top w:val="nil"/>
              <w:left w:val="single" w:sz="28" w:color="2F75B5"/>
              <w:bottom w:val="nil"/>
              <w:right w:val="nil"/>
            </w:tcBorders>
          </w:tcPr>
          <w:p>
            <w:pPr>
              <w:spacing w:after="60"/>
            </w:pPr>
            <w:r>
              <w:rPr>
                <w:rFonts w:ascii="Noto Sans CJK KR" w:hAnsi="Noto Sans CJK KR" w:eastAsia="Noto Sans CJK KR"/>
                <w:b/>
                <w:color w:val="17365D"/>
                <w:sz w:val="21"/>
              </w:rPr>
              <w:t>최종 결론</w:t>
            </w:r>
          </w:p>
          <w:p>
            <w:pPr>
              <w:spacing w:after="0" w:line="317" w:lineRule="auto"/>
            </w:pPr>
            <w:r>
              <w:rPr>
                <w:rFonts w:ascii="Noto Sans CJK KR" w:hAnsi="Noto Sans CJK KR" w:eastAsia="Noto Sans CJK KR"/>
                <w:color w:val="222222"/>
                <w:sz w:val="19"/>
              </w:rPr>
              <w:t>현재 구조는 “명시적 약관 위반 가능성이 높은 제품”이 아니라 “엄격한 기술·운영 통제를 전제로 판매를 검토할 수 있는 제품”에 가깝습니다. 다만 더존비즈온이 공개 UI를 포함한 외부 자동화를 명시적으로 금지하거나 중단을 요구한 경우에는 즉시 재검토하고, 우회 없이 기능을 중단하는 정책이 필요합니다.</w:t>
            </w:r>
          </w:p>
        </w:tc>
      </w:tr>
    </w:tbl>
    <w:p>
      <w:pPr>
        <w:spacing w:after="0"/>
        <w:widowControl w:val="1"/>
      </w:pPr>
    </w:p>
    <w:p>
      <w:pPr>
        <w:keepNext/>
        <w:spacing w:before="200" w:after="100"/>
        <w:widowControl w:val="1"/>
      </w:pPr>
      <w:r>
        <w:rPr>
          <w:rFonts w:ascii="Noto Sans CJK KR" w:hAnsi="Noto Sans CJK KR" w:eastAsia="Noto Sans CJK KR"/>
          <w:b/>
          <w:color w:val="17365D"/>
          <w:sz w:val="24"/>
          <w:lang w:eastAsia="ko-KR"/>
        </w:rPr>
        <w:t>10.1 출시 의사결정 체크</w:t>
      </w:r>
    </w:p>
    <w:tbl>
      <w:tblPr>
        <w:tblW w:type="auto" w:w="0"/>
        <w:jc w:val="center"/>
        <w:tblLayout w:type="fixed"/>
        <w:tblLook w:firstColumn="1" w:firstRow="1" w:lastColumn="0" w:lastRow="0" w:noHBand="0" w:noVBand="1" w:val="04A0"/>
      </w:tblPr>
      <w:tblGrid>
        <w:gridCol w:w="4929"/>
        <w:gridCol w:w="4929"/>
      </w:tblGrid>
      <w:tr>
        <w:trPr>
          <w:tblHeader w:val="true"/>
          <w:cantSplit w:val="true"/>
        </w:trPr>
        <w:tc>
          <w:tcPr>
            <w:tcW w:type="dxa" w:w="1701"/>
            <w:shd w:fill="17365D"/>
            <w:tcMar>
              <w:top w:w="110" w:type="dxa"/>
              <w:start w:w="100" w:type="dxa"/>
              <w:bottom w:w="110" w:type="dxa"/>
              <w:end w:w="100" w:type="dxa"/>
            </w:tcMar>
            <w:tcBorders>
              <w:top w:val="single" w:sz="4" w:color="B4C6E7"/>
              <w:left w:val="single" w:sz="4" w:color="B4C6E7"/>
              <w:bottom w:val="single" w:sz="4" w:color="B4C6E7"/>
              <w:right w:val="single" w:sz="4" w:color="B4C6E7"/>
            </w:tcBorders>
            <w:vAlign w:val="center"/>
          </w:tcPr>
          <w:p>
            <w:pPr>
              <w:spacing w:after="0"/>
              <w:jc w:val="center"/>
            </w:pPr>
            <w:r>
              <w:rPr>
                <w:rFonts w:ascii="Noto Sans CJK KR" w:hAnsi="Noto Sans CJK KR" w:eastAsia="Noto Sans CJK KR"/>
                <w:b/>
                <w:color w:val="FFFFFF"/>
                <w:sz w:val="18"/>
              </w:rPr>
              <w:t>판정</w:t>
            </w:r>
          </w:p>
        </w:tc>
        <w:tc>
          <w:tcPr>
            <w:tcW w:type="dxa" w:w="7370"/>
            <w:shd w:fill="17365D"/>
            <w:tcMar>
              <w:top w:w="110" w:type="dxa"/>
              <w:start w:w="100" w:type="dxa"/>
              <w:bottom w:w="110" w:type="dxa"/>
              <w:end w:w="100" w:type="dxa"/>
            </w:tcMar>
            <w:tcBorders>
              <w:top w:val="single" w:sz="4" w:color="B4C6E7"/>
              <w:left w:val="single" w:sz="4" w:color="B4C6E7"/>
              <w:bottom w:val="single" w:sz="4" w:color="B4C6E7"/>
              <w:right w:val="single" w:sz="4" w:color="B4C6E7"/>
            </w:tcBorders>
            <w:vAlign w:val="center"/>
          </w:tcPr>
          <w:p>
            <w:pPr>
              <w:spacing w:after="0"/>
              <w:jc w:val="center"/>
            </w:pPr>
            <w:r>
              <w:rPr>
                <w:rFonts w:ascii="Noto Sans CJK KR" w:hAnsi="Noto Sans CJK KR" w:eastAsia="Noto Sans CJK KR"/>
                <w:b/>
                <w:color w:val="FFFFFF"/>
                <w:sz w:val="18"/>
              </w:rPr>
              <w:t>조건</w:t>
            </w:r>
          </w:p>
        </w:tc>
      </w:tr>
      <w:tr>
        <w:trPr>
          <w:cantSplit w:val="true"/>
          <w:trHeight w:hRule="atLeast"/>
        </w:trPr>
        <w:tc>
          <w:tcPr>
            <w:tcW w:type="dxa" w:w="4929"/>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8"/>
              </w:rPr>
              <w:t>GO</w:t>
            </w:r>
          </w:p>
        </w:tc>
        <w:tc>
          <w:tcPr>
            <w:tcW w:type="dxa" w:w="4929"/>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8"/>
              </w:rPr>
              <w:t>직접 로그인·완전 로컬·공개 UI·외부 데이터 전송 없음·사람 최종 승인·속도 제한이 모두 검증된 경우</w:t>
            </w:r>
          </w:p>
        </w:tc>
      </w:tr>
      <w:tr>
        <w:trPr>
          <w:cantSplit w:val="true"/>
          <w:trHeight w:hRule="atLeast"/>
        </w:trPr>
        <w:tc>
          <w:tcPr>
            <w:tcW w:type="dxa" w:w="4929"/>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8"/>
              </w:rPr>
              <w:t>조건부 GO</w:t>
            </w:r>
          </w:p>
        </w:tc>
        <w:tc>
          <w:tcPr>
            <w:tcW w:type="dxa" w:w="4929"/>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8"/>
              </w:rPr>
              <w:t>공식 제휴나 기술지원만 거절됐으나 자동화 자체의 명시 금지가 없고, 비제휴 고지 및 중단정책을 적용한 경우</w:t>
            </w:r>
          </w:p>
        </w:tc>
      </w:tr>
      <w:tr>
        <w:trPr>
          <w:cantSplit w:val="true"/>
          <w:trHeight w:hRule="atLeast"/>
        </w:trPr>
        <w:tc>
          <w:tcPr>
            <w:tcW w:type="dxa" w:w="4929"/>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8"/>
              </w:rPr>
              <w:t>HOLD</w:t>
            </w:r>
          </w:p>
        </w:tc>
        <w:tc>
          <w:tcPr>
            <w:tcW w:type="dxa" w:w="4929"/>
            <w:shd w:fill="FFFFFF"/>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8"/>
              </w:rPr>
              <w:t>로그·원격지원·라이선스 서버를 통해 신고정보 또는 세션정보가 외부로 전송될 가능성이 있는 경우</w:t>
            </w:r>
          </w:p>
        </w:tc>
      </w:tr>
      <w:tr>
        <w:trPr>
          <w:cantSplit w:val="true"/>
          <w:trHeight w:hRule="atLeast"/>
        </w:trPr>
        <w:tc>
          <w:tcPr>
            <w:tcW w:type="dxa" w:w="4929"/>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8"/>
              </w:rPr>
              <w:t>STOP</w:t>
            </w:r>
          </w:p>
        </w:tc>
        <w:tc>
          <w:tcPr>
            <w:tcW w:type="dxa" w:w="4929"/>
            <w:shd w:fill="F8FAFD"/>
            <w:tcMar>
              <w:top w:w="90" w:type="dxa"/>
              <w:start w:w="95" w:type="dxa"/>
              <w:bottom w:w="90" w:type="dxa"/>
              <w:end w:w="95" w:type="dxa"/>
            </w:tcMar>
            <w:tcBorders>
              <w:top w:val="single" w:sz="3" w:color="D9E2F3"/>
              <w:left w:val="single" w:sz="3" w:color="D9E2F3"/>
              <w:bottom w:val="single" w:sz="3" w:color="D9E2F3"/>
              <w:right w:val="single" w:sz="3" w:color="D9E2F3"/>
            </w:tcBorders>
            <w:vAlign w:val="center"/>
          </w:tcPr>
          <w:p>
            <w:pPr>
              <w:spacing w:after="0" w:line="288" w:lineRule="auto"/>
              <w:jc w:val="left"/>
            </w:pPr>
            <w:r>
              <w:rPr>
                <w:rFonts w:ascii="Noto Sans CJK KR" w:hAnsi="Noto Sans CJK KR" w:eastAsia="Noto Sans CJK KR"/>
                <w:color w:val="222222"/>
                <w:sz w:val="18"/>
              </w:rPr>
              <w:t>더존이 공개 UI 포함 제3자 자동화를 명시적으로 금지했거나, 차단 우회·내부 API·무인 제출이 필요한 경우</w:t>
            </w:r>
          </w:p>
        </w:tc>
      </w:tr>
    </w:tbl>
    <w:p>
      <w:pPr>
        <w:spacing w:after="20"/>
        <w:widowControl w:val="1"/>
      </w:pPr>
    </w:p>
    <w:p>
      <w:pPr>
        <w:keepNext/>
        <w:spacing w:before="280" w:after="140" w:line="252" w:lineRule="auto"/>
        <w:pBdr>
          <w:bottom w:val="single" w:sz="8" w:space="4" w:color="2F75B5"/>
        </w:pBdr>
        <w:widowControl w:val="1"/>
      </w:pPr>
      <w:r>
        <w:rPr>
          <w:rFonts w:ascii="Noto Sans CJK KR" w:hAnsi="Noto Sans CJK KR" w:eastAsia="Noto Sans CJK KR"/>
          <w:b/>
          <w:color w:val="17365D"/>
          <w:sz w:val="31"/>
          <w:lang w:eastAsia="ko-KR"/>
        </w:rPr>
        <w:t>11. 참고자료 및 출처</w:t>
      </w:r>
    </w:p>
    <w:p>
      <w:pPr>
        <w:spacing w:after="100" w:before="0" w:line="341" w:lineRule="auto"/>
        <w:jc w:val="both"/>
        <w:widowControl w:val="1"/>
      </w:pPr>
      <w:r>
        <w:rPr>
          <w:rFonts w:ascii="Noto Sans CJK KR" w:hAnsi="Noto Sans CJK KR" w:eastAsia="Noto Sans CJK KR"/>
          <w:b w:val="0"/>
          <w:i w:val="0"/>
          <w:color w:val="666666"/>
          <w:sz w:val="18"/>
          <w:lang w:eastAsia="ko-KR"/>
        </w:rPr>
        <w:t>아래 자료는 보고서 작성 시 확인한 주요 공식 자료입니다. WEHAGO 정책센터의 동적 구조와 개별 계약의 비공개성 때문에, 실제 출시 직전에는 고객의 계약서와 최신 정책을 다시 확인해야 합니다.</w:t>
      </w:r>
    </w:p>
    <w:tbl>
      <w:tblPr>
        <w:tblW w:type="auto" w:w="0"/>
        <w:jc w:val="center"/>
        <w:tblLook w:firstColumn="1" w:firstRow="1" w:lastColumn="0" w:lastRow="0" w:noHBand="0" w:noVBand="1" w:val="04A0"/>
        <w:tblLayout w:type="fixed"/>
      </w:tblPr>
      <w:tblGrid>
        <w:gridCol w:w="3286"/>
        <w:gridCol w:w="3286"/>
        <w:gridCol w:w="3286"/>
      </w:tblGrid>
      <w:tr>
        <w:trPr>
          <w:tblHeader w:val="true"/>
          <w:cantSplit w:val="true"/>
        </w:trPr>
        <w:tc>
          <w:tcPr>
            <w:tcW w:type="dxa" w:w="1304"/>
            <w:shd w:fill="17365D"/>
            <w:tcMar>
              <w:top w:w="75" w:type="dxa"/>
              <w:start w:w="80" w:type="dxa"/>
              <w:bottom w:w="75" w:type="dxa"/>
              <w:end w:w="80" w:type="dxa"/>
            </w:tcMar>
            <w:tcBorders>
              <w:top w:val="single" w:sz="4" w:color="B4C6E7"/>
              <w:left w:val="single" w:sz="4" w:color="B4C6E7"/>
              <w:bottom w:val="single" w:sz="4" w:color="B4C6E7"/>
              <w:right w:val="single" w:sz="4" w:color="B4C6E7"/>
            </w:tcBorders>
          </w:tcPr>
          <w:p>
            <w:pPr>
              <w:spacing w:after="0"/>
              <w:jc w:val="center"/>
            </w:pPr>
            <w:r>
              <w:rPr>
                <w:rFonts w:ascii="Noto Sans CJK KR" w:hAnsi="Noto Sans CJK KR" w:eastAsia="Noto Sans CJK KR"/>
                <w:b/>
                <w:color w:val="FFFFFF"/>
                <w:sz w:val="17"/>
              </w:rPr>
              <w:t>구분</w:t>
            </w:r>
          </w:p>
        </w:tc>
        <w:tc>
          <w:tcPr>
            <w:tcW w:type="dxa" w:w="4762"/>
            <w:shd w:fill="17365D"/>
            <w:tcMar>
              <w:top w:w="75" w:type="dxa"/>
              <w:start w:w="80" w:type="dxa"/>
              <w:bottom w:w="75" w:type="dxa"/>
              <w:end w:w="80" w:type="dxa"/>
            </w:tcMar>
            <w:tcBorders>
              <w:top w:val="single" w:sz="4" w:color="B4C6E7"/>
              <w:left w:val="single" w:sz="4" w:color="B4C6E7"/>
              <w:bottom w:val="single" w:sz="4" w:color="B4C6E7"/>
              <w:right w:val="single" w:sz="4" w:color="B4C6E7"/>
            </w:tcBorders>
          </w:tcPr>
          <w:p>
            <w:pPr>
              <w:spacing w:after="0"/>
              <w:jc w:val="center"/>
            </w:pPr>
            <w:r>
              <w:rPr>
                <w:rFonts w:ascii="Noto Sans CJK KR" w:hAnsi="Noto Sans CJK KR" w:eastAsia="Noto Sans CJK KR"/>
                <w:b/>
                <w:color w:val="FFFFFF"/>
                <w:sz w:val="17"/>
              </w:rPr>
              <w:t>자료명</w:t>
            </w:r>
          </w:p>
        </w:tc>
        <w:tc>
          <w:tcPr>
            <w:tcW w:type="dxa" w:w="3005"/>
            <w:shd w:fill="17365D"/>
            <w:tcMar>
              <w:top w:w="75" w:type="dxa"/>
              <w:start w:w="80" w:type="dxa"/>
              <w:bottom w:w="75" w:type="dxa"/>
              <w:end w:w="80" w:type="dxa"/>
            </w:tcMar>
            <w:tcBorders>
              <w:top w:val="single" w:sz="4" w:color="B4C6E7"/>
              <w:left w:val="single" w:sz="4" w:color="B4C6E7"/>
              <w:bottom w:val="single" w:sz="4" w:color="B4C6E7"/>
              <w:right w:val="single" w:sz="4" w:color="B4C6E7"/>
            </w:tcBorders>
          </w:tcPr>
          <w:p>
            <w:pPr>
              <w:spacing w:after="0"/>
              <w:jc w:val="center"/>
            </w:pPr>
            <w:r>
              <w:rPr>
                <w:rFonts w:ascii="Noto Sans CJK KR" w:hAnsi="Noto Sans CJK KR" w:eastAsia="Noto Sans CJK KR"/>
                <w:b/>
                <w:color w:val="FFFFFF"/>
                <w:sz w:val="17"/>
              </w:rPr>
              <w:t>링크</w:t>
            </w:r>
          </w:p>
        </w:tc>
      </w:tr>
      <w:tr>
        <w:trPr>
          <w:cantSplit w:val="true"/>
        </w:trPr>
        <w:tc>
          <w:tcPr>
            <w:tcW w:type="dxa" w:w="3286"/>
            <w:shd w:fill="FFFFFF"/>
            <w:tcMar>
              <w:top w:w="55" w:type="dxa"/>
              <w:start w:w="75" w:type="dxa"/>
              <w:bottom w:w="55" w:type="dxa"/>
              <w:end w:w="75" w:type="dxa"/>
            </w:tcMar>
            <w:tcBorders>
              <w:top w:val="single" w:sz="3" w:color="D9E2F3"/>
              <w:left w:val="single" w:sz="3" w:color="D9E2F3"/>
              <w:bottom w:val="single" w:sz="3" w:color="D9E2F3"/>
              <w:right w:val="single" w:sz="3" w:color="D9E2F3"/>
            </w:tcBorders>
          </w:tcPr>
          <w:p>
            <w:pPr>
              <w:spacing w:after="0"/>
            </w:pPr>
            <w:r>
              <w:rPr>
                <w:rFonts w:ascii="Noto Sans CJK KR" w:hAnsi="Noto Sans CJK KR" w:eastAsia="Noto Sans CJK KR"/>
                <w:b/>
                <w:color w:val="17365D"/>
                <w:sz w:val="16"/>
              </w:rPr>
              <w:t>공식자료 1</w:t>
            </w:r>
          </w:p>
        </w:tc>
        <w:tc>
          <w:tcPr>
            <w:tcW w:type="dxa" w:w="3286"/>
            <w:shd w:fill="FFFFFF"/>
            <w:tcMar>
              <w:top w:w="55" w:type="dxa"/>
              <w:start w:w="75" w:type="dxa"/>
              <w:bottom w:w="55" w:type="dxa"/>
              <w:end w:w="75" w:type="dxa"/>
            </w:tcMar>
            <w:tcBorders>
              <w:top w:val="single" w:sz="3" w:color="D9E2F3"/>
              <w:left w:val="single" w:sz="3" w:color="D9E2F3"/>
              <w:bottom w:val="single" w:sz="3" w:color="D9E2F3"/>
              <w:right w:val="single" w:sz="3" w:color="D9E2F3"/>
            </w:tcBorders>
          </w:tcPr>
          <w:p>
            <w:pPr>
              <w:spacing w:after="0"/>
            </w:pPr>
            <w:r>
              <w:rPr>
                <w:rFonts w:ascii="Noto Sans CJK KR" w:hAnsi="Noto Sans CJK KR" w:eastAsia="Noto Sans CJK KR"/>
                <w:sz w:val="16"/>
              </w:rPr>
              <w:t>WEHAGO 서비스 이용약관(정책센터, key=233)</w:t>
            </w:r>
          </w:p>
        </w:tc>
        <w:tc>
          <w:tcPr>
            <w:tcW w:type="dxa" w:w="3286"/>
            <w:shd w:fill="FFFFFF"/>
            <w:tcMar>
              <w:top w:w="55" w:type="dxa"/>
              <w:start w:w="75" w:type="dxa"/>
              <w:bottom w:w="55" w:type="dxa"/>
              <w:end w:w="75" w:type="dxa"/>
            </w:tcMar>
            <w:tcBorders>
              <w:top w:val="single" w:sz="3" w:color="D9E2F3"/>
              <w:left w:val="single" w:sz="3" w:color="D9E2F3"/>
              <w:bottom w:val="single" w:sz="3" w:color="D9E2F3"/>
              <w:right w:val="single" w:sz="3" w:color="D9E2F3"/>
            </w:tcBorders>
          </w:tcPr>
          <w:p>
            <w:pPr>
              <w:spacing w:after="0"/>
            </w:pPr>
            <w:hyperlink r:id="rId11">
              <w:r>
                <w:rPr>
                  <w:color w:val="0563C1"/>
                  <w:u w:val="single"/>
                  <w:rFonts w:ascii="Noto Sans CJK KR" w:hAnsi="Noto Sans CJK KR" w:eastAsia="Noto Sans CJK KR"/>
                  <w:sz w:val="18"/>
                </w:rPr>
                <w:t>원문 보기</w:t>
              </w:r>
            </w:hyperlink>
          </w:p>
        </w:tc>
      </w:tr>
      <w:tr>
        <w:trPr>
          <w:cantSplit w:val="true"/>
        </w:trPr>
        <w:tc>
          <w:tcPr>
            <w:tcW w:type="dxa" w:w="3286"/>
            <w:shd w:fill="F8FAFD"/>
            <w:tcMar>
              <w:top w:w="55" w:type="dxa"/>
              <w:start w:w="75" w:type="dxa"/>
              <w:bottom w:w="55" w:type="dxa"/>
              <w:end w:w="75" w:type="dxa"/>
            </w:tcMar>
            <w:tcBorders>
              <w:top w:val="single" w:sz="3" w:color="D9E2F3"/>
              <w:left w:val="single" w:sz="3" w:color="D9E2F3"/>
              <w:bottom w:val="single" w:sz="3" w:color="D9E2F3"/>
              <w:right w:val="single" w:sz="3" w:color="D9E2F3"/>
            </w:tcBorders>
          </w:tcPr>
          <w:p>
            <w:pPr>
              <w:spacing w:after="0"/>
            </w:pPr>
            <w:r>
              <w:rPr>
                <w:rFonts w:ascii="Noto Sans CJK KR" w:hAnsi="Noto Sans CJK KR" w:eastAsia="Noto Sans CJK KR"/>
                <w:b/>
                <w:color w:val="17365D"/>
                <w:sz w:val="16"/>
              </w:rPr>
              <w:t>공식자료 2</w:t>
            </w:r>
          </w:p>
        </w:tc>
        <w:tc>
          <w:tcPr>
            <w:tcW w:type="dxa" w:w="3286"/>
            <w:shd w:fill="F8FAFD"/>
            <w:tcMar>
              <w:top w:w="55" w:type="dxa"/>
              <w:start w:w="75" w:type="dxa"/>
              <w:bottom w:w="55" w:type="dxa"/>
              <w:end w:w="75" w:type="dxa"/>
            </w:tcMar>
            <w:tcBorders>
              <w:top w:val="single" w:sz="3" w:color="D9E2F3"/>
              <w:left w:val="single" w:sz="3" w:color="D9E2F3"/>
              <w:bottom w:val="single" w:sz="3" w:color="D9E2F3"/>
              <w:right w:val="single" w:sz="3" w:color="D9E2F3"/>
            </w:tcBorders>
          </w:tcPr>
          <w:p>
            <w:pPr>
              <w:spacing w:after="0"/>
            </w:pPr>
            <w:r>
              <w:rPr>
                <w:rFonts w:ascii="Noto Sans CJK KR" w:hAnsi="Noto Sans CJK KR" w:eastAsia="Noto Sans CJK KR"/>
                <w:sz w:val="16"/>
              </w:rPr>
              <w:t>WEHAGO 약관 및 정책 메인</w:t>
            </w:r>
          </w:p>
        </w:tc>
        <w:tc>
          <w:tcPr>
            <w:tcW w:type="dxa" w:w="3286"/>
            <w:shd w:fill="F8FAFD"/>
            <w:tcMar>
              <w:top w:w="55" w:type="dxa"/>
              <w:start w:w="75" w:type="dxa"/>
              <w:bottom w:w="55" w:type="dxa"/>
              <w:end w:w="75" w:type="dxa"/>
            </w:tcMar>
            <w:tcBorders>
              <w:top w:val="single" w:sz="3" w:color="D9E2F3"/>
              <w:left w:val="single" w:sz="3" w:color="D9E2F3"/>
              <w:bottom w:val="single" w:sz="3" w:color="D9E2F3"/>
              <w:right w:val="single" w:sz="3" w:color="D9E2F3"/>
            </w:tcBorders>
          </w:tcPr>
          <w:p>
            <w:pPr>
              <w:spacing w:after="0"/>
            </w:pPr>
            <w:hyperlink r:id="rId12">
              <w:r>
                <w:rPr>
                  <w:color w:val="0563C1"/>
                  <w:u w:val="single"/>
                  <w:rFonts w:ascii="Noto Sans CJK KR" w:hAnsi="Noto Sans CJK KR" w:eastAsia="Noto Sans CJK KR"/>
                  <w:sz w:val="18"/>
                </w:rPr>
                <w:t>원문 보기</w:t>
              </w:r>
            </w:hyperlink>
          </w:p>
        </w:tc>
      </w:tr>
      <w:tr>
        <w:trPr>
          <w:cantSplit w:val="true"/>
        </w:trPr>
        <w:tc>
          <w:tcPr>
            <w:tcW w:type="dxa" w:w="3286"/>
            <w:shd w:fill="FFFFFF"/>
            <w:tcMar>
              <w:top w:w="55" w:type="dxa"/>
              <w:start w:w="75" w:type="dxa"/>
              <w:bottom w:w="55" w:type="dxa"/>
              <w:end w:w="75" w:type="dxa"/>
            </w:tcMar>
            <w:tcBorders>
              <w:top w:val="single" w:sz="3" w:color="D9E2F3"/>
              <w:left w:val="single" w:sz="3" w:color="D9E2F3"/>
              <w:bottom w:val="single" w:sz="3" w:color="D9E2F3"/>
              <w:right w:val="single" w:sz="3" w:color="D9E2F3"/>
            </w:tcBorders>
          </w:tcPr>
          <w:p>
            <w:pPr>
              <w:spacing w:after="0"/>
            </w:pPr>
            <w:r>
              <w:rPr>
                <w:rFonts w:ascii="Noto Sans CJK KR" w:hAnsi="Noto Sans CJK KR" w:eastAsia="Noto Sans CJK KR"/>
                <w:b/>
                <w:color w:val="17365D"/>
                <w:sz w:val="16"/>
              </w:rPr>
              <w:t>공식자료 3</w:t>
            </w:r>
          </w:p>
        </w:tc>
        <w:tc>
          <w:tcPr>
            <w:tcW w:type="dxa" w:w="3286"/>
            <w:shd w:fill="FFFFFF"/>
            <w:tcMar>
              <w:top w:w="55" w:type="dxa"/>
              <w:start w:w="75" w:type="dxa"/>
              <w:bottom w:w="55" w:type="dxa"/>
              <w:end w:w="75" w:type="dxa"/>
            </w:tcMar>
            <w:tcBorders>
              <w:top w:val="single" w:sz="3" w:color="D9E2F3"/>
              <w:left w:val="single" w:sz="3" w:color="D9E2F3"/>
              <w:bottom w:val="single" w:sz="3" w:color="D9E2F3"/>
              <w:right w:val="single" w:sz="3" w:color="D9E2F3"/>
            </w:tcBorders>
          </w:tcPr>
          <w:p>
            <w:pPr>
              <w:spacing w:after="0"/>
            </w:pPr>
            <w:r>
              <w:rPr>
                <w:rFonts w:ascii="Noto Sans CJK KR" w:hAnsi="Noto Sans CJK KR" w:eastAsia="Noto Sans CJK KR"/>
                <w:sz w:val="16"/>
              </w:rPr>
              <w:t>WEHAGO T 서비스 이용약관 일부 개정 안내(2024. 3. 8. 시행)</w:t>
            </w:r>
          </w:p>
        </w:tc>
        <w:tc>
          <w:tcPr>
            <w:tcW w:type="dxa" w:w="3286"/>
            <w:shd w:fill="FFFFFF"/>
            <w:tcMar>
              <w:top w:w="55" w:type="dxa"/>
              <w:start w:w="75" w:type="dxa"/>
              <w:bottom w:w="55" w:type="dxa"/>
              <w:end w:w="75" w:type="dxa"/>
            </w:tcMar>
            <w:tcBorders>
              <w:top w:val="single" w:sz="3" w:color="D9E2F3"/>
              <w:left w:val="single" w:sz="3" w:color="D9E2F3"/>
              <w:bottom w:val="single" w:sz="3" w:color="D9E2F3"/>
              <w:right w:val="single" w:sz="3" w:color="D9E2F3"/>
            </w:tcBorders>
          </w:tcPr>
          <w:p>
            <w:pPr>
              <w:spacing w:after="0"/>
            </w:pPr>
            <w:hyperlink r:id="rId13">
              <w:r>
                <w:rPr>
                  <w:color w:val="0563C1"/>
                  <w:u w:val="single"/>
                  <w:rFonts w:ascii="Noto Sans CJK KR" w:hAnsi="Noto Sans CJK KR" w:eastAsia="Noto Sans CJK KR"/>
                  <w:sz w:val="18"/>
                </w:rPr>
                <w:t>원문 보기</w:t>
              </w:r>
            </w:hyperlink>
          </w:p>
        </w:tc>
      </w:tr>
      <w:tr>
        <w:trPr>
          <w:cantSplit w:val="true"/>
        </w:trPr>
        <w:tc>
          <w:tcPr>
            <w:tcW w:type="dxa" w:w="3286"/>
            <w:shd w:fill="F8FAFD"/>
            <w:tcMar>
              <w:top w:w="55" w:type="dxa"/>
              <w:start w:w="75" w:type="dxa"/>
              <w:bottom w:w="55" w:type="dxa"/>
              <w:end w:w="75" w:type="dxa"/>
            </w:tcMar>
            <w:tcBorders>
              <w:top w:val="single" w:sz="3" w:color="D9E2F3"/>
              <w:left w:val="single" w:sz="3" w:color="D9E2F3"/>
              <w:bottom w:val="single" w:sz="3" w:color="D9E2F3"/>
              <w:right w:val="single" w:sz="3" w:color="D9E2F3"/>
            </w:tcBorders>
          </w:tcPr>
          <w:p>
            <w:pPr>
              <w:spacing w:after="0"/>
            </w:pPr>
            <w:r>
              <w:rPr>
                <w:rFonts w:ascii="Noto Sans CJK KR" w:hAnsi="Noto Sans CJK KR" w:eastAsia="Noto Sans CJK KR"/>
                <w:b/>
                <w:color w:val="17365D"/>
                <w:sz w:val="16"/>
              </w:rPr>
              <w:t>공식자료 4</w:t>
            </w:r>
          </w:p>
        </w:tc>
        <w:tc>
          <w:tcPr>
            <w:tcW w:type="dxa" w:w="3286"/>
            <w:shd w:fill="F8FAFD"/>
            <w:tcMar>
              <w:top w:w="55" w:type="dxa"/>
              <w:start w:w="75" w:type="dxa"/>
              <w:bottom w:w="55" w:type="dxa"/>
              <w:end w:w="75" w:type="dxa"/>
            </w:tcMar>
            <w:tcBorders>
              <w:top w:val="single" w:sz="3" w:color="D9E2F3"/>
              <w:left w:val="single" w:sz="3" w:color="D9E2F3"/>
              <w:bottom w:val="single" w:sz="3" w:color="D9E2F3"/>
              <w:right w:val="single" w:sz="3" w:color="D9E2F3"/>
            </w:tcBorders>
          </w:tcPr>
          <w:p>
            <w:pPr>
              <w:spacing w:after="0"/>
            </w:pPr>
            <w:r>
              <w:rPr>
                <w:rFonts w:ascii="Noto Sans CJK KR" w:hAnsi="Noto Sans CJK KR" w:eastAsia="Noto Sans CJK KR"/>
                <w:sz w:val="16"/>
              </w:rPr>
              <w:t>WEHAGO T One AI 서비스 이용약관 일부 개정 안내(2025. 3. 31. 시행)</w:t>
            </w:r>
          </w:p>
        </w:tc>
        <w:tc>
          <w:tcPr>
            <w:tcW w:type="dxa" w:w="3286"/>
            <w:shd w:fill="F8FAFD"/>
            <w:tcMar>
              <w:top w:w="55" w:type="dxa"/>
              <w:start w:w="75" w:type="dxa"/>
              <w:bottom w:w="55" w:type="dxa"/>
              <w:end w:w="75" w:type="dxa"/>
            </w:tcMar>
            <w:tcBorders>
              <w:top w:val="single" w:sz="3" w:color="D9E2F3"/>
              <w:left w:val="single" w:sz="3" w:color="D9E2F3"/>
              <w:bottom w:val="single" w:sz="3" w:color="D9E2F3"/>
              <w:right w:val="single" w:sz="3" w:color="D9E2F3"/>
            </w:tcBorders>
          </w:tcPr>
          <w:p>
            <w:pPr>
              <w:spacing w:after="0"/>
            </w:pPr>
            <w:hyperlink r:id="rId14">
              <w:r>
                <w:rPr>
                  <w:color w:val="0563C1"/>
                  <w:u w:val="single"/>
                  <w:rFonts w:ascii="Noto Sans CJK KR" w:hAnsi="Noto Sans CJK KR" w:eastAsia="Noto Sans CJK KR"/>
                  <w:sz w:val="18"/>
                </w:rPr>
                <w:t>원문 보기</w:t>
              </w:r>
            </w:hyperlink>
          </w:p>
        </w:tc>
      </w:tr>
      <w:tr>
        <w:trPr>
          <w:cantSplit w:val="true"/>
        </w:trPr>
        <w:tc>
          <w:tcPr>
            <w:tcW w:type="dxa" w:w="3286"/>
            <w:shd w:fill="FFFFFF"/>
            <w:tcMar>
              <w:top w:w="55" w:type="dxa"/>
              <w:start w:w="75" w:type="dxa"/>
              <w:bottom w:w="55" w:type="dxa"/>
              <w:end w:w="75" w:type="dxa"/>
            </w:tcMar>
            <w:tcBorders>
              <w:top w:val="single" w:sz="3" w:color="D9E2F3"/>
              <w:left w:val="single" w:sz="3" w:color="D9E2F3"/>
              <w:bottom w:val="single" w:sz="3" w:color="D9E2F3"/>
              <w:right w:val="single" w:sz="3" w:color="D9E2F3"/>
            </w:tcBorders>
          </w:tcPr>
          <w:p>
            <w:pPr>
              <w:spacing w:after="0"/>
            </w:pPr>
            <w:r>
              <w:rPr>
                <w:rFonts w:ascii="Noto Sans CJK KR" w:hAnsi="Noto Sans CJK KR" w:eastAsia="Noto Sans CJK KR"/>
                <w:b/>
                <w:color w:val="17365D"/>
                <w:sz w:val="16"/>
              </w:rPr>
              <w:t>판례 1</w:t>
            </w:r>
          </w:p>
        </w:tc>
        <w:tc>
          <w:tcPr>
            <w:tcW w:type="dxa" w:w="3286"/>
            <w:shd w:fill="FFFFFF"/>
            <w:tcMar>
              <w:top w:w="55" w:type="dxa"/>
              <w:start w:w="75" w:type="dxa"/>
              <w:bottom w:w="55" w:type="dxa"/>
              <w:end w:w="75" w:type="dxa"/>
            </w:tcMar>
            <w:tcBorders>
              <w:top w:val="single" w:sz="3" w:color="D9E2F3"/>
              <w:left w:val="single" w:sz="3" w:color="D9E2F3"/>
              <w:bottom w:val="single" w:sz="3" w:color="D9E2F3"/>
              <w:right w:val="single" w:sz="3" w:color="D9E2F3"/>
            </w:tcBorders>
          </w:tcPr>
          <w:p>
            <w:pPr>
              <w:spacing w:after="0"/>
            </w:pPr>
            <w:r>
              <w:rPr>
                <w:rFonts w:ascii="Noto Sans CJK KR" w:hAnsi="Noto Sans CJK KR" w:eastAsia="Noto Sans CJK KR"/>
                <w:sz w:val="16"/>
              </w:rPr>
              <w:t>대법원 2022. 5. 12. 선고 2021도1533 판결</w:t>
            </w:r>
          </w:p>
        </w:tc>
        <w:tc>
          <w:tcPr>
            <w:tcW w:type="dxa" w:w="3286"/>
            <w:shd w:fill="FFFFFF"/>
            <w:tcMar>
              <w:top w:w="55" w:type="dxa"/>
              <w:start w:w="75" w:type="dxa"/>
              <w:bottom w:w="55" w:type="dxa"/>
              <w:end w:w="75" w:type="dxa"/>
            </w:tcMar>
            <w:tcBorders>
              <w:top w:val="single" w:sz="3" w:color="D9E2F3"/>
              <w:left w:val="single" w:sz="3" w:color="D9E2F3"/>
              <w:bottom w:val="single" w:sz="3" w:color="D9E2F3"/>
              <w:right w:val="single" w:sz="3" w:color="D9E2F3"/>
            </w:tcBorders>
          </w:tcPr>
          <w:p>
            <w:pPr>
              <w:spacing w:after="0"/>
            </w:pPr>
            <w:hyperlink r:id="rId15">
              <w:r>
                <w:rPr>
                  <w:color w:val="0563C1"/>
                  <w:u w:val="single"/>
                  <w:rFonts w:ascii="Noto Sans CJK KR" w:hAnsi="Noto Sans CJK KR" w:eastAsia="Noto Sans CJK KR"/>
                  <w:sz w:val="18"/>
                </w:rPr>
                <w:t>원문 보기</w:t>
              </w:r>
            </w:hyperlink>
          </w:p>
        </w:tc>
      </w:tr>
      <w:tr>
        <w:trPr>
          <w:cantSplit w:val="true"/>
        </w:trPr>
        <w:tc>
          <w:tcPr>
            <w:tcW w:type="dxa" w:w="3286"/>
            <w:shd w:fill="F8FAFD"/>
            <w:tcMar>
              <w:top w:w="55" w:type="dxa"/>
              <w:start w:w="75" w:type="dxa"/>
              <w:bottom w:w="55" w:type="dxa"/>
              <w:end w:w="75" w:type="dxa"/>
            </w:tcMar>
            <w:tcBorders>
              <w:top w:val="single" w:sz="3" w:color="D9E2F3"/>
              <w:left w:val="single" w:sz="3" w:color="D9E2F3"/>
              <w:bottom w:val="single" w:sz="3" w:color="D9E2F3"/>
              <w:right w:val="single" w:sz="3" w:color="D9E2F3"/>
            </w:tcBorders>
          </w:tcPr>
          <w:p>
            <w:pPr>
              <w:spacing w:after="0"/>
            </w:pPr>
            <w:r>
              <w:rPr>
                <w:rFonts w:ascii="Noto Sans CJK KR" w:hAnsi="Noto Sans CJK KR" w:eastAsia="Noto Sans CJK KR"/>
                <w:b/>
                <w:color w:val="17365D"/>
                <w:sz w:val="16"/>
              </w:rPr>
              <w:t>판례 2</w:t>
            </w:r>
          </w:p>
        </w:tc>
        <w:tc>
          <w:tcPr>
            <w:tcW w:type="dxa" w:w="3286"/>
            <w:shd w:fill="F8FAFD"/>
            <w:tcMar>
              <w:top w:w="55" w:type="dxa"/>
              <w:start w:w="75" w:type="dxa"/>
              <w:bottom w:w="55" w:type="dxa"/>
              <w:end w:w="75" w:type="dxa"/>
            </w:tcMar>
            <w:tcBorders>
              <w:top w:val="single" w:sz="3" w:color="D9E2F3"/>
              <w:left w:val="single" w:sz="3" w:color="D9E2F3"/>
              <w:bottom w:val="single" w:sz="3" w:color="D9E2F3"/>
              <w:right w:val="single" w:sz="3" w:color="D9E2F3"/>
            </w:tcBorders>
          </w:tcPr>
          <w:p>
            <w:pPr>
              <w:spacing w:after="0"/>
            </w:pPr>
            <w:r>
              <w:rPr>
                <w:rFonts w:ascii="Noto Sans CJK KR" w:hAnsi="Noto Sans CJK KR" w:eastAsia="Noto Sans CJK KR"/>
                <w:sz w:val="16"/>
              </w:rPr>
              <w:t>대법원 2005. 11. 25. 선고 2005도870 판결</w:t>
            </w:r>
          </w:p>
        </w:tc>
        <w:tc>
          <w:tcPr>
            <w:tcW w:type="dxa" w:w="3286"/>
            <w:shd w:fill="F8FAFD"/>
            <w:tcMar>
              <w:top w:w="55" w:type="dxa"/>
              <w:start w:w="75" w:type="dxa"/>
              <w:bottom w:w="55" w:type="dxa"/>
              <w:end w:w="75" w:type="dxa"/>
            </w:tcMar>
            <w:tcBorders>
              <w:top w:val="single" w:sz="3" w:color="D9E2F3"/>
              <w:left w:val="single" w:sz="3" w:color="D9E2F3"/>
              <w:bottom w:val="single" w:sz="3" w:color="D9E2F3"/>
              <w:right w:val="single" w:sz="3" w:color="D9E2F3"/>
            </w:tcBorders>
          </w:tcPr>
          <w:p>
            <w:pPr>
              <w:spacing w:after="0"/>
            </w:pPr>
            <w:hyperlink r:id="rId16">
              <w:r>
                <w:rPr>
                  <w:color w:val="0563C1"/>
                  <w:u w:val="single"/>
                  <w:rFonts w:ascii="Noto Sans CJK KR" w:hAnsi="Noto Sans CJK KR" w:eastAsia="Noto Sans CJK KR"/>
                  <w:sz w:val="18"/>
                </w:rPr>
                <w:t>원문 보기</w:t>
              </w:r>
            </w:hyperlink>
          </w:p>
        </w:tc>
      </w:tr>
      <w:tr>
        <w:trPr>
          <w:cantSplit w:val="true"/>
        </w:trPr>
        <w:tc>
          <w:tcPr>
            <w:tcW w:type="dxa" w:w="3286"/>
            <w:shd w:fill="FFFFFF"/>
            <w:tcMar>
              <w:top w:w="55" w:type="dxa"/>
              <w:start w:w="75" w:type="dxa"/>
              <w:bottom w:w="55" w:type="dxa"/>
              <w:end w:w="75" w:type="dxa"/>
            </w:tcMar>
            <w:tcBorders>
              <w:top w:val="single" w:sz="3" w:color="D9E2F3"/>
              <w:left w:val="single" w:sz="3" w:color="D9E2F3"/>
              <w:bottom w:val="single" w:sz="3" w:color="D9E2F3"/>
              <w:right w:val="single" w:sz="3" w:color="D9E2F3"/>
            </w:tcBorders>
          </w:tcPr>
          <w:p>
            <w:pPr>
              <w:spacing w:after="0"/>
            </w:pPr>
            <w:r>
              <w:rPr>
                <w:rFonts w:ascii="Noto Sans CJK KR" w:hAnsi="Noto Sans CJK KR" w:eastAsia="Noto Sans CJK KR"/>
                <w:b/>
                <w:color w:val="17365D"/>
                <w:sz w:val="16"/>
              </w:rPr>
              <w:t>판례 3</w:t>
            </w:r>
          </w:p>
        </w:tc>
        <w:tc>
          <w:tcPr>
            <w:tcW w:type="dxa" w:w="3286"/>
            <w:shd w:fill="FFFFFF"/>
            <w:tcMar>
              <w:top w:w="55" w:type="dxa"/>
              <w:start w:w="75" w:type="dxa"/>
              <w:bottom w:w="55" w:type="dxa"/>
              <w:end w:w="75" w:type="dxa"/>
            </w:tcMar>
            <w:tcBorders>
              <w:top w:val="single" w:sz="3" w:color="D9E2F3"/>
              <w:left w:val="single" w:sz="3" w:color="D9E2F3"/>
              <w:bottom w:val="single" w:sz="3" w:color="D9E2F3"/>
              <w:right w:val="single" w:sz="3" w:color="D9E2F3"/>
            </w:tcBorders>
          </w:tcPr>
          <w:p>
            <w:pPr>
              <w:spacing w:after="0"/>
            </w:pPr>
            <w:r>
              <w:rPr>
                <w:rFonts w:ascii="Noto Sans CJK KR" w:hAnsi="Noto Sans CJK KR" w:eastAsia="Noto Sans CJK KR"/>
                <w:sz w:val="16"/>
              </w:rPr>
              <w:t>서울중앙지법 2009. 12. 18. 선고 2009노677 판결</w:t>
            </w:r>
          </w:p>
        </w:tc>
        <w:tc>
          <w:tcPr>
            <w:tcW w:type="dxa" w:w="3286"/>
            <w:shd w:fill="FFFFFF"/>
            <w:tcMar>
              <w:top w:w="55" w:type="dxa"/>
              <w:start w:w="75" w:type="dxa"/>
              <w:bottom w:w="55" w:type="dxa"/>
              <w:end w:w="75" w:type="dxa"/>
            </w:tcMar>
            <w:tcBorders>
              <w:top w:val="single" w:sz="3" w:color="D9E2F3"/>
              <w:left w:val="single" w:sz="3" w:color="D9E2F3"/>
              <w:bottom w:val="single" w:sz="3" w:color="D9E2F3"/>
              <w:right w:val="single" w:sz="3" w:color="D9E2F3"/>
            </w:tcBorders>
          </w:tcPr>
          <w:p>
            <w:pPr>
              <w:spacing w:after="0"/>
            </w:pPr>
            <w:hyperlink r:id="rId17">
              <w:r>
                <w:rPr>
                  <w:color w:val="0563C1"/>
                  <w:u w:val="single"/>
                  <w:rFonts w:ascii="Noto Sans CJK KR" w:hAnsi="Noto Sans CJK KR" w:eastAsia="Noto Sans CJK KR"/>
                  <w:sz w:val="18"/>
                </w:rPr>
                <w:t>원문 보기</w:t>
              </w:r>
            </w:hyperlink>
          </w:p>
        </w:tc>
      </w:tr>
      <w:tr>
        <w:trPr>
          <w:cantSplit w:val="true"/>
        </w:trPr>
        <w:tc>
          <w:tcPr>
            <w:tcW w:type="dxa" w:w="3286"/>
            <w:shd w:fill="F8FAFD"/>
            <w:tcMar>
              <w:top w:w="55" w:type="dxa"/>
              <w:start w:w="75" w:type="dxa"/>
              <w:bottom w:w="55" w:type="dxa"/>
              <w:end w:w="75" w:type="dxa"/>
            </w:tcMar>
            <w:tcBorders>
              <w:top w:val="single" w:sz="3" w:color="D9E2F3"/>
              <w:left w:val="single" w:sz="3" w:color="D9E2F3"/>
              <w:bottom w:val="single" w:sz="3" w:color="D9E2F3"/>
              <w:right w:val="single" w:sz="3" w:color="D9E2F3"/>
            </w:tcBorders>
          </w:tcPr>
          <w:p>
            <w:pPr>
              <w:spacing w:after="0"/>
            </w:pPr>
            <w:r>
              <w:rPr>
                <w:rFonts w:ascii="Noto Sans CJK KR" w:hAnsi="Noto Sans CJK KR" w:eastAsia="Noto Sans CJK KR"/>
                <w:b/>
                <w:color w:val="17365D"/>
                <w:sz w:val="16"/>
              </w:rPr>
              <w:t>판례 4</w:t>
            </w:r>
          </w:p>
        </w:tc>
        <w:tc>
          <w:tcPr>
            <w:tcW w:type="dxa" w:w="3286"/>
            <w:shd w:fill="F8FAFD"/>
            <w:tcMar>
              <w:top w:w="55" w:type="dxa"/>
              <w:start w:w="75" w:type="dxa"/>
              <w:bottom w:w="55" w:type="dxa"/>
              <w:end w:w="75" w:type="dxa"/>
            </w:tcMar>
            <w:tcBorders>
              <w:top w:val="single" w:sz="3" w:color="D9E2F3"/>
              <w:left w:val="single" w:sz="3" w:color="D9E2F3"/>
              <w:bottom w:val="single" w:sz="3" w:color="D9E2F3"/>
              <w:right w:val="single" w:sz="3" w:color="D9E2F3"/>
            </w:tcBorders>
          </w:tcPr>
          <w:p>
            <w:pPr>
              <w:spacing w:after="0"/>
            </w:pPr>
            <w:r>
              <w:rPr>
                <w:rFonts w:ascii="Noto Sans CJK KR" w:hAnsi="Noto Sans CJK KR" w:eastAsia="Noto Sans CJK KR"/>
                <w:sz w:val="16"/>
              </w:rPr>
              <w:t>의정부지법 2017. 9. 11. 선고 2017노309 판결</w:t>
            </w:r>
          </w:p>
        </w:tc>
        <w:tc>
          <w:tcPr>
            <w:tcW w:type="dxa" w:w="3286"/>
            <w:shd w:fill="F8FAFD"/>
            <w:tcMar>
              <w:top w:w="55" w:type="dxa"/>
              <w:start w:w="75" w:type="dxa"/>
              <w:bottom w:w="55" w:type="dxa"/>
              <w:end w:w="75" w:type="dxa"/>
            </w:tcMar>
            <w:tcBorders>
              <w:top w:val="single" w:sz="3" w:color="D9E2F3"/>
              <w:left w:val="single" w:sz="3" w:color="D9E2F3"/>
              <w:bottom w:val="single" w:sz="3" w:color="D9E2F3"/>
              <w:right w:val="single" w:sz="3" w:color="D9E2F3"/>
            </w:tcBorders>
          </w:tcPr>
          <w:p>
            <w:pPr>
              <w:spacing w:after="0"/>
            </w:pPr>
            <w:hyperlink r:id="rId18">
              <w:r>
                <w:rPr>
                  <w:color w:val="0563C1"/>
                  <w:u w:val="single"/>
                  <w:rFonts w:ascii="Noto Sans CJK KR" w:hAnsi="Noto Sans CJK KR" w:eastAsia="Noto Sans CJK KR"/>
                  <w:sz w:val="18"/>
                </w:rPr>
                <w:t>원문 보기</w:t>
              </w:r>
            </w:hyperlink>
          </w:p>
        </w:tc>
      </w:tr>
      <w:tr>
        <w:trPr>
          <w:cantSplit w:val="true"/>
        </w:trPr>
        <w:tc>
          <w:tcPr>
            <w:tcW w:type="dxa" w:w="3286"/>
            <w:shd w:fill="FFFFFF"/>
            <w:tcMar>
              <w:top w:w="55" w:type="dxa"/>
              <w:start w:w="75" w:type="dxa"/>
              <w:bottom w:w="55" w:type="dxa"/>
              <w:end w:w="75" w:type="dxa"/>
            </w:tcMar>
            <w:tcBorders>
              <w:top w:val="single" w:sz="3" w:color="D9E2F3"/>
              <w:left w:val="single" w:sz="3" w:color="D9E2F3"/>
              <w:bottom w:val="single" w:sz="3" w:color="D9E2F3"/>
              <w:right w:val="single" w:sz="3" w:color="D9E2F3"/>
            </w:tcBorders>
          </w:tcPr>
          <w:p>
            <w:pPr>
              <w:spacing w:after="0"/>
            </w:pPr>
            <w:r>
              <w:rPr>
                <w:rFonts w:ascii="Noto Sans CJK KR" w:hAnsi="Noto Sans CJK KR" w:eastAsia="Noto Sans CJK KR"/>
                <w:b/>
                <w:color w:val="17365D"/>
                <w:sz w:val="16"/>
              </w:rPr>
              <w:t>판례 5</w:t>
            </w:r>
          </w:p>
        </w:tc>
        <w:tc>
          <w:tcPr>
            <w:tcW w:type="dxa" w:w="3286"/>
            <w:shd w:fill="FFFFFF"/>
            <w:tcMar>
              <w:top w:w="55" w:type="dxa"/>
              <w:start w:w="75" w:type="dxa"/>
              <w:bottom w:w="55" w:type="dxa"/>
              <w:end w:w="75" w:type="dxa"/>
            </w:tcMar>
            <w:tcBorders>
              <w:top w:val="single" w:sz="3" w:color="D9E2F3"/>
              <w:left w:val="single" w:sz="3" w:color="D9E2F3"/>
              <w:bottom w:val="single" w:sz="3" w:color="D9E2F3"/>
              <w:right w:val="single" w:sz="3" w:color="D9E2F3"/>
            </w:tcBorders>
          </w:tcPr>
          <w:p>
            <w:pPr>
              <w:spacing w:after="0"/>
            </w:pPr>
            <w:r>
              <w:rPr>
                <w:rFonts w:ascii="Noto Sans CJK KR" w:hAnsi="Noto Sans CJK KR" w:eastAsia="Noto Sans CJK KR"/>
                <w:sz w:val="16"/>
              </w:rPr>
              <w:t>서울중앙지법 2021. 8. 19. 선고 2018가합508729 판결</w:t>
            </w:r>
          </w:p>
        </w:tc>
        <w:tc>
          <w:tcPr>
            <w:tcW w:type="dxa" w:w="3286"/>
            <w:shd w:fill="FFFFFF"/>
            <w:tcMar>
              <w:top w:w="55" w:type="dxa"/>
              <w:start w:w="75" w:type="dxa"/>
              <w:bottom w:w="55" w:type="dxa"/>
              <w:end w:w="75" w:type="dxa"/>
            </w:tcMar>
            <w:tcBorders>
              <w:top w:val="single" w:sz="3" w:color="D9E2F3"/>
              <w:left w:val="single" w:sz="3" w:color="D9E2F3"/>
              <w:bottom w:val="single" w:sz="3" w:color="D9E2F3"/>
              <w:right w:val="single" w:sz="3" w:color="D9E2F3"/>
            </w:tcBorders>
          </w:tcPr>
          <w:p>
            <w:pPr>
              <w:spacing w:after="0"/>
            </w:pPr>
            <w:hyperlink r:id="rId19">
              <w:r>
                <w:rPr>
                  <w:color w:val="0563C1"/>
                  <w:u w:val="single"/>
                  <w:rFonts w:ascii="Noto Sans CJK KR" w:hAnsi="Noto Sans CJK KR" w:eastAsia="Noto Sans CJK KR"/>
                  <w:sz w:val="18"/>
                </w:rPr>
                <w:t>원문 보기</w:t>
              </w:r>
            </w:hyperlink>
          </w:p>
        </w:tc>
      </w:tr>
      <w:tr>
        <w:trPr>
          <w:cantSplit w:val="true"/>
        </w:trPr>
        <w:tc>
          <w:tcPr>
            <w:tcW w:type="dxa" w:w="3286"/>
            <w:shd w:fill="F8FAFD"/>
            <w:tcMar>
              <w:top w:w="55" w:type="dxa"/>
              <w:start w:w="75" w:type="dxa"/>
              <w:bottom w:w="55" w:type="dxa"/>
              <w:end w:w="75" w:type="dxa"/>
            </w:tcMar>
            <w:tcBorders>
              <w:top w:val="single" w:sz="3" w:color="D9E2F3"/>
              <w:left w:val="single" w:sz="3" w:color="D9E2F3"/>
              <w:bottom w:val="single" w:sz="3" w:color="D9E2F3"/>
              <w:right w:val="single" w:sz="3" w:color="D9E2F3"/>
            </w:tcBorders>
          </w:tcPr>
          <w:p>
            <w:pPr>
              <w:spacing w:after="0"/>
            </w:pPr>
            <w:r>
              <w:rPr>
                <w:rFonts w:ascii="Noto Sans CJK KR" w:hAnsi="Noto Sans CJK KR" w:eastAsia="Noto Sans CJK KR"/>
                <w:b/>
                <w:color w:val="17365D"/>
                <w:sz w:val="16"/>
              </w:rPr>
              <w:t>법령 1</w:t>
            </w:r>
          </w:p>
        </w:tc>
        <w:tc>
          <w:tcPr>
            <w:tcW w:type="dxa" w:w="3286"/>
            <w:shd w:fill="F8FAFD"/>
            <w:tcMar>
              <w:top w:w="55" w:type="dxa"/>
              <w:start w:w="75" w:type="dxa"/>
              <w:bottom w:w="55" w:type="dxa"/>
              <w:end w:w="75" w:type="dxa"/>
            </w:tcMar>
            <w:tcBorders>
              <w:top w:val="single" w:sz="3" w:color="D9E2F3"/>
              <w:left w:val="single" w:sz="3" w:color="D9E2F3"/>
              <w:bottom w:val="single" w:sz="3" w:color="D9E2F3"/>
              <w:right w:val="single" w:sz="3" w:color="D9E2F3"/>
            </w:tcBorders>
          </w:tcPr>
          <w:p>
            <w:pPr>
              <w:spacing w:after="0"/>
            </w:pPr>
            <w:r>
              <w:rPr>
                <w:rFonts w:ascii="Noto Sans CJK KR" w:hAnsi="Noto Sans CJK KR" w:eastAsia="Noto Sans CJK KR"/>
                <w:sz w:val="16"/>
              </w:rPr>
              <w:t>개인정보 보호법 시행령 제28조(개인정보 처리 업무 위탁 시 조치)</w:t>
            </w:r>
          </w:p>
        </w:tc>
        <w:tc>
          <w:tcPr>
            <w:tcW w:type="dxa" w:w="3286"/>
            <w:shd w:fill="F8FAFD"/>
            <w:tcMar>
              <w:top w:w="55" w:type="dxa"/>
              <w:start w:w="75" w:type="dxa"/>
              <w:bottom w:w="55" w:type="dxa"/>
              <w:end w:w="75" w:type="dxa"/>
            </w:tcMar>
            <w:tcBorders>
              <w:top w:val="single" w:sz="3" w:color="D9E2F3"/>
              <w:left w:val="single" w:sz="3" w:color="D9E2F3"/>
              <w:bottom w:val="single" w:sz="3" w:color="D9E2F3"/>
              <w:right w:val="single" w:sz="3" w:color="D9E2F3"/>
            </w:tcBorders>
          </w:tcPr>
          <w:p>
            <w:pPr>
              <w:spacing w:after="0"/>
            </w:pPr>
            <w:hyperlink r:id="rId20">
              <w:r>
                <w:rPr>
                  <w:color w:val="0563C1"/>
                  <w:u w:val="single"/>
                  <w:rFonts w:ascii="Noto Sans CJK KR" w:hAnsi="Noto Sans CJK KR" w:eastAsia="Noto Sans CJK KR"/>
                  <w:sz w:val="18"/>
                </w:rPr>
                <w:t>원문 보기</w:t>
              </w:r>
            </w:hyperlink>
          </w:p>
        </w:tc>
      </w:tr>
      <w:tr>
        <w:trPr>
          <w:cantSplit w:val="true"/>
        </w:trPr>
        <w:tc>
          <w:tcPr>
            <w:tcW w:type="dxa" w:w="3286"/>
            <w:shd w:fill="FFFFFF"/>
            <w:tcMar>
              <w:top w:w="55" w:type="dxa"/>
              <w:start w:w="75" w:type="dxa"/>
              <w:bottom w:w="55" w:type="dxa"/>
              <w:end w:w="75" w:type="dxa"/>
            </w:tcMar>
            <w:tcBorders>
              <w:top w:val="single" w:sz="3" w:color="D9E2F3"/>
              <w:left w:val="single" w:sz="3" w:color="D9E2F3"/>
              <w:bottom w:val="single" w:sz="3" w:color="D9E2F3"/>
              <w:right w:val="single" w:sz="3" w:color="D9E2F3"/>
            </w:tcBorders>
          </w:tcPr>
          <w:p>
            <w:pPr>
              <w:spacing w:after="0"/>
            </w:pPr>
            <w:r>
              <w:rPr>
                <w:rFonts w:ascii="Noto Sans CJK KR" w:hAnsi="Noto Sans CJK KR" w:eastAsia="Noto Sans CJK KR"/>
                <w:b/>
                <w:color w:val="17365D"/>
                <w:sz w:val="16"/>
              </w:rPr>
              <w:t>법령 2</w:t>
            </w:r>
          </w:p>
        </w:tc>
        <w:tc>
          <w:tcPr>
            <w:tcW w:type="dxa" w:w="3286"/>
            <w:shd w:fill="FFFFFF"/>
            <w:tcMar>
              <w:top w:w="55" w:type="dxa"/>
              <w:start w:w="75" w:type="dxa"/>
              <w:bottom w:w="55" w:type="dxa"/>
              <w:end w:w="75" w:type="dxa"/>
            </w:tcMar>
            <w:tcBorders>
              <w:top w:val="single" w:sz="3" w:color="D9E2F3"/>
              <w:left w:val="single" w:sz="3" w:color="D9E2F3"/>
              <w:bottom w:val="single" w:sz="3" w:color="D9E2F3"/>
              <w:right w:val="single" w:sz="3" w:color="D9E2F3"/>
            </w:tcBorders>
          </w:tcPr>
          <w:p>
            <w:pPr>
              <w:spacing w:after="0"/>
            </w:pPr>
            <w:r>
              <w:rPr>
                <w:rFonts w:ascii="Noto Sans CJK KR" w:hAnsi="Noto Sans CJK KR" w:eastAsia="Noto Sans CJK KR"/>
                <w:sz w:val="16"/>
              </w:rPr>
              <w:t>형법 제314조(업무방해)</w:t>
            </w:r>
          </w:p>
        </w:tc>
        <w:tc>
          <w:tcPr>
            <w:tcW w:type="dxa" w:w="3286"/>
            <w:shd w:fill="FFFFFF"/>
            <w:tcMar>
              <w:top w:w="55" w:type="dxa"/>
              <w:start w:w="75" w:type="dxa"/>
              <w:bottom w:w="55" w:type="dxa"/>
              <w:end w:w="75" w:type="dxa"/>
            </w:tcMar>
            <w:tcBorders>
              <w:top w:val="single" w:sz="3" w:color="D9E2F3"/>
              <w:left w:val="single" w:sz="3" w:color="D9E2F3"/>
              <w:bottom w:val="single" w:sz="3" w:color="D9E2F3"/>
              <w:right w:val="single" w:sz="3" w:color="D9E2F3"/>
            </w:tcBorders>
          </w:tcPr>
          <w:p>
            <w:pPr>
              <w:spacing w:after="0"/>
            </w:pPr>
            <w:hyperlink r:id="rId21">
              <w:r>
                <w:rPr>
                  <w:color w:val="0563C1"/>
                  <w:u w:val="single"/>
                  <w:rFonts w:ascii="Noto Sans CJK KR" w:hAnsi="Noto Sans CJK KR" w:eastAsia="Noto Sans CJK KR"/>
                  <w:sz w:val="18"/>
                </w:rPr>
                <w:t>원문 보기</w:t>
              </w:r>
            </w:hyperlink>
          </w:p>
        </w:tc>
      </w:tr>
      <w:tr>
        <w:trPr>
          <w:cantSplit w:val="true"/>
        </w:trPr>
        <w:tc>
          <w:tcPr>
            <w:tcW w:type="dxa" w:w="3286"/>
            <w:shd w:fill="F8FAFD"/>
            <w:tcMar>
              <w:top w:w="55" w:type="dxa"/>
              <w:start w:w="75" w:type="dxa"/>
              <w:bottom w:w="55" w:type="dxa"/>
              <w:end w:w="75" w:type="dxa"/>
            </w:tcMar>
            <w:tcBorders>
              <w:top w:val="single" w:sz="3" w:color="D9E2F3"/>
              <w:left w:val="single" w:sz="3" w:color="D9E2F3"/>
              <w:bottom w:val="single" w:sz="3" w:color="D9E2F3"/>
              <w:right w:val="single" w:sz="3" w:color="D9E2F3"/>
            </w:tcBorders>
          </w:tcPr>
          <w:p>
            <w:pPr>
              <w:spacing w:after="0"/>
            </w:pPr>
            <w:r>
              <w:rPr>
                <w:rFonts w:ascii="Noto Sans CJK KR" w:hAnsi="Noto Sans CJK KR" w:eastAsia="Noto Sans CJK KR"/>
                <w:b/>
                <w:color w:val="17365D"/>
                <w:sz w:val="16"/>
              </w:rPr>
              <w:t>법령 3</w:t>
            </w:r>
          </w:p>
        </w:tc>
        <w:tc>
          <w:tcPr>
            <w:tcW w:type="dxa" w:w="3286"/>
            <w:shd w:fill="F8FAFD"/>
            <w:tcMar>
              <w:top w:w="55" w:type="dxa"/>
              <w:start w:w="75" w:type="dxa"/>
              <w:bottom w:w="55" w:type="dxa"/>
              <w:end w:w="75" w:type="dxa"/>
            </w:tcMar>
            <w:tcBorders>
              <w:top w:val="single" w:sz="3" w:color="D9E2F3"/>
              <w:left w:val="single" w:sz="3" w:color="D9E2F3"/>
              <w:bottom w:val="single" w:sz="3" w:color="D9E2F3"/>
              <w:right w:val="single" w:sz="3" w:color="D9E2F3"/>
            </w:tcBorders>
          </w:tcPr>
          <w:p>
            <w:pPr>
              <w:spacing w:after="0"/>
            </w:pPr>
            <w:r>
              <w:rPr>
                <w:rFonts w:ascii="Noto Sans CJK KR" w:hAnsi="Noto Sans CJK KR" w:eastAsia="Noto Sans CJK KR"/>
                <w:sz w:val="16"/>
              </w:rPr>
              <w:t>부정경쟁방지 및 영업비밀보호에 관한 법률</w:t>
            </w:r>
          </w:p>
        </w:tc>
        <w:tc>
          <w:tcPr>
            <w:tcW w:type="dxa" w:w="3286"/>
            <w:shd w:fill="F8FAFD"/>
            <w:tcMar>
              <w:top w:w="55" w:type="dxa"/>
              <w:start w:w="75" w:type="dxa"/>
              <w:bottom w:w="55" w:type="dxa"/>
              <w:end w:w="75" w:type="dxa"/>
            </w:tcMar>
            <w:tcBorders>
              <w:top w:val="single" w:sz="3" w:color="D9E2F3"/>
              <w:left w:val="single" w:sz="3" w:color="D9E2F3"/>
              <w:bottom w:val="single" w:sz="3" w:color="D9E2F3"/>
              <w:right w:val="single" w:sz="3" w:color="D9E2F3"/>
            </w:tcBorders>
          </w:tcPr>
          <w:p>
            <w:pPr>
              <w:spacing w:after="0"/>
            </w:pPr>
            <w:hyperlink r:id="rId22">
              <w:r>
                <w:rPr>
                  <w:color w:val="0563C1"/>
                  <w:u w:val="single"/>
                  <w:rFonts w:ascii="Noto Sans CJK KR" w:hAnsi="Noto Sans CJK KR" w:eastAsia="Noto Sans CJK KR"/>
                  <w:sz w:val="18"/>
                </w:rPr>
                <w:t>원문 보기</w:t>
              </w:r>
            </w:hyperlink>
          </w:p>
        </w:tc>
      </w:tr>
    </w:tbl>
    <w:p>
      <w:pPr>
        <w:keepNext/>
        <w:spacing w:before="280" w:after="140" w:line="252" w:lineRule="auto"/>
        <w:pBdr>
          <w:bottom w:val="single" w:sz="8" w:space="4" w:color="2F75B5"/>
        </w:pBdr>
        <w:widowControl w:val="1"/>
      </w:pPr>
      <w:r>
        <w:rPr>
          <w:rFonts w:ascii="Noto Sans CJK KR" w:hAnsi="Noto Sans CJK KR" w:eastAsia="Noto Sans CJK KR"/>
          <w:b/>
          <w:color w:val="17365D"/>
          <w:sz w:val="31"/>
          <w:lang w:eastAsia="ko-KR"/>
        </w:rPr>
        <w:t>12. 면책 및 사용상 주의</w:t>
      </w:r>
    </w:p>
    <w:p>
      <w:pPr>
        <w:spacing w:after="60" w:before="0" w:line="341" w:lineRule="auto"/>
        <w:jc w:val="both"/>
        <w:widowControl w:val="1"/>
      </w:pPr>
      <w:r>
        <w:rPr>
          <w:rFonts w:ascii="Noto Sans CJK KR" w:hAnsi="Noto Sans CJK KR" w:eastAsia="Noto Sans CJK KR"/>
          <w:b w:val="0"/>
          <w:i w:val="0"/>
          <w:color w:val="222222"/>
          <w:sz w:val="18"/>
          <w:lang w:eastAsia="ko-KR"/>
        </w:rPr>
        <w:t>본 보고서는 공개자료에 기초한 일반적인 사전 검토이며, 특정 거래 또는 분쟁에 관한 법률자문이나 소송결과의 보장을 의미하지 않습니다. 실제 출시 전에는 다음 자료를 변호사에게 제공해 최종 검토받는 것이 바람직합니다.</w:t>
      </w:r>
    </w:p>
    <w:p>
      <w:pPr>
        <w:spacing w:after="50" w:line="312" w:lineRule="auto"/>
        <w:ind w:left="283" w:hanging="227"/>
        <w:widowControl w:val="1"/>
      </w:pPr>
      <w:r>
        <w:rPr>
          <w:rFonts w:ascii="Noto Sans CJK KR" w:hAnsi="Noto Sans CJK KR" w:eastAsia="Noto Sans CJK KR"/>
          <w:b/>
          <w:color w:val="2F75B5"/>
          <w:sz w:val="18"/>
          <w:lang w:eastAsia="ko-KR"/>
        </w:rPr>
        <w:t xml:space="preserve">•  </w:t>
      </w:r>
      <w:r>
        <w:rPr>
          <w:rFonts w:ascii="Noto Sans CJK KR" w:hAnsi="Noto Sans CJK KR" w:eastAsia="Noto Sans CJK KR"/>
          <w:color w:val="222222"/>
          <w:sz w:val="18"/>
          <w:lang w:eastAsia="ko-KR"/>
        </w:rPr>
        <w:t>실제 설치파일과 소스코드 또는 기술명세</w:t>
      </w:r>
    </w:p>
    <w:p>
      <w:pPr>
        <w:spacing w:after="50" w:line="312" w:lineRule="auto"/>
        <w:ind w:left="283" w:hanging="227"/>
        <w:widowControl w:val="1"/>
      </w:pPr>
      <w:r>
        <w:rPr>
          <w:rFonts w:ascii="Noto Sans CJK KR" w:hAnsi="Noto Sans CJK KR" w:eastAsia="Noto Sans CJK KR"/>
          <w:b/>
          <w:color w:val="2F75B5"/>
          <w:sz w:val="18"/>
          <w:lang w:eastAsia="ko-KR"/>
        </w:rPr>
        <w:t xml:space="preserve">•  </w:t>
      </w:r>
      <w:r>
        <w:rPr>
          <w:rFonts w:ascii="Noto Sans CJK KR" w:hAnsi="Noto Sans CJK KR" w:eastAsia="Noto Sans CJK KR"/>
          <w:color w:val="222222"/>
          <w:sz w:val="18"/>
          <w:lang w:eastAsia="ko-KR"/>
        </w:rPr>
        <w:t>데이터 흐름도, 텔레메트리·로그·원격지원 정책</w:t>
      </w:r>
    </w:p>
    <w:p>
      <w:pPr>
        <w:spacing w:after="50" w:line="312" w:lineRule="auto"/>
        <w:ind w:left="283" w:hanging="227"/>
        <w:widowControl w:val="1"/>
      </w:pPr>
      <w:r>
        <w:rPr>
          <w:rFonts w:ascii="Noto Sans CJK KR" w:hAnsi="Noto Sans CJK KR" w:eastAsia="Noto Sans CJK KR"/>
          <w:b/>
          <w:color w:val="2F75B5"/>
          <w:sz w:val="18"/>
          <w:lang w:eastAsia="ko-KR"/>
        </w:rPr>
        <w:t xml:space="preserve">•  </w:t>
      </w:r>
      <w:r>
        <w:rPr>
          <w:rFonts w:ascii="Noto Sans CJK KR" w:hAnsi="Noto Sans CJK KR" w:eastAsia="Noto Sans CJK KR"/>
          <w:color w:val="222222"/>
          <w:sz w:val="18"/>
          <w:lang w:eastAsia="ko-KR"/>
        </w:rPr>
        <w:t>회계법인용 판매계약서와 프로그램 이용약관</w:t>
      </w:r>
    </w:p>
    <w:p>
      <w:pPr>
        <w:spacing w:after="50" w:line="312" w:lineRule="auto"/>
        <w:ind w:left="283" w:hanging="227"/>
        <w:widowControl w:val="1"/>
      </w:pPr>
      <w:r>
        <w:rPr>
          <w:rFonts w:ascii="Noto Sans CJK KR" w:hAnsi="Noto Sans CJK KR" w:eastAsia="Noto Sans CJK KR"/>
          <w:b/>
          <w:color w:val="2F75B5"/>
          <w:sz w:val="18"/>
          <w:lang w:eastAsia="ko-KR"/>
        </w:rPr>
        <w:t xml:space="preserve">•  </w:t>
      </w:r>
      <w:r>
        <w:rPr>
          <w:rFonts w:ascii="Noto Sans CJK KR" w:hAnsi="Noto Sans CJK KR" w:eastAsia="Noto Sans CJK KR"/>
          <w:color w:val="222222"/>
          <w:sz w:val="18"/>
          <w:lang w:eastAsia="ko-KR"/>
        </w:rPr>
        <w:t>더존비즈온에 발송한 문의와 수신한 모든 답변</w:t>
      </w:r>
    </w:p>
    <w:p>
      <w:pPr>
        <w:spacing w:after="50" w:line="312" w:lineRule="auto"/>
        <w:ind w:left="283" w:hanging="227"/>
        <w:widowControl w:val="1"/>
      </w:pPr>
      <w:r>
        <w:rPr>
          <w:rFonts w:ascii="Noto Sans CJK KR" w:hAnsi="Noto Sans CJK KR" w:eastAsia="Noto Sans CJK KR"/>
          <w:b/>
          <w:color w:val="2F75B5"/>
          <w:sz w:val="18"/>
          <w:lang w:eastAsia="ko-KR"/>
        </w:rPr>
        <w:t xml:space="preserve">•  </w:t>
      </w:r>
      <w:r>
        <w:rPr>
          <w:rFonts w:ascii="Noto Sans CJK KR" w:hAnsi="Noto Sans CJK KR" w:eastAsia="Noto Sans CJK KR"/>
          <w:color w:val="222222"/>
          <w:sz w:val="18"/>
          <w:lang w:eastAsia="ko-KR"/>
        </w:rPr>
        <w:t>고객의 WEHAGO T 개별 계약서·특약·로그인 후 공지</w:t>
      </w:r>
    </w:p>
    <w:p>
      <w:pPr>
        <w:spacing w:before="200"/>
        <w:jc w:val="center"/>
        <w:widowControl w:val="1"/>
      </w:pPr>
      <w:r>
        <w:rPr>
          <w:rFonts w:ascii="Noto Sans CJK KR" w:hAnsi="Noto Sans CJK KR" w:eastAsia="Noto Sans CJK KR"/>
          <w:b/>
          <w:color w:val="666666"/>
          <w:sz w:val="19"/>
          <w:lang w:eastAsia="ko-KR"/>
        </w:rPr>
        <w:t>—  끝  —</w:t>
      </w:r>
    </w:p>
    <w:sectPr w:rsidR="00FC693F" w:rsidRPr="0006063C" w:rsidSect="00034616">
      <w:headerReference w:type="default" r:id="rId9"/>
      <w:footerReference w:type="default" r:id="rId10"/>
      <w:pgSz w:w="12240" w:h="15840"/>
      <w:pgMar w:top="1134" w:right="1191" w:bottom="1020"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color w:val="666666"/>
        <w:sz w:val="16"/>
      </w:rPr>
      <w:t xml:space="preserve">검토 기준일 2026. 7. 10.   |   </w:t>
    </w:r>
    <w:r>
      <w:rPr>
        <w:rFonts w:ascii="Noto Sans CJK KR" w:hAnsi="Noto Sans CJK KR" w:eastAsia="Noto Sans CJK KR"/>
        <w:color w:val="666666"/>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3" w:color="D9E1F2"/>
      </w:pBdr>
    </w:pPr>
    <w:r>
      <w:rPr>
        <w:rFonts w:ascii="Noto Sans CJK KR" w:hAnsi="Noto Sans CJK KR" w:eastAsia="Noto Sans CJK KR"/>
        <w:color w:val="666666"/>
        <w:sz w:val="16"/>
      </w:rPr>
      <w:t>WEHAGO 원천세 신고 로컬 RPA | 약관·판례 검토보고서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00"/>
    </w:pPr>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ehago.com/policy.html?key=233" TargetMode="External"/><Relationship Id="rId12" Type="http://schemas.openxmlformats.org/officeDocument/2006/relationships/hyperlink" Target="https://www.wehago.com/#/common/policy" TargetMode="External"/><Relationship Id="rId13" Type="http://schemas.openxmlformats.org/officeDocument/2006/relationships/hyperlink" Target="https://wehagothelp.zendesk.com/hc/ko/articles/29333919558553-WEHAGO-T-%EC%84%9C%EB%B9%84%EC%8A%A4-%EC%9D%B4%EC%9A%A9%EC%95%BD%EA%B4%80-%EC%9D%BC%EB%B6%80-%EA%B0%9C%EC%A0%95%EC%97%90-%EB%94%B0%EB%A5%B8-%EC%95%88%EB%82%B4-%EC%8B%9C%ED%96%89%EC%9D%BC%EC%9E%90-2024%EB%85%84-3%EC%9B%94-8%EC%9D%BC" TargetMode="External"/><Relationship Id="rId14" Type="http://schemas.openxmlformats.org/officeDocument/2006/relationships/hyperlink" Target="https://wehagothelp.zendesk.com/hc/ko/articles/43971837149209-WEHAGO-T-One-AI-%EC%84%9C%EB%B9%84%EC%8A%A4-%EC%9D%B4%EC%9A%A9-%EC%95%BD%EA%B4%80-%EC%9D%BC%EB%B6%80-%EA%B0%9C%EC%A0%95%EC%97%90-%EB%94%B0%EB%A5%B8-%EC%95%88%EB%82%B4-%EC%8B%9C%ED%96%89%EC%9D%BC%EC%9E%90-2025%EB%85%84-3%EC%9B%94-31%EC%9D%BC" TargetMode="External"/><Relationship Id="rId15" Type="http://schemas.openxmlformats.org/officeDocument/2006/relationships/hyperlink" Target="https://www.law.go.kr/precInfoP.do?precSeq=221765" TargetMode="External"/><Relationship Id="rId16" Type="http://schemas.openxmlformats.org/officeDocument/2006/relationships/hyperlink" Target="https://law.go.kr/LSW/precInfoP.do?evtNo=2005%EB%8F%84870" TargetMode="External"/><Relationship Id="rId17" Type="http://schemas.openxmlformats.org/officeDocument/2006/relationships/hyperlink" Target="https://www.law.go.kr/LSW/precInfoP.do?evtNo=2009%EB%85%B8677" TargetMode="External"/><Relationship Id="rId18" Type="http://schemas.openxmlformats.org/officeDocument/2006/relationships/hyperlink" Target="https://www.law.go.kr/LSW/precInfoP.do?precSeq=210981" TargetMode="External"/><Relationship Id="rId19" Type="http://schemas.openxmlformats.org/officeDocument/2006/relationships/hyperlink" Target="https://www.law.go.kr/LSW/precInfoP.do?precSeq=226943" TargetMode="External"/><Relationship Id="rId20" Type="http://schemas.openxmlformats.org/officeDocument/2006/relationships/hyperlink" Target="https://law.go.kr/LSW/lsInfoP.do?ancYnChk=0&amp;lsId=011468" TargetMode="External"/><Relationship Id="rId21" Type="http://schemas.openxmlformats.org/officeDocument/2006/relationships/hyperlink" Target="https://www.law.go.kr/LSW/lsLinkProc.do?joNo=0314000000&amp;lsNm=%ED%98%95%EB%B2%95&amp;mode=10" TargetMode="External"/><Relationship Id="rId22" Type="http://schemas.openxmlformats.org/officeDocument/2006/relationships/hyperlink" Target="https://www.law.go.kr/lsInfoP.do?ancYnChk=0&amp;lsId=0003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WEHAGO 원천세 신고 로컬 RPA 약관 및 판례 검토보고서</dc:title>
  <dc:subject>WEHAGO T 원천세 신고 업무자동화 프로그램의 약관·판례·출시 리스크 검토</dc:subject>
  <dc:creator/>
  <cp:keywords>WEHAGO, WEHAGO T, RPA, 원천세, 이용약관, 판례, 자동화</cp:keywords>
  <dc:description>공개자료 기반 사전 검토자료</dc:description>
  <cp:lastModifiedBy/>
  <cp:revision>1</cp:revision>
  <dcterms:created xsi:type="dcterms:W3CDTF">2013-12-23T23:15:00Z</dcterms:created>
  <dcterms:modified xsi:type="dcterms:W3CDTF">2013-12-23T23:15:00Z</dcterms:modified>
  <cp:category/>
</cp:coreProperties>
</file>