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8"/>
          <w:rFonts w:ascii="Segoe UI" w:hAnsi="Segoe UI"/>
        </w:rPr>
        <w:t xml:space="preserve">Google AI Studio Masterclass: Engineering &amp; Sourcing Intelligence Platform</w:t>
      </w:r>
    </w:p>
    <w:p>
      <w:pPr>
        <w:spacing w:after="120"/>
      </w:pPr>
      <w:r>
        <w:rPr>
          <w:sz w:val="24"/>
          <w:rFonts w:ascii="Segoe UI" w:hAnsi="Segoe UI"/>
        </w:rPr>
        <w:t xml:space="preserve">Workshop &amp; Bootcamp Hands-on Exercise: Google AI Studio + Gemini 2.5 Flash</w:t>
      </w:r>
    </w:p>
    <w:p/>
    <w:p>
      <w:pPr>
        <w:spacing w:after="120"/>
      </w:pPr>
      <w:r>
        <w:rPr>
          <w:b/>
          <w:sz w:val="28"/>
          <w:rFonts w:ascii="Segoe UI" w:hAnsi="Segoe UI"/>
        </w:rPr>
        <w:t xml:space="preserve">1. OVERVIEW &amp; OBJECTIVE</w:t>
      </w:r>
    </w:p>
    <w:p>
      <w:pPr>
        <w:spacing w:after="120"/>
      </w:pPr>
      <w:r>
        <w:rPr>
          <w:sz w:val="24"/>
          <w:rFonts w:ascii="Segoe UI" w:hAnsi="Segoe UI"/>
        </w:rPr>
        <w:t xml:space="preserve">This prompt guides developers and data engineers to leverage Google AI Studio (powered by Gemini 2.5 Flash) to generate a full-stack, enterprise-grade Procurement &amp; Engineering Analytics Application. The solution ingests supplier quotes and engineering project datasets, provides real-time KPI metrics, detects cost anomalies, and enables interactive conversational querying.</w:t>
      </w:r>
    </w:p>
    <w:p/>
    <w:p>
      <w:pPr>
        <w:spacing w:after="120"/>
      </w:pPr>
      <w:r>
        <w:rPr>
          <w:b/>
          <w:sz w:val="28"/>
          <w:rFonts w:ascii="Segoe UI" w:hAnsi="Segoe UI"/>
        </w:rPr>
        <w:t xml:space="preserve">2. TARGET DATASETS</w:t>
      </w:r>
    </w:p>
    <w:p>
      <w:pPr>
        <w:spacing w:after="120"/>
      </w:pPr>
      <w:r>
        <w:rPr>
          <w:sz w:val="24"/>
          <w:rFonts w:ascii="Segoe UI" w:hAnsi="Segoe UI"/>
        </w:rPr>
        <w:t xml:space="preserve">- Dataset 1: Sourcing_Supplier_Quotes.xlsx (119 supplier quotes, 18 columns including Supplier, Category, Quoted_Price_INR, Benchmark_INR, Saving_Pct, Annual_Saving_Lakh, Quality_PPM, OnTime_Delivery_Pct, Buyer, Status)</w:t>
      </w:r>
    </w:p>
    <w:p>
      <w:pPr>
        <w:spacing w:after="120"/>
      </w:pPr>
      <w:r>
        <w:rPr>
          <w:sz w:val="24"/>
          <w:rFonts w:ascii="Segoe UI" w:hAnsi="Segoe UI"/>
        </w:rPr>
        <w:t xml:space="preserve">- Dataset 2: Dashboard_Eng_Projects.xlsx (16 project attributes including Project_ID, Project_Name, Product_Line, Requesting_Country, Lead_Team, Project_Type, Priority, Planned_Hours, Actual_Hours, Pct_Complete, Lead_Engineer, Hours_Variance_Pct, Overrun_Flag)</w:t>
      </w:r>
    </w:p>
    <w:p/>
    <w:p>
      <w:pPr>
        <w:spacing w:after="120"/>
      </w:pPr>
      <w:r>
        <w:rPr>
          <w:b/>
          <w:sz w:val="28"/>
          <w:rFonts w:ascii="Segoe UI" w:hAnsi="Segoe UI"/>
        </w:rPr>
        <w:t xml:space="preserve">3. SYSTEM PROMPT FOR GOOGLE AI STUDIO</w:t>
      </w:r>
    </w:p>
    <w:p>
      <w:pPr>
        <w:spacing w:after="120"/>
      </w:pPr>
      <w:r>
        <w:rPr>
          <w:sz w:val="24"/>
          <w:rFonts w:ascii="Segoe UI" w:hAnsi="Segoe UI"/>
        </w:rPr>
        <w:t xml:space="preserve">"Act as a Principal Software Engineer and Enterprise UI Architect. Create a single-page reactive dashboard with TypeScript and Tailwind CSS named 'Procurement &amp; Engineering Intelligence Portal'.</w:t>
      </w:r>
    </w:p>
    <w:p/>
    <w:p>
      <w:pPr>
        <w:spacing w:after="120"/>
      </w:pPr>
      <w:r>
        <w:rPr>
          <w:sz w:val="24"/>
          <w:rFonts w:ascii="Segoe UI" w:hAnsi="Segoe UI"/>
        </w:rPr>
        <w:t xml:space="preserve">Core Feature Requirements:</w:t>
      </w:r>
    </w:p>
    <w:p>
      <w:pPr>
        <w:spacing w:after="120"/>
      </w:pPr>
      <w:r>
        <w:rPr>
          <w:sz w:val="24"/>
          <w:rFonts w:ascii="Segoe UI" w:hAnsi="Segoe UI"/>
        </w:rPr>
        <w:t xml:space="preserve">- Interactive KPI Summary Cards: Total Awarded Savings (₹ Lakhs), Quality PPM Average, On-Time Delivery Rate (%), and Active Engineering Overrun Count.</w:t>
      </w:r>
    </w:p>
    <w:p>
      <w:pPr>
        <w:spacing w:after="120"/>
      </w:pPr>
      <w:r>
        <w:rPr>
          <w:sz w:val="24"/>
          <w:rFonts w:ascii="Segoe UI" w:hAnsi="Segoe UI"/>
        </w:rPr>
        <w:t xml:space="preserve">- Supplier Quote Slicer &amp; Visualizer: Slicers by Category (Machined parts, Fasteners, Castings, Electrical), Status (Awarded, Under review, Shortlisted, Rejected), and Buyer workload.</w:t>
      </w:r>
    </w:p>
    <w:p>
      <w:pPr>
        <w:spacing w:after="120"/>
      </w:pPr>
      <w:r>
        <w:rPr>
          <w:sz w:val="24"/>
          <w:rFonts w:ascii="Segoe UI" w:hAnsi="Segoe UI"/>
        </w:rPr>
        <w:t xml:space="preserve">- Quality vs Delivery Scatter Matrix: Interactive scatter chart correlating Quality PPM against On-Time Delivery % with threshold benchmarks.</w:t>
      </w:r>
    </w:p>
    <w:p>
      <w:pPr>
        <w:spacing w:after="120"/>
      </w:pPr>
      <w:r>
        <w:rPr>
          <w:sz w:val="24"/>
          <w:rFonts w:ascii="Segoe UI" w:hAnsi="Segoe UI"/>
        </w:rPr>
        <w:t xml:space="preserve">- Engineering Project Variance Gauges: Progress rings and variance indicators showing planned vs actual hours for active engineering projects.</w:t>
      </w:r>
    </w:p>
    <w:p>
      <w:pPr>
        <w:spacing w:after="120"/>
      </w:pPr>
      <w:r>
        <w:rPr>
          <w:sz w:val="24"/>
          <w:rFonts w:ascii="Segoe UI" w:hAnsi="Segoe UI"/>
        </w:rPr>
        <w:t xml:space="preserve">- Gemini-Powered Query Assistant: Natural language interface allowing executives to ask questions about suppliers, benchmark discrepancies, and project risks.</w:t>
      </w:r>
    </w:p>
    <w:p>
      <w:pPr>
        <w:spacing w:after="120"/>
      </w:pPr>
      <w:r>
        <w:rPr>
          <w:sz w:val="24"/>
          <w:rFonts w:ascii="Segoe UI" w:hAnsi="Segoe UI"/>
        </w:rPr>
        <w:t xml:space="preserve">- Secure File Export: Clean CSV and Excel export triggers with no exposed raw backend links."</w:t>
      </w:r>
    </w:p>
    <w:p/>
    <w:p>
      <w:pPr>
        <w:spacing w:after="120"/>
      </w:pPr>
      <w:r>
        <w:rPr>
          <w:b/>
          <w:sz w:val="28"/>
          <w:rFonts w:ascii="Segoe UI" w:hAnsi="Segoe UI"/>
        </w:rPr>
        <w:t xml:space="preserve">4. VERIFICATION &amp; SAMPLE QUESTIONS</w:t>
      </w:r>
    </w:p>
    <w:p>
      <w:pPr>
        <w:spacing w:after="120"/>
      </w:pPr>
      <w:r>
        <w:rPr>
          <w:sz w:val="24"/>
          <w:rFonts w:ascii="Segoe UI" w:hAnsi="Segoe UI"/>
        </w:rPr>
        <w:t xml:space="preserve">Question 1: Which supplier delivers the highest combined quality score (&lt;200 PPM) and on-time delivery (&gt;97%)?</w:t>
      </w:r>
    </w:p>
    <w:p>
      <w:pPr>
        <w:spacing w:after="120"/>
      </w:pPr>
      <w:r>
        <w:rPr>
          <w:sz w:val="24"/>
          <w:rFonts w:ascii="Segoe UI" w:hAnsi="Segoe UI"/>
        </w:rPr>
        <w:t xml:space="preserve">Question 2: Calculate total projected annual savings across all Awarded quotes in Machined Parts.</w:t>
      </w:r>
    </w:p>
    <w:p>
      <w:pPr>
        <w:spacing w:after="120"/>
      </w:pPr>
      <w:r>
        <w:rPr>
          <w:sz w:val="24"/>
          <w:rFonts w:ascii="Segoe UI" w:hAnsi="Segoe UI"/>
        </w:rPr>
        <w:t xml:space="preserve">Question 3: Highlight engineering projects where Hours_Variance_Pct exceeds 15% and Status is In-Progress.</w:t>
      </w:r>
    </w:p>
    <w:sectPr/>
  </w:body>
</w:document>
</file>