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16D69" w14:textId="598A2C70" w:rsidR="0041469B" w:rsidRDefault="0041469B" w:rsidP="00B525E3">
      <w:pPr>
        <w:spacing w:after="160" w:line="259" w:lineRule="auto"/>
        <w:rPr>
          <w:rFonts w:cs="Times New Roman"/>
          <w:szCs w:val="24"/>
        </w:rPr>
      </w:pPr>
    </w:p>
    <w:p w14:paraId="75887709" w14:textId="6904EEA9" w:rsidR="0041469B" w:rsidRDefault="0041469B" w:rsidP="0041469B">
      <w:pPr>
        <w:rPr>
          <w:szCs w:val="24"/>
        </w:rPr>
      </w:pPr>
      <w:r w:rsidRPr="00695974">
        <w:rPr>
          <w:b/>
          <w:szCs w:val="24"/>
        </w:rPr>
        <w:t>Table 1</w:t>
      </w:r>
      <w:r w:rsidRPr="004D0820">
        <w:rPr>
          <w:szCs w:val="24"/>
        </w:rPr>
        <w:t xml:space="preserve"> Definition of the hydrologic metrics used </w:t>
      </w:r>
      <w:r w:rsidR="005520C9">
        <w:rPr>
          <w:szCs w:val="24"/>
        </w:rPr>
        <w:t xml:space="preserve">in our comparison of discharge produced using </w:t>
      </w:r>
      <w:proofErr w:type="spellStart"/>
      <w:r w:rsidR="005520C9">
        <w:rPr>
          <w:szCs w:val="24"/>
        </w:rPr>
        <w:t>V</w:t>
      </w:r>
      <w:r w:rsidR="005520C9" w:rsidRPr="00BE4D3A">
        <w:rPr>
          <w:i/>
          <w:szCs w:val="24"/>
        </w:rPr>
        <w:t>flo</w:t>
      </w:r>
      <w:proofErr w:type="spellEnd"/>
      <w:r w:rsidR="005520C9">
        <w:rPr>
          <w:szCs w:val="24"/>
        </w:rPr>
        <w:t xml:space="preserve">, drainage area ratios, and gauge data (USGS gauging station). </w:t>
      </w:r>
    </w:p>
    <w:tbl>
      <w:tblPr>
        <w:tblW w:w="0" w:type="auto"/>
        <w:tblLook w:val="04A0" w:firstRow="1" w:lastRow="0" w:firstColumn="1" w:lastColumn="0" w:noHBand="0" w:noVBand="1"/>
      </w:tblPr>
      <w:tblGrid>
        <w:gridCol w:w="909"/>
        <w:gridCol w:w="1310"/>
        <w:gridCol w:w="6807"/>
      </w:tblGrid>
      <w:tr w:rsidR="0041469B" w:rsidRPr="004D0820" w14:paraId="332C3C5F" w14:textId="77777777" w:rsidTr="00E3342E">
        <w:tc>
          <w:tcPr>
            <w:tcW w:w="909" w:type="dxa"/>
            <w:tcBorders>
              <w:top w:val="single" w:sz="4" w:space="0" w:color="auto"/>
              <w:bottom w:val="single" w:sz="4" w:space="0" w:color="auto"/>
            </w:tcBorders>
            <w:shd w:val="clear" w:color="auto" w:fill="auto"/>
          </w:tcPr>
          <w:p w14:paraId="0F4B979F" w14:textId="77777777" w:rsidR="0041469B" w:rsidRPr="000A206B" w:rsidRDefault="0041469B" w:rsidP="00E3342E">
            <w:pPr>
              <w:rPr>
                <w:szCs w:val="24"/>
              </w:rPr>
            </w:pPr>
            <w:r w:rsidRPr="000A206B">
              <w:rPr>
                <w:szCs w:val="24"/>
              </w:rPr>
              <w:t xml:space="preserve">Metric </w:t>
            </w:r>
          </w:p>
        </w:tc>
        <w:tc>
          <w:tcPr>
            <w:tcW w:w="1310" w:type="dxa"/>
            <w:tcBorders>
              <w:top w:val="single" w:sz="4" w:space="0" w:color="auto"/>
              <w:bottom w:val="single" w:sz="4" w:space="0" w:color="auto"/>
            </w:tcBorders>
          </w:tcPr>
          <w:p w14:paraId="62047245" w14:textId="77777777" w:rsidR="0041469B" w:rsidRPr="000A206B" w:rsidRDefault="0041469B" w:rsidP="00E3342E">
            <w:pPr>
              <w:rPr>
                <w:szCs w:val="24"/>
              </w:rPr>
            </w:pPr>
            <w:r w:rsidRPr="000A206B">
              <w:rPr>
                <w:szCs w:val="24"/>
              </w:rPr>
              <w:t>Resolution</w:t>
            </w:r>
          </w:p>
        </w:tc>
        <w:tc>
          <w:tcPr>
            <w:tcW w:w="6807" w:type="dxa"/>
            <w:tcBorders>
              <w:top w:val="single" w:sz="4" w:space="0" w:color="auto"/>
              <w:bottom w:val="single" w:sz="4" w:space="0" w:color="auto"/>
            </w:tcBorders>
            <w:shd w:val="clear" w:color="auto" w:fill="auto"/>
          </w:tcPr>
          <w:p w14:paraId="5FA0B428" w14:textId="77777777" w:rsidR="0041469B" w:rsidRPr="000A206B" w:rsidRDefault="0041469B" w:rsidP="00E3342E">
            <w:pPr>
              <w:rPr>
                <w:szCs w:val="24"/>
              </w:rPr>
            </w:pPr>
            <w:r w:rsidRPr="000A206B">
              <w:rPr>
                <w:szCs w:val="24"/>
              </w:rPr>
              <w:t>Definition</w:t>
            </w:r>
          </w:p>
        </w:tc>
      </w:tr>
      <w:tr w:rsidR="0041469B" w:rsidRPr="004D0820" w14:paraId="571BD141" w14:textId="77777777" w:rsidTr="00E3342E">
        <w:tc>
          <w:tcPr>
            <w:tcW w:w="909" w:type="dxa"/>
            <w:tcBorders>
              <w:top w:val="single" w:sz="4" w:space="0" w:color="auto"/>
            </w:tcBorders>
            <w:shd w:val="clear" w:color="auto" w:fill="auto"/>
          </w:tcPr>
          <w:p w14:paraId="4314DA2F" w14:textId="77777777" w:rsidR="0041469B" w:rsidRPr="004D0820" w:rsidRDefault="0041469B" w:rsidP="00E3342E">
            <w:pPr>
              <w:rPr>
                <w:szCs w:val="24"/>
              </w:rPr>
            </w:pPr>
            <w:r w:rsidRPr="004D0820">
              <w:rPr>
                <w:szCs w:val="24"/>
              </w:rPr>
              <w:t>MA1</w:t>
            </w:r>
          </w:p>
        </w:tc>
        <w:tc>
          <w:tcPr>
            <w:tcW w:w="1310" w:type="dxa"/>
            <w:tcBorders>
              <w:top w:val="single" w:sz="4" w:space="0" w:color="auto"/>
            </w:tcBorders>
          </w:tcPr>
          <w:p w14:paraId="12031678" w14:textId="77777777" w:rsidR="0041469B" w:rsidRPr="004D0820" w:rsidRDefault="0041469B" w:rsidP="00E3342E">
            <w:pPr>
              <w:rPr>
                <w:szCs w:val="24"/>
              </w:rPr>
            </w:pPr>
            <w:r>
              <w:rPr>
                <w:szCs w:val="24"/>
              </w:rPr>
              <w:t>Daily</w:t>
            </w:r>
          </w:p>
        </w:tc>
        <w:tc>
          <w:tcPr>
            <w:tcW w:w="6807" w:type="dxa"/>
            <w:tcBorders>
              <w:top w:val="single" w:sz="4" w:space="0" w:color="auto"/>
            </w:tcBorders>
            <w:shd w:val="clear" w:color="auto" w:fill="auto"/>
          </w:tcPr>
          <w:p w14:paraId="1B81A175" w14:textId="77777777" w:rsidR="0041469B" w:rsidRPr="004D0820" w:rsidRDefault="0041469B" w:rsidP="00E3342E">
            <w:pPr>
              <w:rPr>
                <w:szCs w:val="24"/>
              </w:rPr>
            </w:pPr>
            <w:r w:rsidRPr="004D0820">
              <w:rPr>
                <w:szCs w:val="24"/>
              </w:rPr>
              <w:t>Mean of the daily flow values for the entire flow record.</w:t>
            </w:r>
          </w:p>
        </w:tc>
      </w:tr>
      <w:tr w:rsidR="0041469B" w:rsidRPr="004D0820" w14:paraId="6DD3E42B" w14:textId="77777777" w:rsidTr="00E3342E">
        <w:tc>
          <w:tcPr>
            <w:tcW w:w="909" w:type="dxa"/>
            <w:shd w:val="clear" w:color="auto" w:fill="auto"/>
          </w:tcPr>
          <w:p w14:paraId="61379CF4" w14:textId="77777777" w:rsidR="0041469B" w:rsidRPr="004D0820" w:rsidRDefault="0041469B" w:rsidP="00E3342E">
            <w:pPr>
              <w:rPr>
                <w:szCs w:val="24"/>
              </w:rPr>
            </w:pPr>
          </w:p>
        </w:tc>
        <w:tc>
          <w:tcPr>
            <w:tcW w:w="1310" w:type="dxa"/>
          </w:tcPr>
          <w:p w14:paraId="2D8D1D86" w14:textId="77777777" w:rsidR="0041469B" w:rsidRPr="004D0820" w:rsidRDefault="0041469B" w:rsidP="00E3342E">
            <w:pPr>
              <w:rPr>
                <w:szCs w:val="24"/>
              </w:rPr>
            </w:pPr>
            <w:r>
              <w:rPr>
                <w:szCs w:val="24"/>
              </w:rPr>
              <w:t>Monthly</w:t>
            </w:r>
          </w:p>
        </w:tc>
        <w:tc>
          <w:tcPr>
            <w:tcW w:w="6807" w:type="dxa"/>
            <w:shd w:val="clear" w:color="auto" w:fill="auto"/>
          </w:tcPr>
          <w:p w14:paraId="19B27234" w14:textId="77777777" w:rsidR="0041469B" w:rsidRPr="004D0820" w:rsidRDefault="0041469B" w:rsidP="00E3342E">
            <w:pPr>
              <w:rPr>
                <w:szCs w:val="24"/>
              </w:rPr>
            </w:pPr>
            <w:r>
              <w:rPr>
                <w:szCs w:val="24"/>
              </w:rPr>
              <w:t>As above – replace daily flows with monthly flows</w:t>
            </w:r>
          </w:p>
        </w:tc>
      </w:tr>
      <w:tr w:rsidR="0041469B" w:rsidRPr="004D0820" w14:paraId="00F36C6F" w14:textId="77777777" w:rsidTr="00E3342E">
        <w:tc>
          <w:tcPr>
            <w:tcW w:w="909" w:type="dxa"/>
            <w:shd w:val="clear" w:color="auto" w:fill="auto"/>
          </w:tcPr>
          <w:p w14:paraId="74E5370F" w14:textId="77777777" w:rsidR="0041469B" w:rsidRPr="004D0820" w:rsidRDefault="0041469B" w:rsidP="00E3342E">
            <w:pPr>
              <w:rPr>
                <w:szCs w:val="24"/>
              </w:rPr>
            </w:pPr>
            <w:r w:rsidRPr="004D0820">
              <w:rPr>
                <w:szCs w:val="24"/>
              </w:rPr>
              <w:t>MA3</w:t>
            </w:r>
          </w:p>
        </w:tc>
        <w:tc>
          <w:tcPr>
            <w:tcW w:w="1310" w:type="dxa"/>
          </w:tcPr>
          <w:p w14:paraId="187E3AF4" w14:textId="77777777" w:rsidR="0041469B" w:rsidRPr="004D0820" w:rsidRDefault="0041469B" w:rsidP="00E3342E">
            <w:pPr>
              <w:rPr>
                <w:szCs w:val="24"/>
              </w:rPr>
            </w:pPr>
            <w:r>
              <w:rPr>
                <w:szCs w:val="24"/>
              </w:rPr>
              <w:t>Daily</w:t>
            </w:r>
          </w:p>
        </w:tc>
        <w:tc>
          <w:tcPr>
            <w:tcW w:w="6807" w:type="dxa"/>
            <w:shd w:val="clear" w:color="auto" w:fill="auto"/>
          </w:tcPr>
          <w:p w14:paraId="3DA869E6" w14:textId="77777777" w:rsidR="0041469B" w:rsidRPr="004D0820" w:rsidRDefault="0041469B" w:rsidP="00E3342E">
            <w:pPr>
              <w:rPr>
                <w:szCs w:val="24"/>
              </w:rPr>
            </w:pPr>
            <w:r w:rsidRPr="004D0820">
              <w:rPr>
                <w:szCs w:val="24"/>
              </w:rPr>
              <w:t>Coefficient of variation of annual flows – calculate annual standard deviation of the daily flows and divide by the annual mean of the daily flows, multiply by 100, and find the mean of the annual values.</w:t>
            </w:r>
          </w:p>
        </w:tc>
      </w:tr>
      <w:tr w:rsidR="0041469B" w:rsidRPr="004D0820" w14:paraId="6303F243" w14:textId="77777777" w:rsidTr="00E3342E">
        <w:tc>
          <w:tcPr>
            <w:tcW w:w="909" w:type="dxa"/>
            <w:shd w:val="clear" w:color="auto" w:fill="auto"/>
          </w:tcPr>
          <w:p w14:paraId="15938391" w14:textId="77777777" w:rsidR="0041469B" w:rsidRPr="004D0820" w:rsidRDefault="0041469B" w:rsidP="00E3342E">
            <w:pPr>
              <w:rPr>
                <w:szCs w:val="24"/>
              </w:rPr>
            </w:pPr>
          </w:p>
        </w:tc>
        <w:tc>
          <w:tcPr>
            <w:tcW w:w="1310" w:type="dxa"/>
          </w:tcPr>
          <w:p w14:paraId="572B0FB7" w14:textId="77777777" w:rsidR="0041469B" w:rsidRDefault="0041469B" w:rsidP="00E3342E">
            <w:pPr>
              <w:rPr>
                <w:szCs w:val="24"/>
              </w:rPr>
            </w:pPr>
            <w:r>
              <w:rPr>
                <w:szCs w:val="24"/>
              </w:rPr>
              <w:t>Monthly</w:t>
            </w:r>
          </w:p>
        </w:tc>
        <w:tc>
          <w:tcPr>
            <w:tcW w:w="6807" w:type="dxa"/>
            <w:shd w:val="clear" w:color="auto" w:fill="auto"/>
          </w:tcPr>
          <w:p w14:paraId="2A06D41C" w14:textId="77777777" w:rsidR="0041469B" w:rsidRPr="004D0820" w:rsidRDefault="0041469B" w:rsidP="00E3342E">
            <w:pPr>
              <w:rPr>
                <w:szCs w:val="24"/>
              </w:rPr>
            </w:pPr>
            <w:r>
              <w:rPr>
                <w:szCs w:val="24"/>
              </w:rPr>
              <w:t>As above – replace daily flows with monthly flows</w:t>
            </w:r>
          </w:p>
        </w:tc>
      </w:tr>
      <w:tr w:rsidR="0041469B" w:rsidRPr="004D0820" w14:paraId="1B8898A9" w14:textId="77777777" w:rsidTr="00E3342E">
        <w:tc>
          <w:tcPr>
            <w:tcW w:w="909" w:type="dxa"/>
            <w:shd w:val="clear" w:color="auto" w:fill="auto"/>
          </w:tcPr>
          <w:p w14:paraId="2971E81B" w14:textId="77777777" w:rsidR="0041469B" w:rsidRPr="004D0820" w:rsidRDefault="0041469B" w:rsidP="00E3342E">
            <w:pPr>
              <w:rPr>
                <w:szCs w:val="24"/>
              </w:rPr>
            </w:pPr>
            <w:r w:rsidRPr="004D0820">
              <w:rPr>
                <w:szCs w:val="24"/>
              </w:rPr>
              <w:t>MA27</w:t>
            </w:r>
          </w:p>
        </w:tc>
        <w:tc>
          <w:tcPr>
            <w:tcW w:w="1310" w:type="dxa"/>
          </w:tcPr>
          <w:p w14:paraId="11E21FA4" w14:textId="49103076" w:rsidR="0041469B" w:rsidRPr="004D0820" w:rsidRDefault="0041469B" w:rsidP="00E3342E">
            <w:pPr>
              <w:rPr>
                <w:szCs w:val="24"/>
              </w:rPr>
            </w:pPr>
            <w:r>
              <w:rPr>
                <w:szCs w:val="24"/>
              </w:rPr>
              <w:t>D</w:t>
            </w:r>
            <w:bookmarkStart w:id="0" w:name="_GoBack"/>
            <w:bookmarkEnd w:id="0"/>
            <w:r>
              <w:rPr>
                <w:szCs w:val="24"/>
              </w:rPr>
              <w:t>aily</w:t>
            </w:r>
          </w:p>
        </w:tc>
        <w:tc>
          <w:tcPr>
            <w:tcW w:w="6807" w:type="dxa"/>
            <w:shd w:val="clear" w:color="auto" w:fill="auto"/>
          </w:tcPr>
          <w:p w14:paraId="2AE48329" w14:textId="77777777" w:rsidR="0041469B" w:rsidRPr="004D0820" w:rsidRDefault="0041469B" w:rsidP="00E3342E">
            <w:pPr>
              <w:rPr>
                <w:szCs w:val="24"/>
              </w:rPr>
            </w:pPr>
            <w:r w:rsidRPr="004D0820">
              <w:rPr>
                <w:szCs w:val="24"/>
              </w:rPr>
              <w:t>Coefficient of variation of April flows –calculate annual standard deviation of the daily flows for April and divide by the annual mean of the daily flows for April, multiply by 100, and find the mean of the annual values.</w:t>
            </w:r>
          </w:p>
        </w:tc>
      </w:tr>
      <w:tr w:rsidR="0041469B" w:rsidRPr="004D0820" w14:paraId="471600A6" w14:textId="77777777" w:rsidTr="00E3342E">
        <w:tc>
          <w:tcPr>
            <w:tcW w:w="909" w:type="dxa"/>
            <w:shd w:val="clear" w:color="auto" w:fill="auto"/>
          </w:tcPr>
          <w:p w14:paraId="625539EC" w14:textId="77777777" w:rsidR="0041469B" w:rsidRPr="004D0820" w:rsidRDefault="0041469B" w:rsidP="00E3342E">
            <w:pPr>
              <w:rPr>
                <w:szCs w:val="24"/>
              </w:rPr>
            </w:pPr>
          </w:p>
        </w:tc>
        <w:tc>
          <w:tcPr>
            <w:tcW w:w="1310" w:type="dxa"/>
          </w:tcPr>
          <w:p w14:paraId="7A9C0B37" w14:textId="77777777" w:rsidR="0041469B" w:rsidRPr="004D0820" w:rsidRDefault="0041469B" w:rsidP="00E3342E">
            <w:pPr>
              <w:rPr>
                <w:szCs w:val="24"/>
              </w:rPr>
            </w:pPr>
            <w:r>
              <w:rPr>
                <w:szCs w:val="24"/>
              </w:rPr>
              <w:t>Monthly</w:t>
            </w:r>
          </w:p>
        </w:tc>
        <w:tc>
          <w:tcPr>
            <w:tcW w:w="6807" w:type="dxa"/>
            <w:shd w:val="clear" w:color="auto" w:fill="auto"/>
          </w:tcPr>
          <w:p w14:paraId="4F67402E" w14:textId="77777777" w:rsidR="0041469B" w:rsidRPr="004D0820" w:rsidRDefault="0041469B" w:rsidP="00E3342E">
            <w:pPr>
              <w:rPr>
                <w:szCs w:val="24"/>
              </w:rPr>
            </w:pPr>
            <w:r>
              <w:rPr>
                <w:szCs w:val="24"/>
              </w:rPr>
              <w:t>C</w:t>
            </w:r>
            <w:r w:rsidRPr="004D0820">
              <w:rPr>
                <w:szCs w:val="24"/>
              </w:rPr>
              <w:t xml:space="preserve">alculate </w:t>
            </w:r>
            <w:r>
              <w:rPr>
                <w:szCs w:val="24"/>
              </w:rPr>
              <w:t>the</w:t>
            </w:r>
            <w:r w:rsidRPr="004D0820">
              <w:rPr>
                <w:szCs w:val="24"/>
              </w:rPr>
              <w:t xml:space="preserve"> standard deviation of the </w:t>
            </w:r>
            <w:r>
              <w:rPr>
                <w:szCs w:val="24"/>
              </w:rPr>
              <w:t>monthly</w:t>
            </w:r>
            <w:r w:rsidRPr="004D0820">
              <w:rPr>
                <w:szCs w:val="24"/>
              </w:rPr>
              <w:t xml:space="preserve"> flows for April and divide by the mean of the </w:t>
            </w:r>
            <w:r>
              <w:rPr>
                <w:szCs w:val="24"/>
              </w:rPr>
              <w:t>monthly</w:t>
            </w:r>
            <w:r w:rsidRPr="004D0820">
              <w:rPr>
                <w:szCs w:val="24"/>
              </w:rPr>
              <w:t xml:space="preserve"> flows for April, multiply by 100,</w:t>
            </w:r>
          </w:p>
        </w:tc>
      </w:tr>
      <w:tr w:rsidR="0041469B" w:rsidRPr="004D0820" w14:paraId="0C6B6925" w14:textId="77777777" w:rsidTr="00E3342E">
        <w:tc>
          <w:tcPr>
            <w:tcW w:w="909" w:type="dxa"/>
            <w:shd w:val="clear" w:color="auto" w:fill="auto"/>
          </w:tcPr>
          <w:p w14:paraId="3223B546" w14:textId="77777777" w:rsidR="0041469B" w:rsidRPr="004D0820" w:rsidRDefault="0041469B" w:rsidP="00E3342E">
            <w:pPr>
              <w:rPr>
                <w:szCs w:val="24"/>
              </w:rPr>
            </w:pPr>
            <w:r w:rsidRPr="004D0820">
              <w:rPr>
                <w:szCs w:val="24"/>
              </w:rPr>
              <w:t>ML5</w:t>
            </w:r>
          </w:p>
        </w:tc>
        <w:tc>
          <w:tcPr>
            <w:tcW w:w="1310" w:type="dxa"/>
          </w:tcPr>
          <w:p w14:paraId="1EEE1786" w14:textId="77777777" w:rsidR="0041469B" w:rsidRPr="004D0820" w:rsidRDefault="0041469B" w:rsidP="00E3342E">
            <w:pPr>
              <w:rPr>
                <w:szCs w:val="24"/>
              </w:rPr>
            </w:pPr>
            <w:r>
              <w:rPr>
                <w:szCs w:val="24"/>
              </w:rPr>
              <w:t>Daily</w:t>
            </w:r>
          </w:p>
        </w:tc>
        <w:tc>
          <w:tcPr>
            <w:tcW w:w="6807" w:type="dxa"/>
            <w:shd w:val="clear" w:color="auto" w:fill="auto"/>
          </w:tcPr>
          <w:p w14:paraId="2F092208" w14:textId="77777777" w:rsidR="0041469B" w:rsidRPr="004D0820" w:rsidRDefault="0041469B" w:rsidP="00E3342E">
            <w:pPr>
              <w:rPr>
                <w:szCs w:val="24"/>
              </w:rPr>
            </w:pPr>
            <w:r w:rsidRPr="004D0820">
              <w:rPr>
                <w:szCs w:val="24"/>
              </w:rPr>
              <w:t xml:space="preserve">Minimum flows for May – calculate the annual minimum of the daily flows for </w:t>
            </w:r>
            <w:proofErr w:type="gramStart"/>
            <w:r w:rsidRPr="004D0820">
              <w:rPr>
                <w:szCs w:val="24"/>
              </w:rPr>
              <w:t>May, and</w:t>
            </w:r>
            <w:proofErr w:type="gramEnd"/>
            <w:r w:rsidRPr="004D0820">
              <w:rPr>
                <w:szCs w:val="24"/>
              </w:rPr>
              <w:t xml:space="preserve"> find the mean of the annual values.</w:t>
            </w:r>
          </w:p>
        </w:tc>
      </w:tr>
      <w:tr w:rsidR="0041469B" w:rsidRPr="004D0820" w14:paraId="6DD4F570" w14:textId="77777777" w:rsidTr="00E3342E">
        <w:tc>
          <w:tcPr>
            <w:tcW w:w="909" w:type="dxa"/>
            <w:shd w:val="clear" w:color="auto" w:fill="auto"/>
          </w:tcPr>
          <w:p w14:paraId="0FAD7AEC" w14:textId="77777777" w:rsidR="0041469B" w:rsidRPr="004D0820" w:rsidRDefault="0041469B" w:rsidP="00E3342E">
            <w:pPr>
              <w:rPr>
                <w:szCs w:val="24"/>
              </w:rPr>
            </w:pPr>
          </w:p>
        </w:tc>
        <w:tc>
          <w:tcPr>
            <w:tcW w:w="1310" w:type="dxa"/>
          </w:tcPr>
          <w:p w14:paraId="0D517858" w14:textId="77777777" w:rsidR="0041469B" w:rsidRPr="004D0820" w:rsidRDefault="0041469B" w:rsidP="00E3342E">
            <w:pPr>
              <w:rPr>
                <w:szCs w:val="24"/>
              </w:rPr>
            </w:pPr>
            <w:r>
              <w:rPr>
                <w:szCs w:val="24"/>
              </w:rPr>
              <w:t>Monthly</w:t>
            </w:r>
          </w:p>
        </w:tc>
        <w:tc>
          <w:tcPr>
            <w:tcW w:w="6807" w:type="dxa"/>
            <w:shd w:val="clear" w:color="auto" w:fill="auto"/>
          </w:tcPr>
          <w:p w14:paraId="09827BD3" w14:textId="77777777" w:rsidR="0041469B" w:rsidRPr="004D0820" w:rsidRDefault="0041469B" w:rsidP="00E3342E">
            <w:pPr>
              <w:rPr>
                <w:szCs w:val="24"/>
              </w:rPr>
            </w:pPr>
            <w:r>
              <w:rPr>
                <w:szCs w:val="24"/>
              </w:rPr>
              <w:t>Mean monthly flow for May</w:t>
            </w:r>
          </w:p>
        </w:tc>
      </w:tr>
      <w:tr w:rsidR="0041469B" w:rsidRPr="004D0820" w14:paraId="1DD817DC" w14:textId="77777777" w:rsidTr="00E3342E">
        <w:tc>
          <w:tcPr>
            <w:tcW w:w="909" w:type="dxa"/>
            <w:shd w:val="clear" w:color="auto" w:fill="auto"/>
          </w:tcPr>
          <w:p w14:paraId="1DD8B4D6" w14:textId="77777777" w:rsidR="0041469B" w:rsidRPr="004D0820" w:rsidRDefault="0041469B" w:rsidP="00E3342E">
            <w:pPr>
              <w:rPr>
                <w:szCs w:val="24"/>
              </w:rPr>
            </w:pPr>
            <w:r w:rsidRPr="004D0820">
              <w:rPr>
                <w:szCs w:val="24"/>
              </w:rPr>
              <w:t>MH17</w:t>
            </w:r>
          </w:p>
        </w:tc>
        <w:tc>
          <w:tcPr>
            <w:tcW w:w="1310" w:type="dxa"/>
          </w:tcPr>
          <w:p w14:paraId="1D9E45FE" w14:textId="77777777" w:rsidR="0041469B" w:rsidRPr="004D0820" w:rsidRDefault="0041469B" w:rsidP="00E3342E">
            <w:pPr>
              <w:rPr>
                <w:szCs w:val="24"/>
              </w:rPr>
            </w:pPr>
            <w:r>
              <w:rPr>
                <w:szCs w:val="24"/>
              </w:rPr>
              <w:t>Daily</w:t>
            </w:r>
          </w:p>
        </w:tc>
        <w:tc>
          <w:tcPr>
            <w:tcW w:w="6807" w:type="dxa"/>
            <w:shd w:val="clear" w:color="auto" w:fill="auto"/>
          </w:tcPr>
          <w:p w14:paraId="5BEFE95A" w14:textId="77777777" w:rsidR="0041469B" w:rsidRPr="004D0820" w:rsidRDefault="0041469B" w:rsidP="00E3342E">
            <w:pPr>
              <w:rPr>
                <w:szCs w:val="24"/>
              </w:rPr>
            </w:pPr>
            <w:r w:rsidRPr="004D0820">
              <w:rPr>
                <w:szCs w:val="24"/>
              </w:rPr>
              <w:t>High flow discharge index – calculate the 25% exceedance value for the whole flow record, divide by the median flow for the whole flow record.</w:t>
            </w:r>
          </w:p>
        </w:tc>
      </w:tr>
      <w:tr w:rsidR="0041469B" w:rsidRPr="004D0820" w14:paraId="3AFACA07" w14:textId="77777777" w:rsidTr="00E3342E">
        <w:tc>
          <w:tcPr>
            <w:tcW w:w="909" w:type="dxa"/>
            <w:shd w:val="clear" w:color="auto" w:fill="auto"/>
          </w:tcPr>
          <w:p w14:paraId="0618178F" w14:textId="77777777" w:rsidR="0041469B" w:rsidRPr="004D0820" w:rsidRDefault="0041469B" w:rsidP="00E3342E">
            <w:pPr>
              <w:rPr>
                <w:szCs w:val="24"/>
              </w:rPr>
            </w:pPr>
          </w:p>
        </w:tc>
        <w:tc>
          <w:tcPr>
            <w:tcW w:w="1310" w:type="dxa"/>
          </w:tcPr>
          <w:p w14:paraId="654C8B1C" w14:textId="77777777" w:rsidR="0041469B" w:rsidRPr="004D0820" w:rsidRDefault="0041469B" w:rsidP="00E3342E">
            <w:pPr>
              <w:rPr>
                <w:szCs w:val="24"/>
              </w:rPr>
            </w:pPr>
            <w:r>
              <w:rPr>
                <w:szCs w:val="24"/>
              </w:rPr>
              <w:t>Monthly</w:t>
            </w:r>
          </w:p>
        </w:tc>
        <w:tc>
          <w:tcPr>
            <w:tcW w:w="6807" w:type="dxa"/>
            <w:shd w:val="clear" w:color="auto" w:fill="auto"/>
          </w:tcPr>
          <w:p w14:paraId="448199EC" w14:textId="77777777" w:rsidR="0041469B" w:rsidRPr="004D0820" w:rsidRDefault="0041469B" w:rsidP="00E3342E">
            <w:pPr>
              <w:rPr>
                <w:szCs w:val="24"/>
              </w:rPr>
            </w:pPr>
            <w:r>
              <w:rPr>
                <w:szCs w:val="24"/>
              </w:rPr>
              <w:t>As above</w:t>
            </w:r>
          </w:p>
        </w:tc>
      </w:tr>
      <w:tr w:rsidR="0041469B" w:rsidRPr="004D0820" w14:paraId="71E7DD29" w14:textId="77777777" w:rsidTr="00E3342E">
        <w:tc>
          <w:tcPr>
            <w:tcW w:w="909" w:type="dxa"/>
            <w:shd w:val="clear" w:color="auto" w:fill="auto"/>
          </w:tcPr>
          <w:p w14:paraId="42253979" w14:textId="77777777" w:rsidR="0041469B" w:rsidRPr="004D0820" w:rsidRDefault="0041469B" w:rsidP="00E3342E">
            <w:pPr>
              <w:rPr>
                <w:szCs w:val="24"/>
              </w:rPr>
            </w:pPr>
            <w:r w:rsidRPr="004D0820">
              <w:rPr>
                <w:szCs w:val="24"/>
              </w:rPr>
              <w:lastRenderedPageBreak/>
              <w:t>FL3</w:t>
            </w:r>
            <w:r w:rsidRPr="004D0820">
              <w:rPr>
                <w:szCs w:val="24"/>
                <w:vertAlign w:val="superscript"/>
              </w:rPr>
              <w:t>#</w:t>
            </w:r>
          </w:p>
        </w:tc>
        <w:tc>
          <w:tcPr>
            <w:tcW w:w="1310" w:type="dxa"/>
          </w:tcPr>
          <w:p w14:paraId="291AA303" w14:textId="77777777" w:rsidR="0041469B" w:rsidRPr="004D0820" w:rsidRDefault="0041469B" w:rsidP="00E3342E">
            <w:pPr>
              <w:rPr>
                <w:szCs w:val="24"/>
              </w:rPr>
            </w:pPr>
            <w:r>
              <w:rPr>
                <w:szCs w:val="24"/>
              </w:rPr>
              <w:t>Daily</w:t>
            </w:r>
          </w:p>
        </w:tc>
        <w:tc>
          <w:tcPr>
            <w:tcW w:w="6807" w:type="dxa"/>
            <w:shd w:val="clear" w:color="auto" w:fill="auto"/>
          </w:tcPr>
          <w:p w14:paraId="7DEC6B93" w14:textId="77777777" w:rsidR="0041469B" w:rsidRPr="004D0820" w:rsidRDefault="0041469B" w:rsidP="00E3342E">
            <w:pPr>
              <w:rPr>
                <w:szCs w:val="24"/>
              </w:rPr>
            </w:pPr>
            <w:r w:rsidRPr="004D0820">
              <w:rPr>
                <w:szCs w:val="24"/>
              </w:rPr>
              <w:t xml:space="preserve">Frequency of low pulse spells – 1) calculate the number of days per year with flows below a threshold of 5% of the mean of the daily flow values for the entire flow record, and find the mean of the annual values, and 2) calculate the annual number of discrete events with flows below a threshold of 5% of the mean of the daily flow values for the entire flow </w:t>
            </w:r>
            <w:proofErr w:type="gramStart"/>
            <w:r w:rsidRPr="004D0820">
              <w:rPr>
                <w:szCs w:val="24"/>
              </w:rPr>
              <w:t>record, and</w:t>
            </w:r>
            <w:proofErr w:type="gramEnd"/>
            <w:r w:rsidRPr="004D0820">
              <w:rPr>
                <w:szCs w:val="24"/>
              </w:rPr>
              <w:t xml:space="preserve"> find the mean of the annual values.</w:t>
            </w:r>
          </w:p>
        </w:tc>
      </w:tr>
      <w:tr w:rsidR="0041469B" w:rsidRPr="004D0820" w14:paraId="43B8A9D7" w14:textId="77777777" w:rsidTr="00E3342E">
        <w:tc>
          <w:tcPr>
            <w:tcW w:w="909" w:type="dxa"/>
            <w:shd w:val="clear" w:color="auto" w:fill="auto"/>
          </w:tcPr>
          <w:p w14:paraId="671C6A59" w14:textId="77777777" w:rsidR="0041469B" w:rsidRPr="004D0820" w:rsidRDefault="0041469B" w:rsidP="00E3342E">
            <w:pPr>
              <w:rPr>
                <w:szCs w:val="24"/>
              </w:rPr>
            </w:pPr>
          </w:p>
        </w:tc>
        <w:tc>
          <w:tcPr>
            <w:tcW w:w="1310" w:type="dxa"/>
          </w:tcPr>
          <w:p w14:paraId="4828CD4B" w14:textId="77777777" w:rsidR="0041469B" w:rsidRPr="004D0820" w:rsidRDefault="0041469B" w:rsidP="00E3342E">
            <w:pPr>
              <w:rPr>
                <w:szCs w:val="24"/>
              </w:rPr>
            </w:pPr>
            <w:r>
              <w:rPr>
                <w:szCs w:val="24"/>
              </w:rPr>
              <w:t>Monthly</w:t>
            </w:r>
          </w:p>
        </w:tc>
        <w:tc>
          <w:tcPr>
            <w:tcW w:w="6807" w:type="dxa"/>
            <w:shd w:val="clear" w:color="auto" w:fill="auto"/>
          </w:tcPr>
          <w:p w14:paraId="6058A4D7" w14:textId="77777777" w:rsidR="0041469B" w:rsidRPr="004D0820" w:rsidRDefault="0041469B" w:rsidP="00E3342E">
            <w:pPr>
              <w:rPr>
                <w:szCs w:val="24"/>
              </w:rPr>
            </w:pPr>
            <w:r>
              <w:rPr>
                <w:szCs w:val="24"/>
              </w:rPr>
              <w:t>C</w:t>
            </w:r>
            <w:r w:rsidRPr="00F91214">
              <w:rPr>
                <w:szCs w:val="24"/>
              </w:rPr>
              <w:t xml:space="preserve">alculate the number of </w:t>
            </w:r>
            <w:r>
              <w:rPr>
                <w:szCs w:val="24"/>
              </w:rPr>
              <w:t>months</w:t>
            </w:r>
            <w:r w:rsidRPr="00F91214">
              <w:rPr>
                <w:szCs w:val="24"/>
              </w:rPr>
              <w:t xml:space="preserve"> per year with flows below a threshold of 5% of the mean of the </w:t>
            </w:r>
            <w:r>
              <w:rPr>
                <w:szCs w:val="24"/>
              </w:rPr>
              <w:t>monthly</w:t>
            </w:r>
            <w:r w:rsidRPr="00F91214">
              <w:rPr>
                <w:szCs w:val="24"/>
              </w:rPr>
              <w:t xml:space="preserve"> flow values for the entire flow record, and find the mean of the annual values</w:t>
            </w:r>
          </w:p>
        </w:tc>
      </w:tr>
      <w:tr w:rsidR="0041469B" w:rsidRPr="004D0820" w14:paraId="74C3E674" w14:textId="77777777" w:rsidTr="00E3342E">
        <w:tc>
          <w:tcPr>
            <w:tcW w:w="909" w:type="dxa"/>
            <w:shd w:val="clear" w:color="auto" w:fill="auto"/>
          </w:tcPr>
          <w:p w14:paraId="1E587FDD" w14:textId="77777777" w:rsidR="0041469B" w:rsidRPr="004D0820" w:rsidRDefault="0041469B" w:rsidP="00E3342E">
            <w:pPr>
              <w:rPr>
                <w:szCs w:val="24"/>
              </w:rPr>
            </w:pPr>
            <w:r w:rsidRPr="004D0820">
              <w:rPr>
                <w:szCs w:val="24"/>
              </w:rPr>
              <w:t>FH5</w:t>
            </w:r>
            <w:r w:rsidRPr="004D0820">
              <w:rPr>
                <w:szCs w:val="24"/>
                <w:vertAlign w:val="superscript"/>
              </w:rPr>
              <w:t>#</w:t>
            </w:r>
          </w:p>
        </w:tc>
        <w:tc>
          <w:tcPr>
            <w:tcW w:w="1310" w:type="dxa"/>
          </w:tcPr>
          <w:p w14:paraId="442E0432" w14:textId="77777777" w:rsidR="0041469B" w:rsidRPr="004D0820" w:rsidRDefault="0041469B" w:rsidP="00E3342E">
            <w:pPr>
              <w:rPr>
                <w:szCs w:val="24"/>
              </w:rPr>
            </w:pPr>
            <w:r>
              <w:rPr>
                <w:szCs w:val="24"/>
              </w:rPr>
              <w:t>Daily</w:t>
            </w:r>
          </w:p>
        </w:tc>
        <w:tc>
          <w:tcPr>
            <w:tcW w:w="6807" w:type="dxa"/>
            <w:shd w:val="clear" w:color="auto" w:fill="auto"/>
          </w:tcPr>
          <w:p w14:paraId="3463D3DF" w14:textId="77777777" w:rsidR="0041469B" w:rsidRPr="004D0820" w:rsidRDefault="0041469B" w:rsidP="00E3342E">
            <w:pPr>
              <w:rPr>
                <w:szCs w:val="24"/>
              </w:rPr>
            </w:pPr>
            <w:r w:rsidRPr="004D0820">
              <w:rPr>
                <w:szCs w:val="24"/>
              </w:rPr>
              <w:t xml:space="preserve">Flood frequency - 1) calculate the number of days per year with flows above a threshold of the median of the daily flow values for the entire flow record, and find the mean of the annual values, and 2) calculate the annual number of discrete events with flows above a threshold of the median of the daily flow values for the entire flow </w:t>
            </w:r>
            <w:proofErr w:type="gramStart"/>
            <w:r w:rsidRPr="004D0820">
              <w:rPr>
                <w:szCs w:val="24"/>
              </w:rPr>
              <w:t>record, and</w:t>
            </w:r>
            <w:proofErr w:type="gramEnd"/>
            <w:r w:rsidRPr="004D0820">
              <w:rPr>
                <w:szCs w:val="24"/>
              </w:rPr>
              <w:t xml:space="preserve"> find the mean of the annual values.</w:t>
            </w:r>
          </w:p>
        </w:tc>
      </w:tr>
      <w:tr w:rsidR="0041469B" w:rsidRPr="004D0820" w14:paraId="1FBCD2E4" w14:textId="77777777" w:rsidTr="00E3342E">
        <w:tc>
          <w:tcPr>
            <w:tcW w:w="909" w:type="dxa"/>
            <w:shd w:val="clear" w:color="auto" w:fill="auto"/>
          </w:tcPr>
          <w:p w14:paraId="1A6CE52E" w14:textId="77777777" w:rsidR="0041469B" w:rsidRPr="004D0820" w:rsidRDefault="0041469B" w:rsidP="00E3342E">
            <w:pPr>
              <w:rPr>
                <w:szCs w:val="24"/>
              </w:rPr>
            </w:pPr>
            <w:r>
              <w:rPr>
                <w:szCs w:val="24"/>
              </w:rPr>
              <w:t>FH3</w:t>
            </w:r>
          </w:p>
        </w:tc>
        <w:tc>
          <w:tcPr>
            <w:tcW w:w="1310" w:type="dxa"/>
          </w:tcPr>
          <w:p w14:paraId="5EA0E50F" w14:textId="77777777" w:rsidR="0041469B" w:rsidRPr="004D0820" w:rsidRDefault="0041469B" w:rsidP="00E3342E">
            <w:pPr>
              <w:rPr>
                <w:szCs w:val="24"/>
              </w:rPr>
            </w:pPr>
            <w:r>
              <w:rPr>
                <w:szCs w:val="24"/>
              </w:rPr>
              <w:t>Monthly</w:t>
            </w:r>
          </w:p>
        </w:tc>
        <w:tc>
          <w:tcPr>
            <w:tcW w:w="6807" w:type="dxa"/>
            <w:shd w:val="clear" w:color="auto" w:fill="auto"/>
          </w:tcPr>
          <w:p w14:paraId="5D805800" w14:textId="77777777" w:rsidR="0041469B" w:rsidRPr="004D0820" w:rsidRDefault="0041469B" w:rsidP="00E3342E">
            <w:pPr>
              <w:rPr>
                <w:szCs w:val="24"/>
              </w:rPr>
            </w:pPr>
            <w:r>
              <w:rPr>
                <w:szCs w:val="24"/>
              </w:rPr>
              <w:t>C</w:t>
            </w:r>
            <w:r w:rsidRPr="004D0820">
              <w:rPr>
                <w:szCs w:val="24"/>
              </w:rPr>
              <w:t xml:space="preserve">alculate the number of </w:t>
            </w:r>
            <w:r>
              <w:rPr>
                <w:szCs w:val="24"/>
              </w:rPr>
              <w:t>months</w:t>
            </w:r>
            <w:r w:rsidRPr="004D0820">
              <w:rPr>
                <w:szCs w:val="24"/>
              </w:rPr>
              <w:t xml:space="preserve"> per year with flows above a threshold of </w:t>
            </w:r>
            <w:r>
              <w:rPr>
                <w:szCs w:val="24"/>
              </w:rPr>
              <w:t xml:space="preserve">three times </w:t>
            </w:r>
            <w:r w:rsidRPr="004D0820">
              <w:rPr>
                <w:szCs w:val="24"/>
              </w:rPr>
              <w:t xml:space="preserve">the median of the </w:t>
            </w:r>
            <w:r>
              <w:rPr>
                <w:szCs w:val="24"/>
              </w:rPr>
              <w:t>monthly</w:t>
            </w:r>
            <w:r w:rsidRPr="004D0820">
              <w:rPr>
                <w:szCs w:val="24"/>
              </w:rPr>
              <w:t xml:space="preserve"> flow values for the entire flow record, and find the mean of the annual values</w:t>
            </w:r>
          </w:p>
        </w:tc>
      </w:tr>
      <w:tr w:rsidR="0041469B" w:rsidRPr="004D0820" w14:paraId="2D14E78B" w14:textId="77777777" w:rsidTr="00E3342E">
        <w:tc>
          <w:tcPr>
            <w:tcW w:w="909" w:type="dxa"/>
            <w:shd w:val="clear" w:color="auto" w:fill="auto"/>
          </w:tcPr>
          <w:p w14:paraId="29F334F8" w14:textId="77777777" w:rsidR="0041469B" w:rsidRPr="004D0820" w:rsidRDefault="0041469B" w:rsidP="00E3342E">
            <w:pPr>
              <w:rPr>
                <w:szCs w:val="24"/>
              </w:rPr>
            </w:pPr>
            <w:r w:rsidRPr="004D0820">
              <w:rPr>
                <w:szCs w:val="24"/>
              </w:rPr>
              <w:t>DL16</w:t>
            </w:r>
          </w:p>
        </w:tc>
        <w:tc>
          <w:tcPr>
            <w:tcW w:w="1310" w:type="dxa"/>
          </w:tcPr>
          <w:p w14:paraId="7243D426" w14:textId="77777777" w:rsidR="0041469B" w:rsidRPr="004D0820" w:rsidRDefault="0041469B" w:rsidP="00E3342E">
            <w:pPr>
              <w:rPr>
                <w:szCs w:val="24"/>
              </w:rPr>
            </w:pPr>
            <w:r>
              <w:rPr>
                <w:szCs w:val="24"/>
              </w:rPr>
              <w:t>Daily</w:t>
            </w:r>
          </w:p>
        </w:tc>
        <w:tc>
          <w:tcPr>
            <w:tcW w:w="6807" w:type="dxa"/>
            <w:shd w:val="clear" w:color="auto" w:fill="auto"/>
          </w:tcPr>
          <w:p w14:paraId="2F2EAFA4" w14:textId="77777777" w:rsidR="0041469B" w:rsidRPr="004D0820" w:rsidRDefault="0041469B" w:rsidP="00E3342E">
            <w:pPr>
              <w:rPr>
                <w:szCs w:val="24"/>
              </w:rPr>
            </w:pPr>
            <w:r w:rsidRPr="004D0820">
              <w:rPr>
                <w:szCs w:val="24"/>
              </w:rPr>
              <w:t>Low flow pulse duration – for each year calculate the average duration of discrete events with flows below a threshold of 25</w:t>
            </w:r>
            <w:r w:rsidRPr="004D0820">
              <w:rPr>
                <w:szCs w:val="24"/>
                <w:vertAlign w:val="superscript"/>
              </w:rPr>
              <w:t>th</w:t>
            </w:r>
            <w:r w:rsidRPr="004D0820">
              <w:rPr>
                <w:szCs w:val="24"/>
              </w:rPr>
              <w:t xml:space="preserve"> percentile of the daily flow values for the entire flow </w:t>
            </w:r>
            <w:proofErr w:type="gramStart"/>
            <w:r w:rsidRPr="004D0820">
              <w:rPr>
                <w:szCs w:val="24"/>
              </w:rPr>
              <w:t>record, and</w:t>
            </w:r>
            <w:proofErr w:type="gramEnd"/>
            <w:r w:rsidRPr="004D0820">
              <w:rPr>
                <w:szCs w:val="24"/>
              </w:rPr>
              <w:t xml:space="preserve"> find the mean of the annual values.</w:t>
            </w:r>
          </w:p>
        </w:tc>
      </w:tr>
      <w:tr w:rsidR="0041469B" w:rsidRPr="004D0820" w14:paraId="13ED648D" w14:textId="77777777" w:rsidTr="00E3342E">
        <w:tc>
          <w:tcPr>
            <w:tcW w:w="909" w:type="dxa"/>
            <w:shd w:val="clear" w:color="auto" w:fill="auto"/>
          </w:tcPr>
          <w:p w14:paraId="1603857B" w14:textId="77777777" w:rsidR="0041469B" w:rsidRPr="004D0820" w:rsidRDefault="0041469B" w:rsidP="00E3342E">
            <w:pPr>
              <w:rPr>
                <w:szCs w:val="24"/>
              </w:rPr>
            </w:pPr>
          </w:p>
        </w:tc>
        <w:tc>
          <w:tcPr>
            <w:tcW w:w="1310" w:type="dxa"/>
          </w:tcPr>
          <w:p w14:paraId="20248C30" w14:textId="77777777" w:rsidR="0041469B" w:rsidRPr="004D0820" w:rsidRDefault="0041469B" w:rsidP="00E3342E">
            <w:pPr>
              <w:rPr>
                <w:szCs w:val="24"/>
              </w:rPr>
            </w:pPr>
            <w:r>
              <w:rPr>
                <w:szCs w:val="24"/>
              </w:rPr>
              <w:t>Monthly</w:t>
            </w:r>
          </w:p>
        </w:tc>
        <w:tc>
          <w:tcPr>
            <w:tcW w:w="6807" w:type="dxa"/>
            <w:shd w:val="clear" w:color="auto" w:fill="auto"/>
          </w:tcPr>
          <w:p w14:paraId="3522D25F" w14:textId="77777777" w:rsidR="0041469B" w:rsidRPr="004D0820" w:rsidRDefault="0041469B" w:rsidP="00E3342E">
            <w:pPr>
              <w:rPr>
                <w:szCs w:val="24"/>
              </w:rPr>
            </w:pPr>
            <w:r>
              <w:rPr>
                <w:szCs w:val="24"/>
              </w:rPr>
              <w:t>N/A</w:t>
            </w:r>
          </w:p>
        </w:tc>
      </w:tr>
      <w:tr w:rsidR="0041469B" w:rsidRPr="004D0820" w14:paraId="02534AD8" w14:textId="77777777" w:rsidTr="00E3342E">
        <w:tc>
          <w:tcPr>
            <w:tcW w:w="909" w:type="dxa"/>
            <w:shd w:val="clear" w:color="auto" w:fill="auto"/>
          </w:tcPr>
          <w:p w14:paraId="15372721" w14:textId="77777777" w:rsidR="0041469B" w:rsidRPr="004D0820" w:rsidRDefault="0041469B" w:rsidP="00E3342E">
            <w:pPr>
              <w:rPr>
                <w:szCs w:val="24"/>
              </w:rPr>
            </w:pPr>
            <w:r w:rsidRPr="004D0820">
              <w:rPr>
                <w:szCs w:val="24"/>
              </w:rPr>
              <w:lastRenderedPageBreak/>
              <w:t>DH17</w:t>
            </w:r>
          </w:p>
        </w:tc>
        <w:tc>
          <w:tcPr>
            <w:tcW w:w="1310" w:type="dxa"/>
          </w:tcPr>
          <w:p w14:paraId="7FE4CF69" w14:textId="77777777" w:rsidR="0041469B" w:rsidRPr="004D0820" w:rsidRDefault="0041469B" w:rsidP="00E3342E">
            <w:pPr>
              <w:rPr>
                <w:szCs w:val="24"/>
              </w:rPr>
            </w:pPr>
            <w:r>
              <w:rPr>
                <w:szCs w:val="24"/>
              </w:rPr>
              <w:t>Daily</w:t>
            </w:r>
          </w:p>
        </w:tc>
        <w:tc>
          <w:tcPr>
            <w:tcW w:w="6807" w:type="dxa"/>
            <w:shd w:val="clear" w:color="auto" w:fill="auto"/>
          </w:tcPr>
          <w:p w14:paraId="07F5F8B7" w14:textId="19E4C11C" w:rsidR="0041469B" w:rsidRPr="004D0820" w:rsidRDefault="0041469B" w:rsidP="00E3342E">
            <w:pPr>
              <w:rPr>
                <w:szCs w:val="24"/>
              </w:rPr>
            </w:pPr>
            <w:r w:rsidRPr="004D0820">
              <w:rPr>
                <w:szCs w:val="24"/>
              </w:rPr>
              <w:t xml:space="preserve">High flow duration – for each year calculate the average duration of discrete events with flows above a threshold of the median of the daily flow values for the entire flow </w:t>
            </w:r>
            <w:proofErr w:type="gramStart"/>
            <w:r w:rsidRPr="004D0820">
              <w:rPr>
                <w:szCs w:val="24"/>
              </w:rPr>
              <w:t>record,</w:t>
            </w:r>
            <w:r w:rsidR="006D28F0">
              <w:rPr>
                <w:szCs w:val="24"/>
              </w:rPr>
              <w:t xml:space="preserve"> </w:t>
            </w:r>
            <w:r w:rsidRPr="004D0820">
              <w:rPr>
                <w:szCs w:val="24"/>
              </w:rPr>
              <w:t>and</w:t>
            </w:r>
            <w:proofErr w:type="gramEnd"/>
            <w:r w:rsidRPr="004D0820">
              <w:rPr>
                <w:szCs w:val="24"/>
              </w:rPr>
              <w:t xml:space="preserve"> find the mean of the annual values. </w:t>
            </w:r>
          </w:p>
        </w:tc>
      </w:tr>
      <w:tr w:rsidR="0041469B" w:rsidRPr="004D0820" w14:paraId="7CAF09FF" w14:textId="77777777" w:rsidTr="00E3342E">
        <w:tc>
          <w:tcPr>
            <w:tcW w:w="909" w:type="dxa"/>
            <w:shd w:val="clear" w:color="auto" w:fill="auto"/>
          </w:tcPr>
          <w:p w14:paraId="506AE316" w14:textId="77777777" w:rsidR="0041469B" w:rsidRPr="004D0820" w:rsidRDefault="0041469B" w:rsidP="00E3342E">
            <w:pPr>
              <w:rPr>
                <w:szCs w:val="24"/>
              </w:rPr>
            </w:pPr>
          </w:p>
        </w:tc>
        <w:tc>
          <w:tcPr>
            <w:tcW w:w="1310" w:type="dxa"/>
          </w:tcPr>
          <w:p w14:paraId="2F9699B0" w14:textId="77777777" w:rsidR="0041469B" w:rsidRPr="004D0820" w:rsidRDefault="0041469B" w:rsidP="00E3342E">
            <w:pPr>
              <w:rPr>
                <w:szCs w:val="24"/>
              </w:rPr>
            </w:pPr>
            <w:r>
              <w:rPr>
                <w:szCs w:val="24"/>
              </w:rPr>
              <w:t>Monthly</w:t>
            </w:r>
          </w:p>
        </w:tc>
        <w:tc>
          <w:tcPr>
            <w:tcW w:w="6807" w:type="dxa"/>
            <w:shd w:val="clear" w:color="auto" w:fill="auto"/>
          </w:tcPr>
          <w:p w14:paraId="3F92C57C" w14:textId="77777777" w:rsidR="0041469B" w:rsidRPr="004D0820" w:rsidRDefault="0041469B" w:rsidP="00E3342E">
            <w:pPr>
              <w:rPr>
                <w:szCs w:val="24"/>
              </w:rPr>
            </w:pPr>
            <w:r>
              <w:rPr>
                <w:szCs w:val="24"/>
              </w:rPr>
              <w:t>N/A</w:t>
            </w:r>
          </w:p>
        </w:tc>
      </w:tr>
      <w:tr w:rsidR="0041469B" w:rsidRPr="004D0820" w14:paraId="771F88B9" w14:textId="77777777" w:rsidTr="00E3342E">
        <w:tc>
          <w:tcPr>
            <w:tcW w:w="909" w:type="dxa"/>
            <w:shd w:val="clear" w:color="auto" w:fill="auto"/>
          </w:tcPr>
          <w:p w14:paraId="621F87AD" w14:textId="77777777" w:rsidR="0041469B" w:rsidRPr="004D0820" w:rsidRDefault="0041469B" w:rsidP="00E3342E">
            <w:pPr>
              <w:rPr>
                <w:szCs w:val="24"/>
              </w:rPr>
            </w:pPr>
            <w:r w:rsidRPr="004D0820">
              <w:rPr>
                <w:szCs w:val="24"/>
              </w:rPr>
              <w:t>TA1</w:t>
            </w:r>
          </w:p>
        </w:tc>
        <w:tc>
          <w:tcPr>
            <w:tcW w:w="1310" w:type="dxa"/>
          </w:tcPr>
          <w:p w14:paraId="6EA4E46B" w14:textId="77777777" w:rsidR="0041469B" w:rsidRPr="004D0820" w:rsidRDefault="0041469B" w:rsidP="00E3342E">
            <w:pPr>
              <w:rPr>
                <w:szCs w:val="24"/>
              </w:rPr>
            </w:pPr>
            <w:r>
              <w:rPr>
                <w:szCs w:val="24"/>
              </w:rPr>
              <w:t>Daily</w:t>
            </w:r>
          </w:p>
        </w:tc>
        <w:tc>
          <w:tcPr>
            <w:tcW w:w="6807" w:type="dxa"/>
            <w:shd w:val="clear" w:color="auto" w:fill="auto"/>
          </w:tcPr>
          <w:p w14:paraId="46DBBE47" w14:textId="77777777" w:rsidR="0041469B" w:rsidRPr="004D0820" w:rsidRDefault="0041469B" w:rsidP="00E3342E">
            <w:pPr>
              <w:rPr>
                <w:szCs w:val="24"/>
              </w:rPr>
            </w:pPr>
            <w:r w:rsidRPr="004D0820">
              <w:rPr>
                <w:szCs w:val="24"/>
              </w:rPr>
              <w:t xml:space="preserve">Constancy – calculated following the formulation of Colwell </w:t>
            </w:r>
            <w:r w:rsidRPr="004D0820">
              <w:rPr>
                <w:szCs w:val="24"/>
              </w:rPr>
              <w:fldChar w:fldCharType="begin" w:fldLock="1"/>
            </w:r>
            <w:r>
              <w:rPr>
                <w:szCs w:val="24"/>
              </w:rPr>
              <w:instrText>ADDIN CSL_CITATION { "citationItems" : [ { "id" : "ITEM-1", "itemData" : { "DOI" : "10.2307/1940366", "ISBN" : "00129658", "ISSN" : "00129658", "PMID" : "1101", "abstract" : "Colwell, R. K. (1974). Predictability, constancy, and contingency of periodic phenomena. Ecology, 55(5) 1148-1153.", "author" : [ { "dropping-particle" : "", "family" : "Colwell", "given" : "Robert K", "non-dropping-particle" : "", "parse-names" : false, "suffix" : "" } ], "container-title" : "Ecology", "id" : "ITEM-1", "issue" : "5", "issued" : { "date-parts" : [ [ "1974" ] ] }, "page" : "1148-1153", "title" : "Predictability, constancy, and contingency of periodic phenomena", "type" : "article-journal", "volume" : "55" }, "uris" : [ "http://www.mendeley.com/documents/?uuid=4ac0fc22-07df-431c-853b-5cbd44fdf3cd" ] } ], "mendeley" : { "formattedCitation" : "(Colwell, 1974)", "plainTextFormattedCitation" : "(Colwell, 1974)", "previouslyFormattedCitation" : "(Colwell, 1974)" }, "properties" : { "noteIndex" : 0 }, "schema" : "https://github.com/citation-style-language/schema/raw/master/csl-citation.json" }</w:instrText>
            </w:r>
            <w:r w:rsidRPr="004D0820">
              <w:rPr>
                <w:szCs w:val="24"/>
              </w:rPr>
              <w:fldChar w:fldCharType="separate"/>
            </w:r>
            <w:r w:rsidRPr="00C03595">
              <w:rPr>
                <w:noProof/>
                <w:szCs w:val="24"/>
              </w:rPr>
              <w:t>(Colwell, 1974)</w:t>
            </w:r>
            <w:r w:rsidRPr="004D0820">
              <w:rPr>
                <w:szCs w:val="24"/>
              </w:rPr>
              <w:fldChar w:fldCharType="end"/>
            </w:r>
            <w:r w:rsidRPr="004D0820">
              <w:rPr>
                <w:szCs w:val="24"/>
              </w:rPr>
              <w:t>.</w:t>
            </w:r>
          </w:p>
        </w:tc>
      </w:tr>
      <w:tr w:rsidR="0041469B" w:rsidRPr="004D0820" w14:paraId="238AFCD5" w14:textId="77777777" w:rsidTr="00E3342E">
        <w:tc>
          <w:tcPr>
            <w:tcW w:w="909" w:type="dxa"/>
            <w:shd w:val="clear" w:color="auto" w:fill="auto"/>
          </w:tcPr>
          <w:p w14:paraId="0FCD26BC" w14:textId="77777777" w:rsidR="0041469B" w:rsidRPr="004D0820" w:rsidRDefault="0041469B" w:rsidP="00E3342E">
            <w:pPr>
              <w:rPr>
                <w:szCs w:val="24"/>
              </w:rPr>
            </w:pPr>
          </w:p>
        </w:tc>
        <w:tc>
          <w:tcPr>
            <w:tcW w:w="1310" w:type="dxa"/>
          </w:tcPr>
          <w:p w14:paraId="4C53A1C9" w14:textId="77777777" w:rsidR="0041469B" w:rsidRPr="004D0820" w:rsidRDefault="0041469B" w:rsidP="00E3342E">
            <w:pPr>
              <w:rPr>
                <w:szCs w:val="24"/>
              </w:rPr>
            </w:pPr>
            <w:r>
              <w:rPr>
                <w:szCs w:val="24"/>
              </w:rPr>
              <w:t>Monthly</w:t>
            </w:r>
          </w:p>
        </w:tc>
        <w:tc>
          <w:tcPr>
            <w:tcW w:w="6807" w:type="dxa"/>
            <w:shd w:val="clear" w:color="auto" w:fill="auto"/>
          </w:tcPr>
          <w:p w14:paraId="3F726B4B" w14:textId="77777777" w:rsidR="0041469B" w:rsidRPr="004D0820" w:rsidRDefault="0041469B" w:rsidP="00E3342E">
            <w:pPr>
              <w:rPr>
                <w:szCs w:val="24"/>
              </w:rPr>
            </w:pPr>
            <w:r>
              <w:rPr>
                <w:szCs w:val="24"/>
              </w:rPr>
              <w:t>N/A</w:t>
            </w:r>
          </w:p>
        </w:tc>
      </w:tr>
      <w:tr w:rsidR="0041469B" w:rsidRPr="004D0820" w14:paraId="4015C7DE" w14:textId="77777777" w:rsidTr="00E3342E">
        <w:tc>
          <w:tcPr>
            <w:tcW w:w="909" w:type="dxa"/>
            <w:shd w:val="clear" w:color="auto" w:fill="auto"/>
          </w:tcPr>
          <w:p w14:paraId="26123007" w14:textId="77777777" w:rsidR="0041469B" w:rsidRPr="004D0820" w:rsidRDefault="0041469B" w:rsidP="00E3342E">
            <w:pPr>
              <w:rPr>
                <w:szCs w:val="24"/>
              </w:rPr>
            </w:pPr>
            <w:r w:rsidRPr="004D0820">
              <w:rPr>
                <w:szCs w:val="24"/>
              </w:rPr>
              <w:t>TL1</w:t>
            </w:r>
          </w:p>
        </w:tc>
        <w:tc>
          <w:tcPr>
            <w:tcW w:w="1310" w:type="dxa"/>
          </w:tcPr>
          <w:p w14:paraId="22C93C4F" w14:textId="77777777" w:rsidR="0041469B" w:rsidRPr="004D0820" w:rsidRDefault="0041469B" w:rsidP="00E3342E">
            <w:pPr>
              <w:rPr>
                <w:szCs w:val="24"/>
              </w:rPr>
            </w:pPr>
            <w:r>
              <w:rPr>
                <w:szCs w:val="24"/>
              </w:rPr>
              <w:t>Daily</w:t>
            </w:r>
          </w:p>
        </w:tc>
        <w:tc>
          <w:tcPr>
            <w:tcW w:w="6807" w:type="dxa"/>
            <w:shd w:val="clear" w:color="auto" w:fill="auto"/>
          </w:tcPr>
          <w:p w14:paraId="1D1B6C48" w14:textId="77777777" w:rsidR="0041469B" w:rsidRPr="004D0820" w:rsidRDefault="0041469B" w:rsidP="00E3342E">
            <w:pPr>
              <w:rPr>
                <w:szCs w:val="24"/>
              </w:rPr>
            </w:pPr>
            <w:r w:rsidRPr="004D0820">
              <w:rPr>
                <w:szCs w:val="24"/>
              </w:rPr>
              <w:t>Julian date of annual minimum – calculate the mean Julian day where the minimum flow value for that year is reached for the first time.</w:t>
            </w:r>
          </w:p>
        </w:tc>
      </w:tr>
      <w:tr w:rsidR="0041469B" w:rsidRPr="004D0820" w14:paraId="5060E210" w14:textId="77777777" w:rsidTr="00E3342E">
        <w:tc>
          <w:tcPr>
            <w:tcW w:w="909" w:type="dxa"/>
            <w:shd w:val="clear" w:color="auto" w:fill="auto"/>
          </w:tcPr>
          <w:p w14:paraId="1EA174F4" w14:textId="77777777" w:rsidR="0041469B" w:rsidRPr="004D0820" w:rsidRDefault="0041469B" w:rsidP="00E3342E">
            <w:pPr>
              <w:rPr>
                <w:szCs w:val="24"/>
              </w:rPr>
            </w:pPr>
          </w:p>
        </w:tc>
        <w:tc>
          <w:tcPr>
            <w:tcW w:w="1310" w:type="dxa"/>
          </w:tcPr>
          <w:p w14:paraId="33107E4C" w14:textId="77777777" w:rsidR="0041469B" w:rsidRPr="004D0820" w:rsidRDefault="0041469B" w:rsidP="00E3342E">
            <w:pPr>
              <w:rPr>
                <w:szCs w:val="24"/>
              </w:rPr>
            </w:pPr>
            <w:r>
              <w:rPr>
                <w:szCs w:val="24"/>
              </w:rPr>
              <w:t>Monthly</w:t>
            </w:r>
          </w:p>
        </w:tc>
        <w:tc>
          <w:tcPr>
            <w:tcW w:w="6807" w:type="dxa"/>
            <w:shd w:val="clear" w:color="auto" w:fill="auto"/>
          </w:tcPr>
          <w:p w14:paraId="1AC9F24B" w14:textId="77777777" w:rsidR="0041469B" w:rsidRPr="004D0820" w:rsidRDefault="0041469B" w:rsidP="00E3342E">
            <w:pPr>
              <w:rPr>
                <w:szCs w:val="24"/>
              </w:rPr>
            </w:pPr>
            <w:r>
              <w:rPr>
                <w:szCs w:val="24"/>
              </w:rPr>
              <w:t>C</w:t>
            </w:r>
            <w:r w:rsidRPr="004D0820">
              <w:rPr>
                <w:szCs w:val="24"/>
              </w:rPr>
              <w:t xml:space="preserve">alculate the mean </w:t>
            </w:r>
            <w:r>
              <w:rPr>
                <w:szCs w:val="24"/>
              </w:rPr>
              <w:t>month</w:t>
            </w:r>
            <w:r w:rsidRPr="004D0820">
              <w:rPr>
                <w:szCs w:val="24"/>
              </w:rPr>
              <w:t xml:space="preserve"> where the minimum flow value for that year is reached for the first time</w:t>
            </w:r>
          </w:p>
        </w:tc>
      </w:tr>
      <w:tr w:rsidR="0041469B" w:rsidRPr="004D0820" w14:paraId="4C99C10B" w14:textId="77777777" w:rsidTr="00E3342E">
        <w:tc>
          <w:tcPr>
            <w:tcW w:w="909" w:type="dxa"/>
            <w:shd w:val="clear" w:color="auto" w:fill="auto"/>
          </w:tcPr>
          <w:p w14:paraId="2FCD7035" w14:textId="77777777" w:rsidR="0041469B" w:rsidRPr="004D0820" w:rsidRDefault="0041469B" w:rsidP="00E3342E">
            <w:pPr>
              <w:rPr>
                <w:szCs w:val="24"/>
              </w:rPr>
            </w:pPr>
            <w:proofErr w:type="spellStart"/>
            <w:r w:rsidRPr="004D0820">
              <w:rPr>
                <w:szCs w:val="24"/>
              </w:rPr>
              <w:t>THl</w:t>
            </w:r>
            <w:proofErr w:type="spellEnd"/>
          </w:p>
        </w:tc>
        <w:tc>
          <w:tcPr>
            <w:tcW w:w="1310" w:type="dxa"/>
          </w:tcPr>
          <w:p w14:paraId="77566669" w14:textId="77777777" w:rsidR="0041469B" w:rsidRPr="004D0820" w:rsidRDefault="0041469B" w:rsidP="00E3342E">
            <w:pPr>
              <w:rPr>
                <w:szCs w:val="24"/>
              </w:rPr>
            </w:pPr>
            <w:r>
              <w:rPr>
                <w:szCs w:val="24"/>
              </w:rPr>
              <w:t>Daily</w:t>
            </w:r>
          </w:p>
        </w:tc>
        <w:tc>
          <w:tcPr>
            <w:tcW w:w="6807" w:type="dxa"/>
            <w:shd w:val="clear" w:color="auto" w:fill="auto"/>
          </w:tcPr>
          <w:p w14:paraId="48A3BD16" w14:textId="77777777" w:rsidR="0041469B" w:rsidRPr="004D0820" w:rsidRDefault="0041469B" w:rsidP="00E3342E">
            <w:pPr>
              <w:rPr>
                <w:szCs w:val="24"/>
              </w:rPr>
            </w:pPr>
            <w:r w:rsidRPr="004D0820">
              <w:rPr>
                <w:szCs w:val="24"/>
              </w:rPr>
              <w:t xml:space="preserve">Julian date of annual maximum – calculate the mean Julian day where the maximum flow value for that year is reached for the first time. </w:t>
            </w:r>
          </w:p>
        </w:tc>
      </w:tr>
      <w:tr w:rsidR="0041469B" w:rsidRPr="004D0820" w14:paraId="05A311B3" w14:textId="77777777" w:rsidTr="00E3342E">
        <w:tc>
          <w:tcPr>
            <w:tcW w:w="909" w:type="dxa"/>
            <w:shd w:val="clear" w:color="auto" w:fill="auto"/>
          </w:tcPr>
          <w:p w14:paraId="418FAAD9" w14:textId="77777777" w:rsidR="0041469B" w:rsidRPr="004D0820" w:rsidRDefault="0041469B" w:rsidP="00E3342E">
            <w:pPr>
              <w:rPr>
                <w:szCs w:val="24"/>
              </w:rPr>
            </w:pPr>
          </w:p>
        </w:tc>
        <w:tc>
          <w:tcPr>
            <w:tcW w:w="1310" w:type="dxa"/>
          </w:tcPr>
          <w:p w14:paraId="3F9A173B" w14:textId="77777777" w:rsidR="0041469B" w:rsidRPr="004D0820" w:rsidRDefault="0041469B" w:rsidP="00E3342E">
            <w:pPr>
              <w:rPr>
                <w:szCs w:val="24"/>
              </w:rPr>
            </w:pPr>
            <w:r>
              <w:rPr>
                <w:szCs w:val="24"/>
              </w:rPr>
              <w:t>Monthly</w:t>
            </w:r>
          </w:p>
        </w:tc>
        <w:tc>
          <w:tcPr>
            <w:tcW w:w="6807" w:type="dxa"/>
            <w:shd w:val="clear" w:color="auto" w:fill="auto"/>
          </w:tcPr>
          <w:p w14:paraId="157A0874" w14:textId="77777777" w:rsidR="0041469B" w:rsidRPr="004D0820" w:rsidRDefault="0041469B" w:rsidP="00E3342E">
            <w:pPr>
              <w:rPr>
                <w:szCs w:val="24"/>
              </w:rPr>
            </w:pPr>
            <w:r>
              <w:rPr>
                <w:szCs w:val="24"/>
              </w:rPr>
              <w:t>C</w:t>
            </w:r>
            <w:r w:rsidRPr="004D0820">
              <w:rPr>
                <w:szCs w:val="24"/>
              </w:rPr>
              <w:t xml:space="preserve">alculate the mean </w:t>
            </w:r>
            <w:r>
              <w:rPr>
                <w:szCs w:val="24"/>
              </w:rPr>
              <w:t>month</w:t>
            </w:r>
            <w:r w:rsidRPr="004D0820">
              <w:rPr>
                <w:szCs w:val="24"/>
              </w:rPr>
              <w:t xml:space="preserve"> where the m</w:t>
            </w:r>
            <w:r>
              <w:rPr>
                <w:szCs w:val="24"/>
              </w:rPr>
              <w:t>aximum</w:t>
            </w:r>
            <w:r w:rsidRPr="004D0820">
              <w:rPr>
                <w:szCs w:val="24"/>
              </w:rPr>
              <w:t xml:space="preserve"> flow value for that year is reached for the first time</w:t>
            </w:r>
          </w:p>
        </w:tc>
      </w:tr>
      <w:tr w:rsidR="0041469B" w:rsidRPr="004D0820" w14:paraId="11916596" w14:textId="77777777" w:rsidTr="00E3342E">
        <w:tc>
          <w:tcPr>
            <w:tcW w:w="909" w:type="dxa"/>
            <w:shd w:val="clear" w:color="auto" w:fill="auto"/>
          </w:tcPr>
          <w:p w14:paraId="5BEAC569" w14:textId="77777777" w:rsidR="0041469B" w:rsidRPr="004D0820" w:rsidRDefault="0041469B" w:rsidP="00E3342E">
            <w:pPr>
              <w:rPr>
                <w:szCs w:val="24"/>
              </w:rPr>
            </w:pPr>
            <w:r w:rsidRPr="004D0820">
              <w:rPr>
                <w:szCs w:val="24"/>
              </w:rPr>
              <w:t>RA8</w:t>
            </w:r>
          </w:p>
        </w:tc>
        <w:tc>
          <w:tcPr>
            <w:tcW w:w="1310" w:type="dxa"/>
          </w:tcPr>
          <w:p w14:paraId="58A42EA0" w14:textId="77777777" w:rsidR="0041469B" w:rsidRPr="004D0820" w:rsidRDefault="0041469B" w:rsidP="00E3342E">
            <w:pPr>
              <w:rPr>
                <w:szCs w:val="24"/>
              </w:rPr>
            </w:pPr>
            <w:r>
              <w:rPr>
                <w:szCs w:val="24"/>
              </w:rPr>
              <w:t>Daily</w:t>
            </w:r>
          </w:p>
        </w:tc>
        <w:tc>
          <w:tcPr>
            <w:tcW w:w="6807" w:type="dxa"/>
            <w:shd w:val="clear" w:color="auto" w:fill="auto"/>
          </w:tcPr>
          <w:p w14:paraId="2D9D9607" w14:textId="77777777" w:rsidR="0041469B" w:rsidRPr="004D0820" w:rsidRDefault="0041469B" w:rsidP="00E3342E">
            <w:pPr>
              <w:rPr>
                <w:szCs w:val="24"/>
              </w:rPr>
            </w:pPr>
            <w:r w:rsidRPr="004D0820">
              <w:rPr>
                <w:szCs w:val="24"/>
              </w:rPr>
              <w:t>Number of reversals – for each year</w:t>
            </w:r>
            <w:r>
              <w:rPr>
                <w:szCs w:val="24"/>
              </w:rPr>
              <w:t>,</w:t>
            </w:r>
            <w:r w:rsidRPr="004D0820">
              <w:rPr>
                <w:szCs w:val="24"/>
              </w:rPr>
              <w:t xml:space="preserve"> calculate the number of days where the magnitude of the flow changes direction, and find the mean of the annual values.</w:t>
            </w:r>
          </w:p>
        </w:tc>
      </w:tr>
      <w:tr w:rsidR="0041469B" w:rsidRPr="004D0820" w14:paraId="4EB8269C" w14:textId="77777777" w:rsidTr="00E3342E">
        <w:tc>
          <w:tcPr>
            <w:tcW w:w="909" w:type="dxa"/>
            <w:tcBorders>
              <w:bottom w:val="single" w:sz="4" w:space="0" w:color="auto"/>
            </w:tcBorders>
            <w:shd w:val="clear" w:color="auto" w:fill="auto"/>
          </w:tcPr>
          <w:p w14:paraId="11F2D335" w14:textId="77777777" w:rsidR="0041469B" w:rsidRPr="004D0820" w:rsidRDefault="0041469B" w:rsidP="00E3342E">
            <w:pPr>
              <w:rPr>
                <w:szCs w:val="24"/>
              </w:rPr>
            </w:pPr>
          </w:p>
        </w:tc>
        <w:tc>
          <w:tcPr>
            <w:tcW w:w="1310" w:type="dxa"/>
            <w:tcBorders>
              <w:bottom w:val="single" w:sz="4" w:space="0" w:color="auto"/>
            </w:tcBorders>
          </w:tcPr>
          <w:p w14:paraId="2B9D5612" w14:textId="77777777" w:rsidR="0041469B" w:rsidRPr="004D0820" w:rsidRDefault="0041469B" w:rsidP="00E3342E">
            <w:pPr>
              <w:rPr>
                <w:szCs w:val="24"/>
              </w:rPr>
            </w:pPr>
            <w:r>
              <w:rPr>
                <w:szCs w:val="24"/>
              </w:rPr>
              <w:t>Monthly</w:t>
            </w:r>
          </w:p>
        </w:tc>
        <w:tc>
          <w:tcPr>
            <w:tcW w:w="6807" w:type="dxa"/>
            <w:tcBorders>
              <w:bottom w:val="single" w:sz="4" w:space="0" w:color="auto"/>
            </w:tcBorders>
            <w:shd w:val="clear" w:color="auto" w:fill="auto"/>
          </w:tcPr>
          <w:p w14:paraId="4DFBC4C2" w14:textId="77777777" w:rsidR="0041469B" w:rsidRPr="004D0820" w:rsidRDefault="0041469B" w:rsidP="00E3342E">
            <w:pPr>
              <w:rPr>
                <w:szCs w:val="24"/>
              </w:rPr>
            </w:pPr>
            <w:r>
              <w:rPr>
                <w:szCs w:val="24"/>
              </w:rPr>
              <w:t>N/A</w:t>
            </w:r>
          </w:p>
        </w:tc>
      </w:tr>
    </w:tbl>
    <w:p w14:paraId="09AE0A3D" w14:textId="77777777" w:rsidR="0041469B" w:rsidRPr="004D0820" w:rsidRDefault="0041469B" w:rsidP="0041469B">
      <w:pPr>
        <w:rPr>
          <w:szCs w:val="24"/>
        </w:rPr>
      </w:pPr>
      <w:r w:rsidRPr="004D0820">
        <w:rPr>
          <w:szCs w:val="24"/>
        </w:rPr>
        <w:t xml:space="preserve"># Owing to a disparity in the definitions between these flow metrics, two versions were calculated </w:t>
      </w:r>
    </w:p>
    <w:p w14:paraId="7211F0D6" w14:textId="7A43D893" w:rsidR="0041469B" w:rsidRDefault="0041469B">
      <w:pPr>
        <w:spacing w:after="160" w:line="259" w:lineRule="auto"/>
        <w:rPr>
          <w:b/>
        </w:rPr>
      </w:pPr>
    </w:p>
    <w:sectPr w:rsidR="0041469B" w:rsidSect="00865B33">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FCC1D" w14:textId="77777777" w:rsidR="001174F2" w:rsidRDefault="001174F2" w:rsidP="000F233F">
      <w:pPr>
        <w:spacing w:line="240" w:lineRule="auto"/>
      </w:pPr>
      <w:r>
        <w:separator/>
      </w:r>
    </w:p>
  </w:endnote>
  <w:endnote w:type="continuationSeparator" w:id="0">
    <w:p w14:paraId="7AD6BF7A" w14:textId="77777777" w:rsidR="001174F2" w:rsidRDefault="001174F2" w:rsidP="000F2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476ED" w14:textId="77777777" w:rsidR="001174F2" w:rsidRDefault="001174F2" w:rsidP="000F233F">
      <w:pPr>
        <w:spacing w:line="240" w:lineRule="auto"/>
      </w:pPr>
      <w:r>
        <w:separator/>
      </w:r>
    </w:p>
  </w:footnote>
  <w:footnote w:type="continuationSeparator" w:id="0">
    <w:p w14:paraId="7C48DAA1" w14:textId="77777777" w:rsidR="001174F2" w:rsidRDefault="001174F2" w:rsidP="000F23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C40C1"/>
    <w:multiLevelType w:val="hybridMultilevel"/>
    <w:tmpl w:val="19A2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565D8"/>
    <w:multiLevelType w:val="hybridMultilevel"/>
    <w:tmpl w:val="6F2E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57DC9"/>
    <w:multiLevelType w:val="hybridMultilevel"/>
    <w:tmpl w:val="79BE1146"/>
    <w:lvl w:ilvl="0" w:tplc="FCB8AA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77263"/>
    <w:multiLevelType w:val="multilevel"/>
    <w:tmpl w:val="3D7C45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939237F"/>
    <w:multiLevelType w:val="hybridMultilevel"/>
    <w:tmpl w:val="D21278CE"/>
    <w:lvl w:ilvl="0" w:tplc="FBA81C74">
      <w:start w:val="1"/>
      <w:numFmt w:val="bullet"/>
      <w:lvlText w:val="•"/>
      <w:lvlJc w:val="left"/>
      <w:pPr>
        <w:tabs>
          <w:tab w:val="num" w:pos="720"/>
        </w:tabs>
        <w:ind w:left="720" w:hanging="360"/>
      </w:pPr>
      <w:rPr>
        <w:rFonts w:ascii="Arial" w:hAnsi="Arial" w:hint="default"/>
      </w:rPr>
    </w:lvl>
    <w:lvl w:ilvl="1" w:tplc="F3FCC082">
      <w:numFmt w:val="bullet"/>
      <w:lvlText w:val="•"/>
      <w:lvlJc w:val="left"/>
      <w:pPr>
        <w:tabs>
          <w:tab w:val="num" w:pos="1440"/>
        </w:tabs>
        <w:ind w:left="1440" w:hanging="360"/>
      </w:pPr>
      <w:rPr>
        <w:rFonts w:ascii="Arial" w:hAnsi="Arial" w:hint="default"/>
      </w:rPr>
    </w:lvl>
    <w:lvl w:ilvl="2" w:tplc="CBC865C2" w:tentative="1">
      <w:start w:val="1"/>
      <w:numFmt w:val="bullet"/>
      <w:lvlText w:val="•"/>
      <w:lvlJc w:val="left"/>
      <w:pPr>
        <w:tabs>
          <w:tab w:val="num" w:pos="2160"/>
        </w:tabs>
        <w:ind w:left="2160" w:hanging="360"/>
      </w:pPr>
      <w:rPr>
        <w:rFonts w:ascii="Arial" w:hAnsi="Arial" w:hint="default"/>
      </w:rPr>
    </w:lvl>
    <w:lvl w:ilvl="3" w:tplc="39FCFB6E" w:tentative="1">
      <w:start w:val="1"/>
      <w:numFmt w:val="bullet"/>
      <w:lvlText w:val="•"/>
      <w:lvlJc w:val="left"/>
      <w:pPr>
        <w:tabs>
          <w:tab w:val="num" w:pos="2880"/>
        </w:tabs>
        <w:ind w:left="2880" w:hanging="360"/>
      </w:pPr>
      <w:rPr>
        <w:rFonts w:ascii="Arial" w:hAnsi="Arial" w:hint="default"/>
      </w:rPr>
    </w:lvl>
    <w:lvl w:ilvl="4" w:tplc="30186EFE" w:tentative="1">
      <w:start w:val="1"/>
      <w:numFmt w:val="bullet"/>
      <w:lvlText w:val="•"/>
      <w:lvlJc w:val="left"/>
      <w:pPr>
        <w:tabs>
          <w:tab w:val="num" w:pos="3600"/>
        </w:tabs>
        <w:ind w:left="3600" w:hanging="360"/>
      </w:pPr>
      <w:rPr>
        <w:rFonts w:ascii="Arial" w:hAnsi="Arial" w:hint="default"/>
      </w:rPr>
    </w:lvl>
    <w:lvl w:ilvl="5" w:tplc="A4C48B4C" w:tentative="1">
      <w:start w:val="1"/>
      <w:numFmt w:val="bullet"/>
      <w:lvlText w:val="•"/>
      <w:lvlJc w:val="left"/>
      <w:pPr>
        <w:tabs>
          <w:tab w:val="num" w:pos="4320"/>
        </w:tabs>
        <w:ind w:left="4320" w:hanging="360"/>
      </w:pPr>
      <w:rPr>
        <w:rFonts w:ascii="Arial" w:hAnsi="Arial" w:hint="default"/>
      </w:rPr>
    </w:lvl>
    <w:lvl w:ilvl="6" w:tplc="54DCCCE8" w:tentative="1">
      <w:start w:val="1"/>
      <w:numFmt w:val="bullet"/>
      <w:lvlText w:val="•"/>
      <w:lvlJc w:val="left"/>
      <w:pPr>
        <w:tabs>
          <w:tab w:val="num" w:pos="5040"/>
        </w:tabs>
        <w:ind w:left="5040" w:hanging="360"/>
      </w:pPr>
      <w:rPr>
        <w:rFonts w:ascii="Arial" w:hAnsi="Arial" w:hint="default"/>
      </w:rPr>
    </w:lvl>
    <w:lvl w:ilvl="7" w:tplc="853E1BF8" w:tentative="1">
      <w:start w:val="1"/>
      <w:numFmt w:val="bullet"/>
      <w:lvlText w:val="•"/>
      <w:lvlJc w:val="left"/>
      <w:pPr>
        <w:tabs>
          <w:tab w:val="num" w:pos="5760"/>
        </w:tabs>
        <w:ind w:left="5760" w:hanging="360"/>
      </w:pPr>
      <w:rPr>
        <w:rFonts w:ascii="Arial" w:hAnsi="Arial" w:hint="default"/>
      </w:rPr>
    </w:lvl>
    <w:lvl w:ilvl="8" w:tplc="6446355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zsDAwMjE1MjY3MTVT0lEKTi0uzszPAykwrgUA/4ZexiwAAAA="/>
  </w:docVars>
  <w:rsids>
    <w:rsidRoot w:val="00C822E8"/>
    <w:rsid w:val="0000119F"/>
    <w:rsid w:val="00002465"/>
    <w:rsid w:val="00003E00"/>
    <w:rsid w:val="00010E9C"/>
    <w:rsid w:val="000112CD"/>
    <w:rsid w:val="000130DF"/>
    <w:rsid w:val="000152EE"/>
    <w:rsid w:val="0002098F"/>
    <w:rsid w:val="0002619D"/>
    <w:rsid w:val="00026598"/>
    <w:rsid w:val="000330F9"/>
    <w:rsid w:val="0004369C"/>
    <w:rsid w:val="00045D1E"/>
    <w:rsid w:val="0004727C"/>
    <w:rsid w:val="000613B9"/>
    <w:rsid w:val="000630F0"/>
    <w:rsid w:val="0007161A"/>
    <w:rsid w:val="0008662A"/>
    <w:rsid w:val="00091D21"/>
    <w:rsid w:val="00096CE0"/>
    <w:rsid w:val="000A206B"/>
    <w:rsid w:val="000B0108"/>
    <w:rsid w:val="000B7347"/>
    <w:rsid w:val="000D484C"/>
    <w:rsid w:val="000D55CC"/>
    <w:rsid w:val="000D6F6C"/>
    <w:rsid w:val="000F233F"/>
    <w:rsid w:val="000F26DA"/>
    <w:rsid w:val="000F2BFA"/>
    <w:rsid w:val="0010661B"/>
    <w:rsid w:val="0011540F"/>
    <w:rsid w:val="001174F2"/>
    <w:rsid w:val="00123B67"/>
    <w:rsid w:val="00124FA6"/>
    <w:rsid w:val="00134594"/>
    <w:rsid w:val="001447D2"/>
    <w:rsid w:val="001457B6"/>
    <w:rsid w:val="001627CD"/>
    <w:rsid w:val="0016681C"/>
    <w:rsid w:val="00166ABA"/>
    <w:rsid w:val="001726AC"/>
    <w:rsid w:val="001744F4"/>
    <w:rsid w:val="001774B0"/>
    <w:rsid w:val="001868C1"/>
    <w:rsid w:val="00190CB7"/>
    <w:rsid w:val="00191D3C"/>
    <w:rsid w:val="00194E3C"/>
    <w:rsid w:val="001A0199"/>
    <w:rsid w:val="001B19ED"/>
    <w:rsid w:val="001C0B6B"/>
    <w:rsid w:val="001C58A6"/>
    <w:rsid w:val="001D4DCC"/>
    <w:rsid w:val="001E1159"/>
    <w:rsid w:val="001E3FD7"/>
    <w:rsid w:val="001F09B4"/>
    <w:rsid w:val="001F0A12"/>
    <w:rsid w:val="001F78E2"/>
    <w:rsid w:val="00204D39"/>
    <w:rsid w:val="00210982"/>
    <w:rsid w:val="00216453"/>
    <w:rsid w:val="00217C6D"/>
    <w:rsid w:val="00221273"/>
    <w:rsid w:val="002333C6"/>
    <w:rsid w:val="00236AC8"/>
    <w:rsid w:val="002416D5"/>
    <w:rsid w:val="00242129"/>
    <w:rsid w:val="00250754"/>
    <w:rsid w:val="00254A1E"/>
    <w:rsid w:val="00256A71"/>
    <w:rsid w:val="00266663"/>
    <w:rsid w:val="00272C7F"/>
    <w:rsid w:val="0027462D"/>
    <w:rsid w:val="00281B55"/>
    <w:rsid w:val="00291FBF"/>
    <w:rsid w:val="00293EF3"/>
    <w:rsid w:val="00294BC3"/>
    <w:rsid w:val="002A1822"/>
    <w:rsid w:val="002A1A0D"/>
    <w:rsid w:val="002A1D17"/>
    <w:rsid w:val="002B5058"/>
    <w:rsid w:val="002D4976"/>
    <w:rsid w:val="002D5885"/>
    <w:rsid w:val="002E3112"/>
    <w:rsid w:val="002E4271"/>
    <w:rsid w:val="002E6981"/>
    <w:rsid w:val="002E7F3D"/>
    <w:rsid w:val="002F11BC"/>
    <w:rsid w:val="002F2D0D"/>
    <w:rsid w:val="002F46AE"/>
    <w:rsid w:val="002F6199"/>
    <w:rsid w:val="002F625F"/>
    <w:rsid w:val="00313ECC"/>
    <w:rsid w:val="00335BB5"/>
    <w:rsid w:val="00340B58"/>
    <w:rsid w:val="00341C01"/>
    <w:rsid w:val="00344672"/>
    <w:rsid w:val="00355414"/>
    <w:rsid w:val="00355943"/>
    <w:rsid w:val="00362CC9"/>
    <w:rsid w:val="00363B9B"/>
    <w:rsid w:val="00367701"/>
    <w:rsid w:val="00370CCC"/>
    <w:rsid w:val="00385929"/>
    <w:rsid w:val="003933B1"/>
    <w:rsid w:val="00393AFC"/>
    <w:rsid w:val="003A3425"/>
    <w:rsid w:val="003A504E"/>
    <w:rsid w:val="003B508B"/>
    <w:rsid w:val="003C090A"/>
    <w:rsid w:val="003C7DA0"/>
    <w:rsid w:val="003D5AEC"/>
    <w:rsid w:val="003E2131"/>
    <w:rsid w:val="003E6E9A"/>
    <w:rsid w:val="003F74C1"/>
    <w:rsid w:val="004057ED"/>
    <w:rsid w:val="0041469B"/>
    <w:rsid w:val="00423311"/>
    <w:rsid w:val="004357BB"/>
    <w:rsid w:val="0044121D"/>
    <w:rsid w:val="0044340E"/>
    <w:rsid w:val="004442AF"/>
    <w:rsid w:val="00446052"/>
    <w:rsid w:val="00450FC6"/>
    <w:rsid w:val="00454467"/>
    <w:rsid w:val="00465BFA"/>
    <w:rsid w:val="004712F7"/>
    <w:rsid w:val="0048113D"/>
    <w:rsid w:val="00484F38"/>
    <w:rsid w:val="00484F86"/>
    <w:rsid w:val="0048764A"/>
    <w:rsid w:val="00487E91"/>
    <w:rsid w:val="004901F8"/>
    <w:rsid w:val="00494661"/>
    <w:rsid w:val="004A085E"/>
    <w:rsid w:val="004A63CC"/>
    <w:rsid w:val="004B0CF3"/>
    <w:rsid w:val="004B3DC5"/>
    <w:rsid w:val="004B4ADE"/>
    <w:rsid w:val="004C0598"/>
    <w:rsid w:val="004C5FB3"/>
    <w:rsid w:val="004D29CD"/>
    <w:rsid w:val="004D43AF"/>
    <w:rsid w:val="004D70FC"/>
    <w:rsid w:val="004E3E2A"/>
    <w:rsid w:val="004E4ACE"/>
    <w:rsid w:val="004F21A9"/>
    <w:rsid w:val="004F246B"/>
    <w:rsid w:val="004F3571"/>
    <w:rsid w:val="004F5823"/>
    <w:rsid w:val="00500AB6"/>
    <w:rsid w:val="005034DF"/>
    <w:rsid w:val="00512F58"/>
    <w:rsid w:val="00524582"/>
    <w:rsid w:val="00527EA5"/>
    <w:rsid w:val="0053134C"/>
    <w:rsid w:val="00533265"/>
    <w:rsid w:val="00537AD2"/>
    <w:rsid w:val="00545E50"/>
    <w:rsid w:val="00552069"/>
    <w:rsid w:val="005520C9"/>
    <w:rsid w:val="005536F6"/>
    <w:rsid w:val="00563B9A"/>
    <w:rsid w:val="00565CDC"/>
    <w:rsid w:val="00567E8A"/>
    <w:rsid w:val="005727E4"/>
    <w:rsid w:val="00573AC5"/>
    <w:rsid w:val="00576157"/>
    <w:rsid w:val="00584132"/>
    <w:rsid w:val="005843BB"/>
    <w:rsid w:val="005850BF"/>
    <w:rsid w:val="005853D5"/>
    <w:rsid w:val="00587C76"/>
    <w:rsid w:val="00591BF8"/>
    <w:rsid w:val="00594606"/>
    <w:rsid w:val="00595C6C"/>
    <w:rsid w:val="005B050C"/>
    <w:rsid w:val="005B0B1A"/>
    <w:rsid w:val="005B12BD"/>
    <w:rsid w:val="005B6015"/>
    <w:rsid w:val="005B75C3"/>
    <w:rsid w:val="005C02AB"/>
    <w:rsid w:val="005D1864"/>
    <w:rsid w:val="005D653F"/>
    <w:rsid w:val="005E7191"/>
    <w:rsid w:val="005F07A8"/>
    <w:rsid w:val="005F3BD0"/>
    <w:rsid w:val="005F7F18"/>
    <w:rsid w:val="006018C5"/>
    <w:rsid w:val="00604078"/>
    <w:rsid w:val="00612590"/>
    <w:rsid w:val="00620D0B"/>
    <w:rsid w:val="006215C1"/>
    <w:rsid w:val="0062466F"/>
    <w:rsid w:val="00624C1C"/>
    <w:rsid w:val="00632378"/>
    <w:rsid w:val="00646438"/>
    <w:rsid w:val="0064783D"/>
    <w:rsid w:val="00651AA1"/>
    <w:rsid w:val="006701F8"/>
    <w:rsid w:val="00672AA3"/>
    <w:rsid w:val="00672F3C"/>
    <w:rsid w:val="006731F0"/>
    <w:rsid w:val="00673821"/>
    <w:rsid w:val="006807E5"/>
    <w:rsid w:val="00681DE3"/>
    <w:rsid w:val="00682567"/>
    <w:rsid w:val="006866D8"/>
    <w:rsid w:val="00695974"/>
    <w:rsid w:val="006A402D"/>
    <w:rsid w:val="006A667C"/>
    <w:rsid w:val="006B04F1"/>
    <w:rsid w:val="006B0C68"/>
    <w:rsid w:val="006B2769"/>
    <w:rsid w:val="006B7D84"/>
    <w:rsid w:val="006B7F22"/>
    <w:rsid w:val="006C0144"/>
    <w:rsid w:val="006C33C5"/>
    <w:rsid w:val="006C34BB"/>
    <w:rsid w:val="006D13DD"/>
    <w:rsid w:val="006D28F0"/>
    <w:rsid w:val="006D5663"/>
    <w:rsid w:val="006D5E41"/>
    <w:rsid w:val="006F04BE"/>
    <w:rsid w:val="006F2AD9"/>
    <w:rsid w:val="006F43FA"/>
    <w:rsid w:val="006F7386"/>
    <w:rsid w:val="00707F30"/>
    <w:rsid w:val="0071386C"/>
    <w:rsid w:val="007232E7"/>
    <w:rsid w:val="00736A3C"/>
    <w:rsid w:val="007421AC"/>
    <w:rsid w:val="00751CEA"/>
    <w:rsid w:val="00751D88"/>
    <w:rsid w:val="007544AC"/>
    <w:rsid w:val="00767DC7"/>
    <w:rsid w:val="007713B6"/>
    <w:rsid w:val="00780C45"/>
    <w:rsid w:val="00784358"/>
    <w:rsid w:val="007936A1"/>
    <w:rsid w:val="007A0340"/>
    <w:rsid w:val="007A03B0"/>
    <w:rsid w:val="007A13CC"/>
    <w:rsid w:val="007A2A84"/>
    <w:rsid w:val="007A56FC"/>
    <w:rsid w:val="007B36E7"/>
    <w:rsid w:val="007C3764"/>
    <w:rsid w:val="007C385B"/>
    <w:rsid w:val="007C64D6"/>
    <w:rsid w:val="007D0EA2"/>
    <w:rsid w:val="007D3252"/>
    <w:rsid w:val="007E6373"/>
    <w:rsid w:val="007F0FFD"/>
    <w:rsid w:val="007F38C7"/>
    <w:rsid w:val="007F3F2B"/>
    <w:rsid w:val="007F5F71"/>
    <w:rsid w:val="007F6ECC"/>
    <w:rsid w:val="00800739"/>
    <w:rsid w:val="00810392"/>
    <w:rsid w:val="00813084"/>
    <w:rsid w:val="00813AD9"/>
    <w:rsid w:val="00821BE5"/>
    <w:rsid w:val="00827CA3"/>
    <w:rsid w:val="00847998"/>
    <w:rsid w:val="00850712"/>
    <w:rsid w:val="00865B33"/>
    <w:rsid w:val="0086686F"/>
    <w:rsid w:val="00866C13"/>
    <w:rsid w:val="00883615"/>
    <w:rsid w:val="00891CAE"/>
    <w:rsid w:val="00893A2D"/>
    <w:rsid w:val="00895D37"/>
    <w:rsid w:val="008A0AD3"/>
    <w:rsid w:val="008A2830"/>
    <w:rsid w:val="008A7DA0"/>
    <w:rsid w:val="008B2954"/>
    <w:rsid w:val="008B7CD3"/>
    <w:rsid w:val="008C27F0"/>
    <w:rsid w:val="008C525A"/>
    <w:rsid w:val="008C574B"/>
    <w:rsid w:val="008D14D7"/>
    <w:rsid w:val="008D2915"/>
    <w:rsid w:val="008D5794"/>
    <w:rsid w:val="008D6A40"/>
    <w:rsid w:val="008E0051"/>
    <w:rsid w:val="008E3D58"/>
    <w:rsid w:val="008E5B95"/>
    <w:rsid w:val="008F69EC"/>
    <w:rsid w:val="00907EC9"/>
    <w:rsid w:val="00907FCD"/>
    <w:rsid w:val="00915EBF"/>
    <w:rsid w:val="00917B0E"/>
    <w:rsid w:val="0092181E"/>
    <w:rsid w:val="00921ABB"/>
    <w:rsid w:val="009248DC"/>
    <w:rsid w:val="0092542E"/>
    <w:rsid w:val="00934853"/>
    <w:rsid w:val="0093787A"/>
    <w:rsid w:val="00954EC3"/>
    <w:rsid w:val="00956D88"/>
    <w:rsid w:val="0096356E"/>
    <w:rsid w:val="00965508"/>
    <w:rsid w:val="00972E18"/>
    <w:rsid w:val="00976E9C"/>
    <w:rsid w:val="009774C7"/>
    <w:rsid w:val="00977C5B"/>
    <w:rsid w:val="00984E93"/>
    <w:rsid w:val="009868DC"/>
    <w:rsid w:val="00990109"/>
    <w:rsid w:val="009911E0"/>
    <w:rsid w:val="009954BE"/>
    <w:rsid w:val="0099640D"/>
    <w:rsid w:val="009A6909"/>
    <w:rsid w:val="009B438A"/>
    <w:rsid w:val="009B5ECD"/>
    <w:rsid w:val="009C2581"/>
    <w:rsid w:val="009C4711"/>
    <w:rsid w:val="009C75E8"/>
    <w:rsid w:val="009C7F14"/>
    <w:rsid w:val="009D5BED"/>
    <w:rsid w:val="009D79FA"/>
    <w:rsid w:val="009E0347"/>
    <w:rsid w:val="009E1A25"/>
    <w:rsid w:val="009F55C4"/>
    <w:rsid w:val="009F6ED0"/>
    <w:rsid w:val="00A01E16"/>
    <w:rsid w:val="00A03A91"/>
    <w:rsid w:val="00A05DF1"/>
    <w:rsid w:val="00A069EB"/>
    <w:rsid w:val="00A07B86"/>
    <w:rsid w:val="00A128CF"/>
    <w:rsid w:val="00A13D26"/>
    <w:rsid w:val="00A1584E"/>
    <w:rsid w:val="00A328AD"/>
    <w:rsid w:val="00A33529"/>
    <w:rsid w:val="00A34246"/>
    <w:rsid w:val="00A42390"/>
    <w:rsid w:val="00A433B4"/>
    <w:rsid w:val="00A45089"/>
    <w:rsid w:val="00A4553B"/>
    <w:rsid w:val="00A466E2"/>
    <w:rsid w:val="00A556E3"/>
    <w:rsid w:val="00A660DF"/>
    <w:rsid w:val="00A6616D"/>
    <w:rsid w:val="00A673E9"/>
    <w:rsid w:val="00A733F8"/>
    <w:rsid w:val="00A775A4"/>
    <w:rsid w:val="00A8521F"/>
    <w:rsid w:val="00A96F9E"/>
    <w:rsid w:val="00AA3B79"/>
    <w:rsid w:val="00AB0FF1"/>
    <w:rsid w:val="00AB1EC1"/>
    <w:rsid w:val="00AB6A55"/>
    <w:rsid w:val="00AC47A0"/>
    <w:rsid w:val="00AC591B"/>
    <w:rsid w:val="00AC6F49"/>
    <w:rsid w:val="00AD05BB"/>
    <w:rsid w:val="00AD394A"/>
    <w:rsid w:val="00AE56AE"/>
    <w:rsid w:val="00B00A45"/>
    <w:rsid w:val="00B075C4"/>
    <w:rsid w:val="00B106FE"/>
    <w:rsid w:val="00B1204E"/>
    <w:rsid w:val="00B12587"/>
    <w:rsid w:val="00B13E24"/>
    <w:rsid w:val="00B21A88"/>
    <w:rsid w:val="00B237B6"/>
    <w:rsid w:val="00B261EE"/>
    <w:rsid w:val="00B371AA"/>
    <w:rsid w:val="00B42FC5"/>
    <w:rsid w:val="00B50A20"/>
    <w:rsid w:val="00B51380"/>
    <w:rsid w:val="00B525E3"/>
    <w:rsid w:val="00B60AE7"/>
    <w:rsid w:val="00B64334"/>
    <w:rsid w:val="00B648C0"/>
    <w:rsid w:val="00B71358"/>
    <w:rsid w:val="00B80573"/>
    <w:rsid w:val="00B86F4D"/>
    <w:rsid w:val="00B927E1"/>
    <w:rsid w:val="00BA28BE"/>
    <w:rsid w:val="00BA40F7"/>
    <w:rsid w:val="00BC01BF"/>
    <w:rsid w:val="00BC127D"/>
    <w:rsid w:val="00BD1008"/>
    <w:rsid w:val="00BD1AC4"/>
    <w:rsid w:val="00BE4A08"/>
    <w:rsid w:val="00BE4D3A"/>
    <w:rsid w:val="00BE4FDE"/>
    <w:rsid w:val="00BE7BA9"/>
    <w:rsid w:val="00BF4A6A"/>
    <w:rsid w:val="00BF5FA5"/>
    <w:rsid w:val="00C002CD"/>
    <w:rsid w:val="00C03340"/>
    <w:rsid w:val="00C03595"/>
    <w:rsid w:val="00C102A6"/>
    <w:rsid w:val="00C30B3C"/>
    <w:rsid w:val="00C30B67"/>
    <w:rsid w:val="00C51862"/>
    <w:rsid w:val="00C53A73"/>
    <w:rsid w:val="00C55563"/>
    <w:rsid w:val="00C64504"/>
    <w:rsid w:val="00C648C3"/>
    <w:rsid w:val="00C713BB"/>
    <w:rsid w:val="00C71662"/>
    <w:rsid w:val="00C802ED"/>
    <w:rsid w:val="00C822E8"/>
    <w:rsid w:val="00C86A63"/>
    <w:rsid w:val="00CB4D98"/>
    <w:rsid w:val="00CD0401"/>
    <w:rsid w:val="00CD0CF2"/>
    <w:rsid w:val="00CD12DB"/>
    <w:rsid w:val="00CD2B9B"/>
    <w:rsid w:val="00CD5870"/>
    <w:rsid w:val="00CD7938"/>
    <w:rsid w:val="00CE6494"/>
    <w:rsid w:val="00CE7251"/>
    <w:rsid w:val="00CE7C62"/>
    <w:rsid w:val="00D00E35"/>
    <w:rsid w:val="00D10D20"/>
    <w:rsid w:val="00D1193E"/>
    <w:rsid w:val="00D20646"/>
    <w:rsid w:val="00D24082"/>
    <w:rsid w:val="00D36F0A"/>
    <w:rsid w:val="00D4498E"/>
    <w:rsid w:val="00D47F38"/>
    <w:rsid w:val="00D503C7"/>
    <w:rsid w:val="00D5110C"/>
    <w:rsid w:val="00D52490"/>
    <w:rsid w:val="00D576D4"/>
    <w:rsid w:val="00D6051F"/>
    <w:rsid w:val="00D6067D"/>
    <w:rsid w:val="00D63420"/>
    <w:rsid w:val="00D6449F"/>
    <w:rsid w:val="00D64CA2"/>
    <w:rsid w:val="00D7000D"/>
    <w:rsid w:val="00D71D30"/>
    <w:rsid w:val="00D7742B"/>
    <w:rsid w:val="00D77DE7"/>
    <w:rsid w:val="00D80CB5"/>
    <w:rsid w:val="00D91A4F"/>
    <w:rsid w:val="00D94AA9"/>
    <w:rsid w:val="00DA0ECD"/>
    <w:rsid w:val="00DA18DE"/>
    <w:rsid w:val="00DA40AD"/>
    <w:rsid w:val="00DA5354"/>
    <w:rsid w:val="00DA6A91"/>
    <w:rsid w:val="00DD5A5C"/>
    <w:rsid w:val="00DE2114"/>
    <w:rsid w:val="00DE2664"/>
    <w:rsid w:val="00DE2B1A"/>
    <w:rsid w:val="00DE4884"/>
    <w:rsid w:val="00DE5D3D"/>
    <w:rsid w:val="00DF1BAD"/>
    <w:rsid w:val="00DF2F6A"/>
    <w:rsid w:val="00E070BE"/>
    <w:rsid w:val="00E079F1"/>
    <w:rsid w:val="00E22BE3"/>
    <w:rsid w:val="00E267DC"/>
    <w:rsid w:val="00E3127D"/>
    <w:rsid w:val="00E32C6A"/>
    <w:rsid w:val="00E3342E"/>
    <w:rsid w:val="00E42026"/>
    <w:rsid w:val="00E44B1A"/>
    <w:rsid w:val="00E47259"/>
    <w:rsid w:val="00E508AE"/>
    <w:rsid w:val="00E55867"/>
    <w:rsid w:val="00E57421"/>
    <w:rsid w:val="00E60E3D"/>
    <w:rsid w:val="00E61126"/>
    <w:rsid w:val="00E62626"/>
    <w:rsid w:val="00E641D3"/>
    <w:rsid w:val="00E65184"/>
    <w:rsid w:val="00E7003D"/>
    <w:rsid w:val="00E74EFC"/>
    <w:rsid w:val="00E87EA9"/>
    <w:rsid w:val="00E95061"/>
    <w:rsid w:val="00E96E12"/>
    <w:rsid w:val="00EA059A"/>
    <w:rsid w:val="00EA0B0A"/>
    <w:rsid w:val="00EA4B7A"/>
    <w:rsid w:val="00EB2B96"/>
    <w:rsid w:val="00EB7627"/>
    <w:rsid w:val="00ED09A9"/>
    <w:rsid w:val="00ED15A4"/>
    <w:rsid w:val="00ED4228"/>
    <w:rsid w:val="00ED69CB"/>
    <w:rsid w:val="00ED7031"/>
    <w:rsid w:val="00EE2CE3"/>
    <w:rsid w:val="00EE3A8A"/>
    <w:rsid w:val="00EF14BF"/>
    <w:rsid w:val="00F0016A"/>
    <w:rsid w:val="00F020C3"/>
    <w:rsid w:val="00F0281E"/>
    <w:rsid w:val="00F05143"/>
    <w:rsid w:val="00F110B7"/>
    <w:rsid w:val="00F20BB5"/>
    <w:rsid w:val="00F216A3"/>
    <w:rsid w:val="00F234F1"/>
    <w:rsid w:val="00F25AAB"/>
    <w:rsid w:val="00F36C24"/>
    <w:rsid w:val="00F3757F"/>
    <w:rsid w:val="00F42485"/>
    <w:rsid w:val="00F42FB1"/>
    <w:rsid w:val="00F43FEC"/>
    <w:rsid w:val="00F443AC"/>
    <w:rsid w:val="00F55AC2"/>
    <w:rsid w:val="00F55B21"/>
    <w:rsid w:val="00F567DC"/>
    <w:rsid w:val="00F627AC"/>
    <w:rsid w:val="00F72A4D"/>
    <w:rsid w:val="00F7390D"/>
    <w:rsid w:val="00F74648"/>
    <w:rsid w:val="00F76072"/>
    <w:rsid w:val="00F84496"/>
    <w:rsid w:val="00F92CC0"/>
    <w:rsid w:val="00F93391"/>
    <w:rsid w:val="00FA34AE"/>
    <w:rsid w:val="00FA5871"/>
    <w:rsid w:val="00FA5D3C"/>
    <w:rsid w:val="00FB3733"/>
    <w:rsid w:val="00FB7727"/>
    <w:rsid w:val="00FC3C3F"/>
    <w:rsid w:val="00FD4287"/>
    <w:rsid w:val="00FE3A08"/>
    <w:rsid w:val="00FE4B3C"/>
    <w:rsid w:val="00FE6955"/>
    <w:rsid w:val="00FE7099"/>
    <w:rsid w:val="00FF0A73"/>
    <w:rsid w:val="00FF2637"/>
    <w:rsid w:val="00FF3D2B"/>
    <w:rsid w:val="00FF4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E1F7"/>
  <w15:docId w15:val="{ED5A2818-FC2F-4B27-ABF7-EE05FB3A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F6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7F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33F"/>
    <w:pPr>
      <w:tabs>
        <w:tab w:val="center" w:pos="4680"/>
        <w:tab w:val="right" w:pos="9360"/>
      </w:tabs>
      <w:spacing w:line="240" w:lineRule="auto"/>
    </w:pPr>
  </w:style>
  <w:style w:type="character" w:customStyle="1" w:styleId="HeaderChar">
    <w:name w:val="Header Char"/>
    <w:basedOn w:val="DefaultParagraphFont"/>
    <w:link w:val="Header"/>
    <w:uiPriority w:val="99"/>
    <w:rsid w:val="000F233F"/>
    <w:rPr>
      <w:rFonts w:ascii="Times New Roman" w:hAnsi="Times New Roman"/>
      <w:sz w:val="24"/>
    </w:rPr>
  </w:style>
  <w:style w:type="paragraph" w:styleId="Footer">
    <w:name w:val="footer"/>
    <w:basedOn w:val="Normal"/>
    <w:link w:val="FooterChar"/>
    <w:uiPriority w:val="99"/>
    <w:unhideWhenUsed/>
    <w:rsid w:val="000F233F"/>
    <w:pPr>
      <w:tabs>
        <w:tab w:val="center" w:pos="4680"/>
        <w:tab w:val="right" w:pos="9360"/>
      </w:tabs>
      <w:spacing w:line="240" w:lineRule="auto"/>
    </w:pPr>
  </w:style>
  <w:style w:type="character" w:customStyle="1" w:styleId="FooterChar">
    <w:name w:val="Footer Char"/>
    <w:basedOn w:val="DefaultParagraphFont"/>
    <w:link w:val="Footer"/>
    <w:uiPriority w:val="99"/>
    <w:rsid w:val="000F233F"/>
    <w:rPr>
      <w:rFonts w:ascii="Times New Roman" w:hAnsi="Times New Roman"/>
      <w:sz w:val="24"/>
    </w:rPr>
  </w:style>
  <w:style w:type="paragraph" w:styleId="ListParagraph">
    <w:name w:val="List Paragraph"/>
    <w:basedOn w:val="Normal"/>
    <w:uiPriority w:val="34"/>
    <w:qFormat/>
    <w:rsid w:val="00B106FE"/>
    <w:pPr>
      <w:ind w:left="720"/>
      <w:contextualSpacing/>
    </w:pPr>
  </w:style>
  <w:style w:type="table" w:customStyle="1" w:styleId="PlainTable21">
    <w:name w:val="Plain Table 21"/>
    <w:basedOn w:val="TableNormal"/>
    <w:uiPriority w:val="42"/>
    <w:rsid w:val="00A660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660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956D88"/>
    <w:rPr>
      <w:sz w:val="16"/>
      <w:szCs w:val="16"/>
    </w:rPr>
  </w:style>
  <w:style w:type="paragraph" w:styleId="CommentText">
    <w:name w:val="annotation text"/>
    <w:basedOn w:val="Normal"/>
    <w:link w:val="CommentTextChar"/>
    <w:uiPriority w:val="99"/>
    <w:semiHidden/>
    <w:unhideWhenUsed/>
    <w:rsid w:val="00956D88"/>
    <w:pPr>
      <w:spacing w:line="240" w:lineRule="auto"/>
    </w:pPr>
    <w:rPr>
      <w:sz w:val="20"/>
      <w:szCs w:val="20"/>
    </w:rPr>
  </w:style>
  <w:style w:type="character" w:customStyle="1" w:styleId="CommentTextChar">
    <w:name w:val="Comment Text Char"/>
    <w:basedOn w:val="DefaultParagraphFont"/>
    <w:link w:val="CommentText"/>
    <w:uiPriority w:val="99"/>
    <w:semiHidden/>
    <w:rsid w:val="00956D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6D88"/>
    <w:rPr>
      <w:b/>
      <w:bCs/>
    </w:rPr>
  </w:style>
  <w:style w:type="character" w:customStyle="1" w:styleId="CommentSubjectChar">
    <w:name w:val="Comment Subject Char"/>
    <w:basedOn w:val="CommentTextChar"/>
    <w:link w:val="CommentSubject"/>
    <w:uiPriority w:val="99"/>
    <w:semiHidden/>
    <w:rsid w:val="00956D88"/>
    <w:rPr>
      <w:rFonts w:ascii="Times New Roman" w:hAnsi="Times New Roman"/>
      <w:b/>
      <w:bCs/>
      <w:sz w:val="20"/>
      <w:szCs w:val="20"/>
    </w:rPr>
  </w:style>
  <w:style w:type="paragraph" w:styleId="BalloonText">
    <w:name w:val="Balloon Text"/>
    <w:basedOn w:val="Normal"/>
    <w:link w:val="BalloonTextChar"/>
    <w:uiPriority w:val="99"/>
    <w:semiHidden/>
    <w:unhideWhenUsed/>
    <w:rsid w:val="00956D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D88"/>
    <w:rPr>
      <w:rFonts w:ascii="Segoe UI" w:hAnsi="Segoe UI" w:cs="Segoe UI"/>
      <w:sz w:val="18"/>
      <w:szCs w:val="18"/>
    </w:rPr>
  </w:style>
  <w:style w:type="paragraph" w:styleId="HTMLPreformatted">
    <w:name w:val="HTML Preformatted"/>
    <w:basedOn w:val="Normal"/>
    <w:link w:val="HTMLPreformattedChar"/>
    <w:uiPriority w:val="99"/>
    <w:semiHidden/>
    <w:unhideWhenUsed/>
    <w:rsid w:val="00A34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246"/>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9C7F14"/>
  </w:style>
  <w:style w:type="character" w:customStyle="1" w:styleId="Heading1Char">
    <w:name w:val="Heading 1 Char"/>
    <w:basedOn w:val="DefaultParagraphFont"/>
    <w:link w:val="Heading1"/>
    <w:uiPriority w:val="9"/>
    <w:rsid w:val="009C7F14"/>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D5E41"/>
    <w:pPr>
      <w:spacing w:after="0" w:line="240" w:lineRule="auto"/>
    </w:pPr>
    <w:rPr>
      <w:rFonts w:ascii="Times New Roman" w:hAnsi="Times New Roman"/>
      <w:sz w:val="24"/>
    </w:rPr>
  </w:style>
  <w:style w:type="character" w:styleId="Hyperlink">
    <w:name w:val="Hyperlink"/>
    <w:basedOn w:val="DefaultParagraphFont"/>
    <w:uiPriority w:val="99"/>
    <w:unhideWhenUsed/>
    <w:rsid w:val="009D5BED"/>
    <w:rPr>
      <w:color w:val="0563C1" w:themeColor="hyperlink"/>
      <w:u w:val="single"/>
    </w:rPr>
  </w:style>
  <w:style w:type="paragraph" w:customStyle="1" w:styleId="p1">
    <w:name w:val="p1"/>
    <w:basedOn w:val="Normal"/>
    <w:rsid w:val="00BF4A6A"/>
    <w:pPr>
      <w:spacing w:line="240" w:lineRule="auto"/>
    </w:pPr>
    <w:rPr>
      <w:rFonts w:ascii="Tahoma" w:hAnsi="Tahoma" w:cs="Tahoma"/>
      <w:color w:val="2C2829"/>
      <w:sz w:val="15"/>
      <w:szCs w:val="15"/>
      <w:lang w:val="en-US"/>
    </w:rPr>
  </w:style>
  <w:style w:type="character" w:customStyle="1" w:styleId="s1">
    <w:name w:val="s1"/>
    <w:basedOn w:val="DefaultParagraphFont"/>
    <w:rsid w:val="00BF4A6A"/>
    <w:rPr>
      <w:rFonts w:ascii="Tahoma" w:hAnsi="Tahoma" w:cs="Tahoma" w:hint="default"/>
      <w:color w:val="000000"/>
      <w:sz w:val="13"/>
      <w:szCs w:val="13"/>
    </w:rPr>
  </w:style>
  <w:style w:type="table" w:customStyle="1" w:styleId="TableGrid1">
    <w:name w:val="Table Grid1"/>
    <w:basedOn w:val="TableNormal"/>
    <w:next w:val="TableGrid"/>
    <w:uiPriority w:val="39"/>
    <w:rsid w:val="0000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011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25AAB"/>
    <w:rPr>
      <w:color w:val="954F72" w:themeColor="followedHyperlink"/>
      <w:u w:val="single"/>
    </w:rPr>
  </w:style>
  <w:style w:type="character" w:styleId="LineNumber">
    <w:name w:val="line number"/>
    <w:basedOn w:val="DefaultParagraphFont"/>
    <w:uiPriority w:val="99"/>
    <w:semiHidden/>
    <w:unhideWhenUsed/>
    <w:rsid w:val="00A5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2599">
      <w:bodyDiv w:val="1"/>
      <w:marLeft w:val="0"/>
      <w:marRight w:val="0"/>
      <w:marTop w:val="0"/>
      <w:marBottom w:val="0"/>
      <w:divBdr>
        <w:top w:val="none" w:sz="0" w:space="0" w:color="auto"/>
        <w:left w:val="none" w:sz="0" w:space="0" w:color="auto"/>
        <w:bottom w:val="none" w:sz="0" w:space="0" w:color="auto"/>
        <w:right w:val="none" w:sz="0" w:space="0" w:color="auto"/>
      </w:divBdr>
    </w:div>
    <w:div w:id="205222336">
      <w:bodyDiv w:val="1"/>
      <w:marLeft w:val="0"/>
      <w:marRight w:val="0"/>
      <w:marTop w:val="0"/>
      <w:marBottom w:val="0"/>
      <w:divBdr>
        <w:top w:val="none" w:sz="0" w:space="0" w:color="auto"/>
        <w:left w:val="none" w:sz="0" w:space="0" w:color="auto"/>
        <w:bottom w:val="none" w:sz="0" w:space="0" w:color="auto"/>
        <w:right w:val="none" w:sz="0" w:space="0" w:color="auto"/>
      </w:divBdr>
    </w:div>
    <w:div w:id="477496132">
      <w:bodyDiv w:val="1"/>
      <w:marLeft w:val="0"/>
      <w:marRight w:val="0"/>
      <w:marTop w:val="0"/>
      <w:marBottom w:val="0"/>
      <w:divBdr>
        <w:top w:val="none" w:sz="0" w:space="0" w:color="auto"/>
        <w:left w:val="none" w:sz="0" w:space="0" w:color="auto"/>
        <w:bottom w:val="none" w:sz="0" w:space="0" w:color="auto"/>
        <w:right w:val="none" w:sz="0" w:space="0" w:color="auto"/>
      </w:divBdr>
    </w:div>
    <w:div w:id="690183480">
      <w:bodyDiv w:val="1"/>
      <w:marLeft w:val="0"/>
      <w:marRight w:val="0"/>
      <w:marTop w:val="0"/>
      <w:marBottom w:val="0"/>
      <w:divBdr>
        <w:top w:val="none" w:sz="0" w:space="0" w:color="auto"/>
        <w:left w:val="none" w:sz="0" w:space="0" w:color="auto"/>
        <w:bottom w:val="none" w:sz="0" w:space="0" w:color="auto"/>
        <w:right w:val="none" w:sz="0" w:space="0" w:color="auto"/>
      </w:divBdr>
    </w:div>
    <w:div w:id="769396214">
      <w:bodyDiv w:val="1"/>
      <w:marLeft w:val="0"/>
      <w:marRight w:val="0"/>
      <w:marTop w:val="0"/>
      <w:marBottom w:val="0"/>
      <w:divBdr>
        <w:top w:val="none" w:sz="0" w:space="0" w:color="auto"/>
        <w:left w:val="none" w:sz="0" w:space="0" w:color="auto"/>
        <w:bottom w:val="none" w:sz="0" w:space="0" w:color="auto"/>
        <w:right w:val="none" w:sz="0" w:space="0" w:color="auto"/>
      </w:divBdr>
    </w:div>
    <w:div w:id="1007093654">
      <w:bodyDiv w:val="1"/>
      <w:marLeft w:val="0"/>
      <w:marRight w:val="0"/>
      <w:marTop w:val="0"/>
      <w:marBottom w:val="0"/>
      <w:divBdr>
        <w:top w:val="none" w:sz="0" w:space="0" w:color="auto"/>
        <w:left w:val="none" w:sz="0" w:space="0" w:color="auto"/>
        <w:bottom w:val="none" w:sz="0" w:space="0" w:color="auto"/>
        <w:right w:val="none" w:sz="0" w:space="0" w:color="auto"/>
      </w:divBdr>
    </w:div>
    <w:div w:id="1123885762">
      <w:bodyDiv w:val="1"/>
      <w:marLeft w:val="0"/>
      <w:marRight w:val="0"/>
      <w:marTop w:val="0"/>
      <w:marBottom w:val="0"/>
      <w:divBdr>
        <w:top w:val="none" w:sz="0" w:space="0" w:color="auto"/>
        <w:left w:val="none" w:sz="0" w:space="0" w:color="auto"/>
        <w:bottom w:val="none" w:sz="0" w:space="0" w:color="auto"/>
        <w:right w:val="none" w:sz="0" w:space="0" w:color="auto"/>
      </w:divBdr>
    </w:div>
    <w:div w:id="1314139909">
      <w:bodyDiv w:val="1"/>
      <w:marLeft w:val="0"/>
      <w:marRight w:val="0"/>
      <w:marTop w:val="0"/>
      <w:marBottom w:val="0"/>
      <w:divBdr>
        <w:top w:val="none" w:sz="0" w:space="0" w:color="auto"/>
        <w:left w:val="none" w:sz="0" w:space="0" w:color="auto"/>
        <w:bottom w:val="none" w:sz="0" w:space="0" w:color="auto"/>
        <w:right w:val="none" w:sz="0" w:space="0" w:color="auto"/>
      </w:divBdr>
    </w:div>
    <w:div w:id="1685010699">
      <w:bodyDiv w:val="1"/>
      <w:marLeft w:val="0"/>
      <w:marRight w:val="0"/>
      <w:marTop w:val="0"/>
      <w:marBottom w:val="0"/>
      <w:divBdr>
        <w:top w:val="none" w:sz="0" w:space="0" w:color="auto"/>
        <w:left w:val="none" w:sz="0" w:space="0" w:color="auto"/>
        <w:bottom w:val="none" w:sz="0" w:space="0" w:color="auto"/>
        <w:right w:val="none" w:sz="0" w:space="0" w:color="auto"/>
      </w:divBdr>
    </w:div>
    <w:div w:id="1982230300">
      <w:bodyDiv w:val="1"/>
      <w:marLeft w:val="0"/>
      <w:marRight w:val="0"/>
      <w:marTop w:val="0"/>
      <w:marBottom w:val="0"/>
      <w:divBdr>
        <w:top w:val="none" w:sz="0" w:space="0" w:color="auto"/>
        <w:left w:val="none" w:sz="0" w:space="0" w:color="auto"/>
        <w:bottom w:val="none" w:sz="0" w:space="0" w:color="auto"/>
        <w:right w:val="none" w:sz="0" w:space="0" w:color="auto"/>
      </w:divBdr>
    </w:div>
    <w:div w:id="2020153882">
      <w:bodyDiv w:val="1"/>
      <w:marLeft w:val="0"/>
      <w:marRight w:val="0"/>
      <w:marTop w:val="0"/>
      <w:marBottom w:val="0"/>
      <w:divBdr>
        <w:top w:val="none" w:sz="0" w:space="0" w:color="auto"/>
        <w:left w:val="none" w:sz="0" w:space="0" w:color="auto"/>
        <w:bottom w:val="none" w:sz="0" w:space="0" w:color="auto"/>
        <w:right w:val="none" w:sz="0" w:space="0" w:color="auto"/>
      </w:divBdr>
    </w:div>
    <w:div w:id="21108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0FDA-2B63-4B83-B2AE-FD23D330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Worthington</dc:creator>
  <cp:lastModifiedBy>Chakri Pathi</cp:lastModifiedBy>
  <cp:revision>5</cp:revision>
  <dcterms:created xsi:type="dcterms:W3CDTF">2018-05-13T17:36:00Z</dcterms:created>
  <dcterms:modified xsi:type="dcterms:W3CDTF">2018-07-16T21:45:00Z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bdfc7fc4-209c-34b3-b51a-5f8158859b08</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