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Stability Request for: IMG</w:t>
      </w:r>
    </w:p>
    <w:p>
      <w:r>
        <w:t>Description: MSHS2A DP</w:t>
      </w:r>
    </w:p>
    <w:p>
      <w:r>
        <w:t>Protocol: IMG-PRO-010 Rev. 000</w:t>
      </w:r>
    </w:p>
    <w:p>
      <w:r>
        <w:t>Specification: IMG-SPE-003</w:t>
      </w:r>
    </w:p>
    <w:p>
      <w:r>
        <w:t>Need by date:</w:t>
      </w:r>
    </w:p>
    <w:p/>
    <w:p>
      <w:r>
        <w:t>Requestor Initials/Date:</w:t>
      </w:r>
    </w:p>
    <w:p>
      <w:pPr>
        <w:pStyle w:val="Heading2"/>
        <w:jc w:val="center"/>
      </w:pPr>
      <w:r>
        <w:t>Stability Pull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Storage Condition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Lot No.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Timepoint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Pull Date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Number of Vials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25°C / 60% RH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LPI2025276-DP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 month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2026-01-29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5°C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LPI2025276-DP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 month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2026-01-29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</w:tr>
    </w:tbl>
    <w:p/>
    <w:p>
      <w:pPr>
        <w:pStyle w:val="Heading2"/>
        <w:jc w:val="center"/>
      </w:pPr>
      <w:r>
        <w:t>Consolidated Testing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Test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Test Method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Form 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Copies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Antibody to Iron mass ratio (µg/mg)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 xml:space="preserve">Calculation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Antibody-NP activity and unbound antibody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CC-AM-2021.1308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Appearance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LPI-SOP-109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LPI-SOP-109 Form 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Bacteria Endotoxina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USP &lt;85&gt;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Container closure integrity (CCI)b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USP &lt;1207&gt;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Free POMA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 xml:space="preserve">IMG-MET-004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LPI-FM-102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Iron content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CC-AM-2019.128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MSH2IA purity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 xml:space="preserve">IMG-MET-004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LPI-FM-102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MSH2IA total impurity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 xml:space="preserve">IMG-MET-004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LPI-FM-102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PSD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LPI-SOP-116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LPI-SOP-116 FORM 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Particulate mattera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 xml:space="preserve">LPI-SOP-137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Total organic massc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 xml:space="preserve">TGA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Zeta Potential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LPI-SOP-116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LPI-SOP-116 FORM B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LPI-SOP-209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LPI-SOP-209 FORM B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