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297A78"/>
          <w:sz w:val="26"/>
        </w:rPr>
        <w:t>SURVEY PLATFORM</w:t>
      </w:r>
    </w:p>
    <w:p>
      <w:pPr>
        <w:pStyle w:val="Title"/>
        <w:jc w:val="center"/>
      </w:pPr>
      <w:r>
        <w:t>v9.0.0 Architecture &amp; Development Specification</w:t>
      </w:r>
    </w:p>
    <w:p>
      <w:pPr>
        <w:pStyle w:val="SpecSubtitle"/>
        <w:jc w:val="center"/>
      </w:pPr>
      <w:r>
        <w:t>Official foundation plan, build sequence, acceptance criteria, release gates, and post-release roadmap</w:t>
      </w:r>
    </w:p>
    <w:p>
      <w:pPr>
        <w:spacing w:before="240"/>
        <w:jc w:val="center"/>
      </w:pPr>
      <w:r>
        <w:rPr>
          <w:b/>
          <w:color w:val="18324A"/>
          <w:sz w:val="22"/>
        </w:rPr>
        <w:t>Working product name: TBD</w:t>
      </w:r>
    </w:p>
    <w:p>
      <w:pPr>
        <w:jc w:val="center"/>
      </w:pPr>
      <w:r>
        <w:rPr>
          <w:i/>
        </w:rPr>
        <w:t>Current naming candidates include SurveySense, Meridian, Control Point, and other options under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224"/>
            <w:shd w:fill="E9F5F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8324A"/>
                <w:sz w:val="20"/>
              </w:rPr>
              <w:t>Baseline</w:t>
            </w:r>
          </w:p>
          <w:p>
            <w:pPr>
              <w:spacing w:after="0"/>
            </w:pPr>
            <w:r>
              <w:rPr>
                <w:sz w:val="19"/>
              </w:rPr>
              <w:t>FieldBook Sync v8.1.22 is the final known-good v8 baseline. v9.0.0 begins the transition from a FieldBook-centered application to a modular, project-centered survey platform.</w:t>
            </w:r>
          </w:p>
        </w:tc>
      </w:tr>
    </w:tbl>
    <w:p>
      <w:pPr>
        <w:spacing w:before="1600"/>
        <w:jc w:val="center"/>
      </w:pPr>
      <w:r>
        <w:rPr>
          <w:b/>
          <w:color w:val="2D6F9F"/>
          <w:sz w:val="20"/>
        </w:rPr>
        <w:t>Status: PLANNING / ARCHITECTURE</w:t>
      </w:r>
    </w:p>
    <w:p>
      <w:pPr>
        <w:jc w:val="center"/>
      </w:pPr>
      <w:r>
        <w:rPr>
          <w:sz w:val="18"/>
        </w:rPr>
        <w:t>This document is the development blueprint for v9.0.0 and the first roadmap after release.</w:t>
      </w:r>
    </w:p>
    <w:p>
      <w:r>
        <w:br w:type="page"/>
      </w:r>
    </w:p>
    <w:p>
      <w:pPr>
        <w:pStyle w:val="Heading1"/>
      </w:pPr>
      <w:r>
        <w:t>1. Document Purpose and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37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77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Decision / Value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8"/>
              </w:rPr>
              <w:t>Document purpose</w:t>
            </w:r>
          </w:p>
        </w:tc>
        <w:tc>
          <w:tcPr>
            <w:tcW w:type="dxa" w:w="77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8"/>
              </w:rPr>
              <w:t>Define the v9 platform architecture, mandatory engineering rules, phased implementation plan, acceptance criteria, release gates, and post-v9 roadmap.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8"/>
              </w:rPr>
              <w:t>Product name</w:t>
            </w:r>
          </w:p>
        </w:tc>
        <w:tc>
          <w:tcPr>
            <w:tcW w:type="dxa" w:w="77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8"/>
              </w:rPr>
              <w:t>TBD. Architecture must remain neutral until the permanent brand is selected.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8"/>
              </w:rPr>
              <w:t>v8 baseline</w:t>
            </w:r>
          </w:p>
        </w:tc>
        <w:tc>
          <w:tcPr>
            <w:tcW w:type="dxa" w:w="77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8"/>
              </w:rPr>
              <w:t>FieldBook Sync v8.1.22 - preserve as the final known-good standalone v8 generation.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8"/>
              </w:rPr>
              <w:t>v9 release type</w:t>
            </w:r>
          </w:p>
        </w:tc>
        <w:tc>
          <w:tcPr>
            <w:tcW w:type="dxa" w:w="77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8"/>
              </w:rPr>
              <w:t>Major platform foundation release.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8"/>
              </w:rPr>
              <w:t>Primary users during development</w:t>
            </w:r>
          </w:p>
        </w:tc>
        <w:tc>
          <w:tcPr>
            <w:tcW w:type="dxa" w:w="77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8"/>
              </w:rPr>
              <w:t>CP, Ron, and selected beta testers.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8"/>
              </w:rPr>
              <w:t>Core philosophy</w:t>
            </w:r>
          </w:p>
        </w:tc>
        <w:tc>
          <w:tcPr>
            <w:tcW w:type="dxa" w:w="77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8"/>
              </w:rPr>
              <w:t>One project, one data model, shared survey engines, multiple modules.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8"/>
              </w:rPr>
              <w:t>Survey-data rule</w:t>
            </w:r>
          </w:p>
        </w:tc>
        <w:tc>
          <w:tcPr>
            <w:tcW w:type="dxa" w:w="77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8"/>
              </w:rPr>
              <w:t>Original evidence is immutable; derived work is traceable, reviewable, and reproducible.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224"/>
            <w:shd w:fill="EAF2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8324A"/>
                <w:sz w:val="20"/>
              </w:rPr>
              <w:t>Permanent architecture rule</w:t>
            </w:r>
          </w:p>
          <w:p>
            <w:pPr>
              <w:spacing w:after="0"/>
            </w:pPr>
            <w:r>
              <w:rPr>
                <w:sz w:val="19"/>
              </w:rPr>
              <w:t>Original evidence is immutable. Every transformation, adjustment, interpretation, correction, or AI result is stored as derived data with source lineage, method, parameters, software version, timestamp, and review state.</w:t>
            </w:r>
          </w:p>
        </w:tc>
      </w:tr>
    </w:tbl>
    <w:p>
      <w:pPr>
        <w:pStyle w:val="Heading1"/>
      </w:pPr>
      <w:r>
        <w:t>2. Executive Summary</w:t>
      </w:r>
    </w:p>
    <w:p>
      <w:r>
        <w:t>v9.0.0 will establish the bones of the full survey platform rather than attempting to deliver every surveying workflow at once. The release must provide a durable application shell, a shared project database, a common coordinate-system and unit framework, reusable COGO services, provenance and revision infrastructure, common import/export services, project-wide QA/QC, developer/beta/production environments, branding profiles, feature flags, an upgraded feedback system, and migration of the existing FieldBook capability into the platform.</w:t>
      </w:r>
    </w:p>
    <w:p>
      <w:r>
        <w:t>The v9 architecture must allow future modules to be added without copying project data or duplicating survey math. FieldBook, Boundary, Control, COGO, GIS/CAD, Utilities, Topo, QA/QC, and Reports must operate on the same canonical project objects and shared services.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224"/>
            <w:shd w:fill="EAF2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8324A"/>
                <w:sz w:val="20"/>
              </w:rPr>
              <w:t>What v9.0.0 is not</w:t>
            </w:r>
          </w:p>
          <w:p>
            <w:pPr>
              <w:spacing w:after="0"/>
            </w:pPr>
            <w:r>
              <w:rPr>
                <w:sz w:val="19"/>
              </w:rPr>
              <w:t>v9.0.0 is not the release where every planned module is finished. Full least-squares networks, advanced leveling, complete PLSS resolution, surfaces, drone processing, every Texas cadastral source, and every GIS/CAD connector must not delay the platform foundation.</w:t>
            </w:r>
          </w:p>
        </w:tc>
      </w:tr>
    </w:tbl>
    <w:p>
      <w:pPr>
        <w:pStyle w:val="Heading1"/>
      </w:pPr>
      <w:r>
        <w:t>3. v9.0.0 Success Definition</w:t>
      </w:r>
    </w:p>
    <w:p>
      <w:pPr>
        <w:pStyle w:val="ListBullet"/>
        <w:spacing w:after="40"/>
      </w:pPr>
      <w:r>
        <w:t>Existing supported FieldBook projects migrate without losing source data, review state, profiles, or critical settings.</w:t>
      </w:r>
    </w:p>
    <w:p>
      <w:pPr>
        <w:pStyle w:val="ListBullet"/>
        <w:spacing w:after="40"/>
      </w:pPr>
      <w:r>
        <w:t>All modules use the same project identity, source registry, point/control objects, CRS/units framework, revision engine, QA engine, and logging conventions.</w:t>
      </w:r>
    </w:p>
    <w:p>
      <w:pPr>
        <w:pStyle w:val="ListBullet"/>
        <w:spacing w:after="40"/>
      </w:pPr>
      <w:r>
        <w:t>Core survey calculations are removed from UI-only code and exposed through testable shared engines.</w:t>
      </w:r>
    </w:p>
    <w:p>
      <w:pPr>
        <w:pStyle w:val="ListBullet"/>
        <w:spacing w:after="40"/>
      </w:pPr>
      <w:r>
        <w:t>No import, adjustment, transformation, OCR interpretation, or correction silently overwrites original evidence.</w:t>
      </w:r>
    </w:p>
    <w:p>
      <w:pPr>
        <w:pStyle w:val="ListBullet"/>
        <w:spacing w:after="40"/>
      </w:pPr>
      <w:r>
        <w:t>Developer, Beta, and Production environments are visibly distinct and cannot accidentally publish or modify production resources through test configuration.</w:t>
      </w:r>
    </w:p>
    <w:p>
      <w:pPr>
        <w:pStyle w:val="ListBullet"/>
        <w:spacing w:after="40"/>
      </w:pPr>
      <w:r>
        <w:t>Branding/client demo profiles are data-driven and do not imply product ownership or require client-specific code branches.</w:t>
      </w:r>
    </w:p>
    <w:p>
      <w:pPr>
        <w:pStyle w:val="ListBullet"/>
        <w:spacing w:after="40"/>
      </w:pPr>
      <w:r>
        <w:t>Feedback submissions automatically identify product version, build, environment, module, release channel, and branding profile without automatically uploading survey data.</w:t>
      </w:r>
    </w:p>
    <w:p>
      <w:pPr>
        <w:pStyle w:val="ListBullet"/>
        <w:spacing w:after="40"/>
      </w:pPr>
      <w:r>
        <w:t>The v9 updater path is tested from the final v8 baseline and through at least one v9 patch update before broad rollout.</w:t>
      </w:r>
    </w:p>
    <w:p>
      <w:pPr>
        <w:pStyle w:val="ListBullet"/>
        <w:spacing w:after="40"/>
      </w:pPr>
      <w:r>
        <w:t>Automated tests, survey golden-result tests, migration tests, and real Windows validation all pass before Stable release.</w:t>
      </w:r>
    </w:p>
    <w:p>
      <w:pPr>
        <w:pStyle w:val="Heading1"/>
      </w:pPr>
      <w:r>
        <w:t>4. Mandatory Engineering Principles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Principle</w:t>
            </w:r>
          </w:p>
        </w:tc>
        <w:tc>
          <w:tcPr>
            <w:tcW w:type="dxa" w:w="74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Required behavior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One shared project model</w:t>
            </w:r>
          </w:p>
        </w:tc>
        <w:tc>
          <w:tcPr>
            <w:tcW w:type="dxa" w:w="74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A point, observation, monument, structure, source file, control point, tract, and export has one canonical internal identity. Modules reference shared objects instead of maintaining duplicate copies.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Immutable source evidence</w:t>
            </w:r>
          </w:p>
        </w:tc>
        <w:tc>
          <w:tcPr>
            <w:tcW w:type="dxa" w:w="74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Raw collector files, field books, deeds, plats, photos, GNSS reports, original coordinates, and imported observations are preserved. Corrections and adjusted values are new derived records.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Math separated from UI</w:t>
            </w:r>
          </w:p>
        </w:tc>
        <w:tc>
          <w:tcPr>
            <w:tcW w:type="dxa" w:w="74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COGO, traverse, leveling, coordinate transformation, deed parsing, surface calculations, and other survey math live in tested services/libraries. UI code only orchestrates and presents results.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Reproducible results</w:t>
            </w:r>
          </w:p>
        </w:tc>
        <w:tc>
          <w:tcPr>
            <w:tcW w:type="dxa" w:w="74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Derived results retain inputs, method, parameters, units, CRS/datum/epoch, software version, timestamps, and source revision IDs.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CRS and units are first-class</w:t>
            </w:r>
          </w:p>
        </w:tc>
        <w:tc>
          <w:tcPr>
            <w:tcW w:type="dxa" w:w="74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No module may assume WGS84, a State Plane zone, feet, US survey feet, meters, grid, or ground coordinates without explicit metadata.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No silent professional decisions</w:t>
            </w:r>
          </w:p>
        </w:tc>
        <w:tc>
          <w:tcPr>
            <w:tcW w:type="dxa" w:w="74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Suspected call errors, rod-height busts, bad closures, OCR errors, datum conflicts, and similar issues are surfaced for review rather than silently corrected.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Stable internal IDs</w:t>
            </w:r>
          </w:p>
        </w:tc>
        <w:tc>
          <w:tcPr>
            <w:tcW w:type="dxa" w:w="74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Projects, points, observations, parcels, structures, photos, reports, calculations, exports, and revisions use stable UUID-style identifiers independent of display names.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Schema versioning</w:t>
            </w:r>
          </w:p>
        </w:tc>
        <w:tc>
          <w:tcPr>
            <w:tcW w:type="dxa" w:w="74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Every project database stores a schema version and uses tested migrations with backup/recovery behavior.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Offline-first core</w:t>
            </w:r>
          </w:p>
        </w:tc>
        <w:tc>
          <w:tcPr>
            <w:tcW w:type="dxa" w:w="74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Core survey computations, project access, COGO, Boundary work, FieldBook review, and report generation should continue without an internet connection where practical.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Privacy by default</w:t>
            </w:r>
          </w:p>
        </w:tc>
        <w:tc>
          <w:tcPr>
            <w:tcW w:type="dxa" w:w="74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Bug reporting never automatically uploads coordinates, deeds, field books, photos, or project files. Survey data is attached only with explicit user action.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Modular monolith first</w:t>
            </w:r>
          </w:p>
        </w:tc>
        <w:tc>
          <w:tcPr>
            <w:tcW w:type="dxa" w:w="74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Build one well-structured Windows application with clear internal module boundaries. Do not create distributed microservices without a demonstrated need.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Formal Definition of Done</w:t>
            </w:r>
          </w:p>
        </w:tc>
        <w:tc>
          <w:tcPr>
            <w:tcW w:type="dxa" w:w="74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A feature is incomplete until tests, validation, logging, error handling, migration impact, units/CRS behavior, documentation, feedback metadata, and release notes are addressed.</w:t>
            </w:r>
          </w:p>
        </w:tc>
      </w:tr>
    </w:tbl>
    <w:p>
      <w:pPr>
        <w:pStyle w:val="Heading1"/>
      </w:pPr>
      <w:r>
        <w:t>5. v9 Module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9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18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v9.0 scope</w:t>
            </w:r>
          </w:p>
        </w:tc>
        <w:tc>
          <w:tcPr>
            <w:tcW w:type="dxa" w:w="633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Project Home</w:t>
            </w:r>
          </w:p>
        </w:tc>
        <w:tc>
          <w:tcPr>
            <w:tcW w:type="dxa" w:w="18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Full foundation</w:t>
            </w:r>
          </w:p>
        </w:tc>
        <w:tc>
          <w:tcPr>
            <w:tcW w:type="dxa" w:w="633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Project dashboard, metadata, recent activity, warnings, deliverables, project health.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Data</w:t>
            </w:r>
          </w:p>
        </w:tc>
        <w:tc>
          <w:tcPr>
            <w:tcW w:type="dxa" w:w="18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Full foundation</w:t>
            </w:r>
          </w:p>
        </w:tc>
        <w:tc>
          <w:tcPr>
            <w:tcW w:type="dxa" w:w="633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Canonical points, observations, sources, attachments, files, shared records, and provenance.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Field / FieldBook</w:t>
            </w:r>
          </w:p>
        </w:tc>
        <w:tc>
          <w:tcPr>
            <w:tcW w:type="dxa" w:w="18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Full migration</w:t>
            </w:r>
          </w:p>
        </w:tc>
        <w:tc>
          <w:tcPr>
            <w:tcW w:type="dxa" w:w="633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Existing FieldBook capability moved into the platform as the first mature module.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Control</w:t>
            </w:r>
          </w:p>
        </w:tc>
        <w:tc>
          <w:tcPr>
            <w:tcW w:type="dxa" w:w="18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Foundation</w:t>
            </w:r>
          </w:p>
        </w:tc>
        <w:tc>
          <w:tcPr>
            <w:tcW w:type="dxa" w:w="633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Shared control-point model, provenance, future GNSS/adjustment workflows.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COGO</w:t>
            </w:r>
          </w:p>
        </w:tc>
        <w:tc>
          <w:tcPr>
            <w:tcW w:type="dxa" w:w="18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Core engine</w:t>
            </w:r>
          </w:p>
        </w:tc>
        <w:tc>
          <w:tcPr>
            <w:tcW w:type="dxa" w:w="633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Shared bearings, azimuths, coordinates, inverses, lines, curves, offsets, areas, and closure services.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Boundary</w:t>
            </w:r>
          </w:p>
        </w:tc>
        <w:tc>
          <w:tcPr>
            <w:tcW w:type="dxa" w:w="18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Foundation / Beta</w:t>
            </w:r>
          </w:p>
        </w:tc>
        <w:tc>
          <w:tcPr>
            <w:tcW w:type="dxa" w:w="633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Deed/record workspace seeded from Metes &amp; Bounds Plotter v17; cadastral adapter framework.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Topo / Surface</w:t>
            </w:r>
          </w:p>
        </w:tc>
        <w:tc>
          <w:tcPr>
            <w:tcW w:type="dxa" w:w="18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Shell</w:t>
            </w:r>
          </w:p>
        </w:tc>
        <w:tc>
          <w:tcPr>
            <w:tcW w:type="dxa" w:w="633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Future field-to-finish, breaklines, TIN, contours, profiles, cross sections, slope and volumes.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Utilities</w:t>
            </w:r>
          </w:p>
        </w:tc>
        <w:tc>
          <w:tcPr>
            <w:tcW w:type="dxa" w:w="18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Foundation</w:t>
            </w:r>
          </w:p>
        </w:tc>
        <w:tc>
          <w:tcPr>
            <w:tcW w:type="dxa" w:w="633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Existing sewer/structure workflow integrated with shared project data.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GIS / CAD</w:t>
            </w:r>
          </w:p>
        </w:tc>
        <w:tc>
          <w:tcPr>
            <w:tcW w:type="dxa" w:w="18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Foundation</w:t>
            </w:r>
          </w:p>
        </w:tc>
        <w:tc>
          <w:tcPr>
            <w:tcW w:type="dxa" w:w="633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Common import/export and integration layer for spatial/CAD exchange.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QA / QC</w:t>
            </w:r>
          </w:p>
        </w:tc>
        <w:tc>
          <w:tcPr>
            <w:tcW w:type="dxa" w:w="18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Foundation</w:t>
            </w:r>
          </w:p>
        </w:tc>
        <w:tc>
          <w:tcPr>
            <w:tcW w:type="dxa" w:w="633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Project-wide validation, warnings, severity, error codes, tolerance/company profiles.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Reports</w:t>
            </w:r>
          </w:p>
        </w:tc>
        <w:tc>
          <w:tcPr>
            <w:tcW w:type="dxa" w:w="18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Foundation</w:t>
            </w:r>
          </w:p>
        </w:tc>
        <w:tc>
          <w:tcPr>
            <w:tcW w:type="dxa" w:w="633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Common report engine, templates, revision IDs, export history, professional review states.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Tools</w:t>
            </w:r>
          </w:p>
        </w:tc>
        <w:tc>
          <w:tcPr>
            <w:tcW w:type="dxa" w:w="18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Full shell</w:t>
            </w:r>
          </w:p>
        </w:tc>
        <w:tc>
          <w:tcPr>
            <w:tcW w:type="dxa" w:w="633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Converters, calculators, utilities, and future plugin tools.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Developer</w:t>
            </w:r>
          </w:p>
        </w:tc>
        <w:tc>
          <w:tcPr>
            <w:tcW w:type="dxa" w:w="18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Developer only</w:t>
            </w:r>
          </w:p>
        </w:tc>
        <w:tc>
          <w:tcPr>
            <w:tcW w:type="dxa" w:w="633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Feature flags, branding manager, diagnostics, test data, schema tools, experimental modules.</w:t>
            </w:r>
          </w:p>
        </w:tc>
      </w:tr>
    </w:tbl>
    <w:p>
      <w:pPr>
        <w:pStyle w:val="Heading1"/>
      </w:pPr>
      <w:r>
        <w:t>6. Shared Project Data Model</w:t>
      </w:r>
    </w:p>
    <w:p>
      <w:r>
        <w:t>The project database is the center of the platform. Individual modules must not invent their own competing versions of common project records.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78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Minimum responsibility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Project</w:t>
            </w:r>
          </w:p>
        </w:tc>
        <w:tc>
          <w:tcPr>
            <w:tcW w:type="dxa" w:w="78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Project ID, job/client metadata, environment, schema version, created/modified timestamps.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Source</w:t>
            </w:r>
          </w:p>
        </w:tc>
        <w:tc>
          <w:tcPr>
            <w:tcW w:type="dxa" w:w="78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Original file/document/observation source, file hash, original path/name, format, import timestamp, immutable source reference.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Point / Control Point</w:t>
            </w:r>
          </w:p>
        </w:tc>
        <w:tc>
          <w:tcPr>
            <w:tcW w:type="dxa" w:w="78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Stable ID, display point number, N/E/Z, CRS reference, units, description/code, source/revision lineage, review state.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Observation</w:t>
            </w:r>
          </w:p>
        </w:tc>
        <w:tc>
          <w:tcPr>
            <w:tcW w:type="dxa" w:w="78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Raw or derived observation with method, source, units, timestamps and inclusion/exclusion status.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Boundary / Tract / Course</w:t>
            </w:r>
          </w:p>
        </w:tc>
        <w:tc>
          <w:tcPr>
            <w:tcW w:type="dxa" w:w="78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Record source, POC/POB, line/curve constraints, geometry, source text, confidence/review state.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Structure / Pipe</w:t>
            </w:r>
          </w:p>
        </w:tc>
        <w:tc>
          <w:tcPr>
            <w:tcW w:type="dxa" w:w="78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Utility structure and pipe entities, field evidence, dip/invert calculations, QA status and provenance.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Photo / Attachment</w:t>
            </w:r>
          </w:p>
        </w:tc>
        <w:tc>
          <w:tcPr>
            <w:tcW w:type="dxa" w:w="78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Original file with stable attachment ID, hash, linked entity IDs, metadata and review state.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CRS / Transformation</w:t>
            </w:r>
          </w:p>
        </w:tc>
        <w:tc>
          <w:tcPr>
            <w:tcW w:type="dxa" w:w="78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CRS definition, datum/frame, epoch, units, vertical metadata, grid/ground state, transformation parameters.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Calculation</w:t>
            </w:r>
          </w:p>
        </w:tc>
        <w:tc>
          <w:tcPr>
            <w:tcW w:type="dxa" w:w="78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Derived result with method ID/version, parameter snapshot, input revision IDs, output IDs, status.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Revision</w:t>
            </w:r>
          </w:p>
        </w:tc>
        <w:tc>
          <w:tcPr>
            <w:tcW w:type="dxa" w:w="78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Immutable revision record describing what changed, why, by whom/what process, and predecessor.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Report / Export</w:t>
            </w:r>
          </w:p>
        </w:tc>
        <w:tc>
          <w:tcPr>
            <w:tcW w:type="dxa" w:w="78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Deliverable ID, producing revision, output checksum, filename/path, timestamp, module, status.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QA Finding</w:t>
            </w:r>
          </w:p>
        </w:tc>
        <w:tc>
          <w:tcPr>
            <w:tcW w:type="dxa" w:w="78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Code, severity, module, affected entity IDs, evidence, status, resolution note.</w:t>
            </w:r>
          </w:p>
        </w:tc>
      </w:tr>
    </w:tbl>
    <w:p>
      <w:pPr>
        <w:pStyle w:val="Heading1"/>
      </w:pPr>
      <w:r>
        <w:t>7. Review States and Provenance</w:t>
      </w:r>
    </w:p>
    <w:p>
      <w:pPr>
        <w:pStyle w:val="ListBullet"/>
        <w:spacing w:after="40"/>
      </w:pPr>
      <w:r>
        <w:t>Unreviewed</w:t>
      </w:r>
    </w:p>
    <w:p>
      <w:pPr>
        <w:pStyle w:val="ListBullet"/>
        <w:spacing w:after="40"/>
      </w:pPr>
      <w:r>
        <w:t>Reviewed</w:t>
      </w:r>
    </w:p>
    <w:p>
      <w:pPr>
        <w:pStyle w:val="ListBullet"/>
        <w:spacing w:after="40"/>
      </w:pPr>
      <w:r>
        <w:t>Approved</w:t>
      </w:r>
    </w:p>
    <w:p>
      <w:pPr>
        <w:pStyle w:val="ListBullet"/>
        <w:spacing w:after="40"/>
      </w:pPr>
      <w:r>
        <w:t>Superseded</w:t>
      </w:r>
    </w:p>
    <w:p>
      <w:r>
        <w:t>Derived AI, OCR, adjustment, transformation, or automatic QC output must never be visually indistinguishable from reviewed/approved professional work. Review state is part of the data, not merely a display badge.</w:t>
      </w:r>
    </w:p>
    <w:p>
      <w:pPr>
        <w:pStyle w:val="Heading1"/>
      </w:pPr>
      <w:r>
        <w:t>8. Coordinate Systems, Units, and Geodesy Foundation</w:t>
      </w:r>
    </w:p>
    <w:p>
      <w:pPr>
        <w:pStyle w:val="ListBullet"/>
        <w:spacing w:after="40"/>
      </w:pPr>
      <w:r>
        <w:t>Preserve original coordinate values and declared source units.</w:t>
      </w:r>
    </w:p>
    <w:p>
      <w:pPr>
        <w:pStyle w:val="ListBullet"/>
        <w:spacing w:after="40"/>
      </w:pPr>
      <w:r>
        <w:t>Support at minimum US survey feet, international feet, and meters in the shared distance framework.</w:t>
      </w:r>
    </w:p>
    <w:p>
      <w:pPr>
        <w:pStyle w:val="ListBullet"/>
        <w:spacing w:after="40"/>
      </w:pPr>
      <w:r>
        <w:t>Store CRS/datum/reference frame, epoch where applicable, horizontal units, vertical datum, geoid model, grid/ground status, and transformation history.</w:t>
      </w:r>
    </w:p>
    <w:p>
      <w:pPr>
        <w:pStyle w:val="ListBullet"/>
        <w:spacing w:after="40"/>
      </w:pPr>
      <w:r>
        <w:t>Reject or require review for incompatible/unknown CRS metadata rather than guessing.</w:t>
      </w:r>
    </w:p>
    <w:p>
      <w:pPr>
        <w:pStyle w:val="ListBullet"/>
        <w:spacing w:after="40"/>
      </w:pPr>
      <w:r>
        <w:t>Provide a shared transformation service used by all modules.</w:t>
      </w:r>
    </w:p>
    <w:p>
      <w:pPr>
        <w:pStyle w:val="ListBullet"/>
        <w:spacing w:after="40"/>
      </w:pPr>
      <w:r>
        <w:t>Keep multi-zone project ground systems and distortion visualization as planned post-foundation capabilities built on this framework.</w:t>
      </w:r>
    </w:p>
    <w:p>
      <w:pPr>
        <w:pStyle w:val="Heading1"/>
      </w:pPr>
      <w:r>
        <w:t>9. Shared COGO Core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Initial service</w:t>
            </w:r>
          </w:p>
        </w:tc>
        <w:tc>
          <w:tcPr>
            <w:tcW w:type="dxa" w:w="74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v9 requirement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Bearing / azimuth</w:t>
            </w:r>
          </w:p>
        </w:tc>
        <w:tc>
          <w:tcPr>
            <w:tcW w:type="dxa" w:w="74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Quadrant bearing ↔ azimuth conversion with validated DMS handling.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Forward coordinate</w:t>
            </w:r>
          </w:p>
        </w:tc>
        <w:tc>
          <w:tcPr>
            <w:tcW w:type="dxa" w:w="74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Start point + direction + distance → endpoint.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Inverse</w:t>
            </w:r>
          </w:p>
        </w:tc>
        <w:tc>
          <w:tcPr>
            <w:tcW w:type="dxa" w:w="74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Two points → distance and bearing/azimuth.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Units</w:t>
            </w:r>
          </w:p>
        </w:tc>
        <w:tc>
          <w:tcPr>
            <w:tcW w:type="dxa" w:w="74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Explicit conversion between supported units with source-unit preservation.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Lines / intersections</w:t>
            </w:r>
          </w:p>
        </w:tc>
        <w:tc>
          <w:tcPr>
            <w:tcW w:type="dxa" w:w="74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Line definition and line-line intersection foundation.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Offsets</w:t>
            </w:r>
          </w:p>
        </w:tc>
        <w:tc>
          <w:tcPr>
            <w:tcW w:type="dxa" w:w="74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Parallel/normal offset primitives needed by ROW/easement work.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Circular curves</w:t>
            </w:r>
          </w:p>
        </w:tc>
        <w:tc>
          <w:tcPr>
            <w:tcW w:type="dxa" w:w="74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Radius/delta/arc/chord relationships and tangent geometry with validation.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Area / perimeter</w:t>
            </w:r>
          </w:p>
        </w:tc>
        <w:tc>
          <w:tcPr>
            <w:tcW w:type="dxa" w:w="74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Polygon area and perimeter using declared coordinate units.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Closure</w:t>
            </w:r>
          </w:p>
        </w:tc>
        <w:tc>
          <w:tcPr>
            <w:tcW w:type="dxa" w:w="74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Closing vector and relative precision without modifying source record geometry.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Station/offset foundation</w:t>
            </w:r>
          </w:p>
        </w:tc>
        <w:tc>
          <w:tcPr>
            <w:tcW w:type="dxa" w:w="74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Reusable primitives for future alignment and ROW workflows.</w:t>
            </w:r>
          </w:p>
        </w:tc>
      </w:tr>
    </w:tbl>
    <w:p>
      <w:pPr>
        <w:pStyle w:val="Heading1"/>
      </w:pPr>
      <w:r>
        <w:t>10. Boundary / Cadastral Foundation</w:t>
      </w:r>
    </w:p>
    <w:p>
      <w:r>
        <w:t>Metes &amp; Bounds Plotter v17 is a seed for the Boundary module, not the final architecture. Its useful parsing, geometry, multi-tract, closure, and deed-review logic should be extracted into shared services and tested before integration into the v9 UI.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Initial adapter</w:t>
            </w:r>
          </w:p>
        </w:tc>
        <w:tc>
          <w:tcPr>
            <w:tcW w:type="dxa" w:w="74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v9 / early roadmap intent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Metes &amp; Bounds</w:t>
            </w:r>
          </w:p>
        </w:tc>
        <w:tc>
          <w:tcPr>
            <w:tcW w:type="dxa" w:w="74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Bearing-distance-curve deed calls, POC/POB, source text, closure vector, multi-tract display.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Texas Cadastral</w:t>
            </w:r>
          </w:p>
        </w:tc>
        <w:tc>
          <w:tcPr>
            <w:tcW w:type="dxa" w:w="74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Survey/grantee, abstract, block/section, league/labor, tract calls and parent-survey context.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Subdivision / Lot &amp; Block</w:t>
            </w:r>
          </w:p>
        </w:tc>
        <w:tc>
          <w:tcPr>
            <w:tcW w:type="dxa" w:w="74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Subdivision, block, lot, reserve, recorded plat references and future plat extraction.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PLSS</w:t>
            </w:r>
          </w:p>
        </w:tc>
        <w:tc>
          <w:tcPr>
            <w:tcW w:type="dxa" w:w="74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Meridian, township, range, section, aliquot and government-lot framework; authoritative geometry integration later.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ROW / Easement</w:t>
            </w:r>
          </w:p>
        </w:tc>
        <w:tc>
          <w:tcPr>
            <w:tcW w:type="dxa" w:w="74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Centerline, station-offset, strip and variable-width description framework.</w:t>
            </w:r>
          </w:p>
        </w:tc>
      </w:tr>
    </w:tbl>
    <w:p>
      <w:r>
        <w:t>The professional Boundary workflow must show record misclosure as evidence. It must not append a manufactured closing deed course simply to force a record description closed. Derived adjustment/preview geometry, when available, must be clearly labeled and kept separate from source record calls.</w:t>
      </w:r>
    </w:p>
    <w:p>
      <w:pPr>
        <w:pStyle w:val="Heading1"/>
      </w:pPr>
      <w:r>
        <w:t>11. Environments, Branding, and Feature Flags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37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252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Developer</w:t>
            </w:r>
          </w:p>
        </w:tc>
        <w:tc>
          <w:tcPr>
            <w:tcW w:type="dxa" w:w="252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Beta / Test</w:t>
            </w:r>
          </w:p>
        </w:tc>
        <w:tc>
          <w:tcPr>
            <w:tcW w:type="dxa" w:w="266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Production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6"/>
              </w:rPr>
              <w:t>Experimental modules</w:t>
            </w:r>
          </w:p>
        </w:tc>
        <w:tc>
          <w:tcPr>
            <w:tcW w:type="dxa" w:w="252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6"/>
              </w:rPr>
              <w:t>Allowed behind flags</w:t>
            </w:r>
          </w:p>
        </w:tc>
        <w:tc>
          <w:tcPr>
            <w:tcW w:type="dxa" w:w="252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6"/>
              </w:rPr>
              <w:t>Selected flags only</w:t>
            </w:r>
          </w:p>
        </w:tc>
        <w:tc>
          <w:tcPr>
            <w:tcW w:type="dxa" w:w="266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6"/>
              </w:rPr>
              <w:t>No unfinished features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6"/>
              </w:rPr>
              <w:t>Verbose diagnostics</w:t>
            </w:r>
          </w:p>
        </w:tc>
        <w:tc>
          <w:tcPr>
            <w:tcW w:type="dxa" w:w="252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6"/>
              </w:rPr>
              <w:t>Full</w:t>
            </w:r>
          </w:p>
        </w:tc>
        <w:tc>
          <w:tcPr>
            <w:tcW w:type="dxa" w:w="252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6"/>
              </w:rPr>
              <w:t>Elevated</w:t>
            </w:r>
          </w:p>
        </w:tc>
        <w:tc>
          <w:tcPr>
            <w:tcW w:type="dxa" w:w="266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6"/>
              </w:rPr>
              <w:t>Normal production logging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6"/>
              </w:rPr>
              <w:t>Branding editor</w:t>
            </w:r>
          </w:p>
        </w:tc>
        <w:tc>
          <w:tcPr>
            <w:tcW w:type="dxa" w:w="252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6"/>
              </w:rPr>
              <w:t>Available</w:t>
            </w:r>
          </w:p>
        </w:tc>
        <w:tc>
          <w:tcPr>
            <w:tcW w:type="dxa" w:w="252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6"/>
              </w:rPr>
              <w:t>Profiles selectable if permitted</w:t>
            </w:r>
          </w:p>
        </w:tc>
        <w:tc>
          <w:tcPr>
            <w:tcW w:type="dxa" w:w="266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6"/>
              </w:rPr>
              <w:t>Locked to approved profiles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6"/>
              </w:rPr>
              <w:t>Test endpoints</w:t>
            </w:r>
          </w:p>
        </w:tc>
        <w:tc>
          <w:tcPr>
            <w:tcW w:type="dxa" w:w="252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6"/>
              </w:rPr>
              <w:t>Allowed</w:t>
            </w:r>
          </w:p>
        </w:tc>
        <w:tc>
          <w:tcPr>
            <w:tcW w:type="dxa" w:w="252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6"/>
              </w:rPr>
              <w:t>Controlled</w:t>
            </w:r>
          </w:p>
        </w:tc>
        <w:tc>
          <w:tcPr>
            <w:tcW w:type="dxa" w:w="266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6"/>
              </w:rPr>
              <w:t>Production endpoints only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6"/>
              </w:rPr>
              <w:t>Mock data / schema tools</w:t>
            </w:r>
          </w:p>
        </w:tc>
        <w:tc>
          <w:tcPr>
            <w:tcW w:type="dxa" w:w="252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6"/>
              </w:rPr>
              <w:t>Available</w:t>
            </w:r>
          </w:p>
        </w:tc>
        <w:tc>
          <w:tcPr>
            <w:tcW w:type="dxa" w:w="252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6"/>
              </w:rPr>
              <w:t>Normally hidden</w:t>
            </w:r>
          </w:p>
        </w:tc>
        <w:tc>
          <w:tcPr>
            <w:tcW w:type="dxa" w:w="266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6"/>
              </w:rPr>
              <w:t>Hidden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6"/>
              </w:rPr>
              <w:t>Update channel</w:t>
            </w:r>
          </w:p>
        </w:tc>
        <w:tc>
          <w:tcPr>
            <w:tcW w:type="dxa" w:w="252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6"/>
              </w:rPr>
              <w:t>Development</w:t>
            </w:r>
          </w:p>
        </w:tc>
        <w:tc>
          <w:tcPr>
            <w:tcW w:type="dxa" w:w="252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6"/>
              </w:rPr>
              <w:t>Beta</w:t>
            </w:r>
          </w:p>
        </w:tc>
        <w:tc>
          <w:tcPr>
            <w:tcW w:type="dxa" w:w="266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6"/>
              </w:rPr>
              <w:t>Stable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6"/>
              </w:rPr>
              <w:t>Visual indicator</w:t>
            </w:r>
          </w:p>
        </w:tc>
        <w:tc>
          <w:tcPr>
            <w:tcW w:type="dxa" w:w="252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6"/>
              </w:rPr>
              <w:t>Required</w:t>
            </w:r>
          </w:p>
        </w:tc>
        <w:tc>
          <w:tcPr>
            <w:tcW w:type="dxa" w:w="252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6"/>
              </w:rPr>
              <w:t>Required</w:t>
            </w:r>
          </w:p>
        </w:tc>
        <w:tc>
          <w:tcPr>
            <w:tcW w:type="dxa" w:w="266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6"/>
              </w:rPr>
              <w:t>Normal production identity</w:t>
            </w:r>
          </w:p>
        </w:tc>
      </w:tr>
    </w:tbl>
    <w:p>
      <w:r>
        <w:t>Branding profiles must be configuration, not client-specific code. A demo profile may change logos, colors, splash screen, report headers/footers, terminology, templates, export naming, symbology, and enabled modules while preserving the actual product identity and ownership.</w:t>
      </w:r>
    </w:p>
    <w:p>
      <w:pPr>
        <w:pStyle w:val="Heading1"/>
      </w:pPr>
      <w:r>
        <w:t>12. Feedback / Bug Reporting Upgrade</w:t>
      </w:r>
    </w:p>
    <w:p>
      <w:pPr>
        <w:pStyle w:val="ListBullet"/>
        <w:spacing w:after="40"/>
      </w:pPr>
      <w:r>
        <w:t>Product</w:t>
      </w:r>
    </w:p>
    <w:p>
      <w:pPr>
        <w:pStyle w:val="ListBullet"/>
        <w:spacing w:after="40"/>
      </w:pPr>
      <w:r>
        <w:t>Version</w:t>
      </w:r>
    </w:p>
    <w:p>
      <w:pPr>
        <w:pStyle w:val="ListBullet"/>
        <w:spacing w:after="40"/>
      </w:pPr>
      <w:r>
        <w:t>Build</w:t>
      </w:r>
    </w:p>
    <w:p>
      <w:pPr>
        <w:pStyle w:val="ListBullet"/>
        <w:spacing w:after="40"/>
      </w:pPr>
      <w:r>
        <w:t>Environment</w:t>
      </w:r>
    </w:p>
    <w:p>
      <w:pPr>
        <w:pStyle w:val="ListBullet"/>
        <w:spacing w:after="40"/>
      </w:pPr>
      <w:r>
        <w:t>Release channel</w:t>
      </w:r>
    </w:p>
    <w:p>
      <w:pPr>
        <w:pStyle w:val="ListBullet"/>
        <w:spacing w:after="40"/>
      </w:pPr>
      <w:r>
        <w:t>Module</w:t>
      </w:r>
    </w:p>
    <w:p>
      <w:pPr>
        <w:pStyle w:val="ListBullet"/>
        <w:spacing w:after="40"/>
      </w:pPr>
      <w:r>
        <w:t>Branding profile</w:t>
      </w:r>
    </w:p>
    <w:p>
      <w:pPr>
        <w:pStyle w:val="ListBullet"/>
        <w:spacing w:after="40"/>
      </w:pPr>
      <w:r>
        <w:t>Operating system</w:t>
      </w:r>
    </w:p>
    <w:p>
      <w:pPr>
        <w:pStyle w:val="ListBullet"/>
        <w:spacing w:after="40"/>
      </w:pPr>
      <w:r>
        <w:t>Request type</w:t>
      </w:r>
    </w:p>
    <w:p>
      <w:pPr>
        <w:pStyle w:val="ListBullet"/>
        <w:spacing w:after="40"/>
      </w:pPr>
      <w:r>
        <w:t>Priority</w:t>
      </w:r>
    </w:p>
    <w:p>
      <w:pPr>
        <w:pStyle w:val="ListBullet"/>
        <w:spacing w:after="40"/>
      </w:pPr>
      <w:r>
        <w:t>Severity</w:t>
      </w:r>
    </w:p>
    <w:p>
      <w:pPr>
        <w:pStyle w:val="ListBullet"/>
        <w:spacing w:after="40"/>
      </w:pPr>
      <w:r>
        <w:t>Steps to reproduce</w:t>
      </w:r>
    </w:p>
    <w:p>
      <w:pPr>
        <w:pStyle w:val="ListBullet"/>
        <w:spacing w:after="40"/>
      </w:pPr>
      <w:r>
        <w:t>Expected behavior</w:t>
      </w:r>
    </w:p>
    <w:p>
      <w:pPr>
        <w:pStyle w:val="ListBullet"/>
        <w:spacing w:after="40"/>
      </w:pPr>
      <w:r>
        <w:t>Actual behavior</w:t>
      </w:r>
    </w:p>
    <w:p>
      <w:pPr>
        <w:pStyle w:val="ListBullet"/>
        <w:spacing w:after="40"/>
      </w:pPr>
      <w:r>
        <w:t>Error code / stack trace when available</w:t>
      </w:r>
    </w:p>
    <w:p>
      <w:pPr>
        <w:pStyle w:val="ListBullet"/>
        <w:spacing w:after="40"/>
      </w:pPr>
      <w:r>
        <w:t>Local report ID</w:t>
      </w:r>
    </w:p>
    <w:p>
      <w:pPr>
        <w:pStyle w:val="ListBullet"/>
        <w:spacing w:after="40"/>
      </w:pPr>
      <w:r>
        <w:t>Submission source</w:t>
      </w:r>
    </w:p>
    <w:p>
      <w:pPr>
        <w:pStyle w:val="ListBullet"/>
        <w:spacing w:after="40"/>
      </w:pPr>
      <w:r>
        <w:t>Optional diagnostic package</w:t>
      </w:r>
    </w:p>
    <w:p>
      <w:pPr>
        <w:pStyle w:val="ListBullet"/>
        <w:spacing w:after="40"/>
      </w:pPr>
      <w:r>
        <w:t>Optional user-attached survey evidence</w:t>
      </w:r>
    </w:p>
    <w:p>
      <w:r>
        <w:t>The existing Intake → Triage → Backlog workflow is retained. Raw Intake submissions are preserved. Approved development items receive their own stable ID and technical specification without rewriting the original submission.</w:t>
      </w:r>
    </w:p>
    <w:p>
      <w:pPr>
        <w:pStyle w:val="Heading1"/>
      </w:pPr>
      <w:r>
        <w:t>13. Versioning and Release Channels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8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Version pattern</w:t>
            </w:r>
          </w:p>
        </w:tc>
        <w:tc>
          <w:tcPr>
            <w:tcW w:type="dxa" w:w="72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8"/>
              </w:rPr>
              <w:t>9.0.0</w:t>
            </w:r>
          </w:p>
        </w:tc>
        <w:tc>
          <w:tcPr>
            <w:tcW w:type="dxa" w:w="72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8"/>
              </w:rPr>
              <w:t>Platform foundation major release.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8"/>
              </w:rPr>
              <w:t>9.0.1, 9.0.2, ...</w:t>
            </w:r>
          </w:p>
        </w:tc>
        <w:tc>
          <w:tcPr>
            <w:tcW w:type="dxa" w:w="72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8"/>
              </w:rPr>
              <w:t>Bug fixes, migration fixes, stabilization and small corrections.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8"/>
              </w:rPr>
              <w:t>9.1.0, 9.2.0, ...</w:t>
            </w:r>
          </w:p>
        </w:tc>
        <w:tc>
          <w:tcPr>
            <w:tcW w:type="dxa" w:w="72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8"/>
              </w:rPr>
              <w:t>Meaningful feature/module releases.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8"/>
              </w:rPr>
              <w:t>10.0.0</w:t>
            </w:r>
          </w:p>
        </w:tc>
        <w:tc>
          <w:tcPr>
            <w:tcW w:type="dxa" w:w="72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8"/>
              </w:rPr>
              <w:t>Reserved for another major architecture/product-generation change.</w:t>
            </w:r>
          </w:p>
        </w:tc>
      </w:tr>
    </w:tbl>
    <w:p>
      <w:pPr>
        <w:pStyle w:val="Heading1"/>
      </w:pPr>
      <w:r>
        <w:t>14. v9.0.0 Detailed Build Plan</w:t>
      </w:r>
    </w:p>
    <w:p>
      <w:r>
        <w:t>The following phases are the official build sequence. Tasks may run in parallel only when dependencies are satisfied. Each acceptance criterion is a release gate for its work package, not an optional suggestion.</w:t>
      </w:r>
    </w:p>
    <w:p>
      <w:pPr>
        <w:pStyle w:val="Heading2"/>
      </w:pPr>
      <w:r>
        <w:t>Phase 0 - Freeze v8 Baseline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Task ID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Work package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V9-P0-001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Archive v8.1.22 baseline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Tag/archive source, installer, updater, release metadata, QA results, and migration test fixtures.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A clean v8.1.22 package can be rebuilt/referenced; installer hash and release metadata are recorded.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V9-P0-002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Create representative v8 migration fixtures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Create copies of real-shaped projects/settings with no sensitive client data.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Fixtures cover typical FieldBook projects, themes/settings, profiles, feedback configuration, and edge cases.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V9-P0-003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Freeze v8 feature additions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No new major v8 features except critical fixes required to protect users.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All noncritical work moves to v9 backlog; v8.1.22 remains migration baseline.</w:t>
            </w:r>
          </w:p>
        </w:tc>
      </w:tr>
    </w:tbl>
    <w:p>
      <w:pPr>
        <w:pStyle w:val="Heading2"/>
      </w:pPr>
      <w:r>
        <w:t>Phase 1 - Architecture and Repository Structure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Task ID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Work package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V9-P1-001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Define package/module boundaries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Create modules for project, data, COGO, CRS, FieldBook, Boundary, Control, Utilities, GIS/CAD, QA, Reports, environment and branding.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Dependency graph is documented; modules communicate through shared interfaces rather than importing UI internals.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V9-P1-002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Define configuration hierarchy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Separate product defaults, environment config, branding/client profile, project settings, and user preferences.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A setting has a single documented source of truth and override order.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V9-P1-003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Create service interfaces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Define contracts for project store, source registry, revision service, COGO, CRS, import/export, QA, logging and reporting.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Interface tests/mocks can run without launching the desktop UI.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V9-P1-004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Establish coding/test conventions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Document error codes, structured logs, numeric tolerance rules, module naming, versioning and Definition of Done.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CI can enforce tests/linting and developers have a written contribution standard.</w:t>
            </w:r>
          </w:p>
        </w:tc>
      </w:tr>
    </w:tbl>
    <w:p>
      <w:pPr>
        <w:pStyle w:val="Heading2"/>
      </w:pPr>
      <w:r>
        <w:t>Phase 2 - Shared Project Model and Database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Task ID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Work package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V9-P2-001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Choose and implement project store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Implement local project database/package suitable for offline Windows use and safe transactions.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Create/open/save/reopen passes; transaction failure does not corrupt a known-good project.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V9-P2-002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Implement stable IDs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Assign UUID-style IDs to all canonical entities.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Renaming point numbers/files/display names does not break relationships.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V9-P2-003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Implement source registry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Store original file metadata, hashes, format, CRS metadata, import event, and immutable source reference.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Reimporting identical content is detected and user is warned/asked how to proceed.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V9-P2-004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Implement schema versioning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Store schema version and migration history.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Opening an older supported schema runs a tested migration only after backup; failed migration leaves original recoverable.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V9-P2-005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Implement project backup/recovery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Rotating autosaves/backups and startup recovery detection.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Forced termination during edit can recover recent work without replacing the last known-good backup.</w:t>
            </w:r>
          </w:p>
        </w:tc>
      </w:tr>
    </w:tbl>
    <w:p>
      <w:pPr>
        <w:pStyle w:val="Heading2"/>
      </w:pPr>
      <w:r>
        <w:t>Phase 3 - CRS and Unit Foundation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Task ID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Work package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V9-P3-001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Canonical unit service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Implement explicit unit objects/conversions and unit validation.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Golden conversion tests pass for US survey feet, international feet, meters, and supported legacy input units.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V9-P3-002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CRS metadata model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Store horizontal CRS, datum/frame, epoch, units, vertical datum/geoid, grid/ground state.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Unknown metadata remains unknown; system does not silently label coordinates as WGS84 or State Plane.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V9-P3-003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Transformation service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Create shared coordinate transform interface with provenance.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Transforms record source/target definitions, parameters/library version and produce derived coordinates without changing source values.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V9-P3-004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CRS conflict QA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Detect incompatible or incomplete CRS metadata.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Unsafe operations stop or require explicit review and produce a structured CRS error/finding.</w:t>
            </w:r>
          </w:p>
        </w:tc>
      </w:tr>
    </w:tbl>
    <w:p>
      <w:pPr>
        <w:pStyle w:val="Heading2"/>
      </w:pPr>
      <w:r>
        <w:t>Phase 4 - COGO Core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Task ID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Work package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V9-P4-001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Bearing/DMS engine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Move and harden bearing, azimuth and DMS logic.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Boundary-value tests cover quadrants, 0/90/180/270, DMS carry/rounding, invalid minutes/seconds.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V9-P4-002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Forward/inverse engine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Implement tested coordinate forward and inverse calculations.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Results match independent known-good fixtures within documented tolerances.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V9-P4-003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Line/intersection/offset primitives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Implement reusable line definitions, intersections and offsets.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Parallel/near-parallel/degenerate cases return deterministic errors instead of unstable geometry.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V9-P4-004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Curve engine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Implement circular-curve relationships and tangent/chord geometry.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Radius/delta/arc/chord fixtures agree with independent calculations; inconsistent redundant inputs produce review findings.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V9-P4-005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Area/closure engine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Implement area, perimeter, closing vector and relative precision.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Closure reporting never mutates source calls; known fixtures reproduce verified values.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V9-P4-006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COGO test library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Create reusable golden survey math test suite.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Tests run without UI and become mandatory CI gates.</w:t>
            </w:r>
          </w:p>
        </w:tc>
      </w:tr>
    </w:tbl>
    <w:p>
      <w:pPr>
        <w:pStyle w:val="Heading2"/>
      </w:pPr>
      <w:r>
        <w:t>Phase 5 - Application Shell and Project Workspace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Task ID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Work package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V9-P5-001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Project Home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Create new/open/recent project experience and project health summary.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User can create/open/reopen projects and see module status/warnings without entering FieldBook first.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V9-P5-002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Module navigation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Implement stable navigation for Data, Field, Control, COGO, Boundary, Topo, Utilities, GIS/CAD, QA, Reports, Tools.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Navigation does not duplicate project state; module switching preserves active project context.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V9-P5-003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Shared data tree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Provide project-level source/entity tree and selection context.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Selecting a canonical entity can be inspected by multiple modules without copied records.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V9-P5-004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Shared properties/review panel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Standardize entity details, provenance, review state, QA findings and revision information.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At least point/source/fieldbook/boundary prototype entities render from the same metadata framework.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V9-P5-005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Responsive desktop layout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Support common Windows resolutions/scaling with no clipped critical controls.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QA passes agreed desktop widths and Windows DPI/scaling tests.</w:t>
            </w:r>
          </w:p>
        </w:tc>
      </w:tr>
    </w:tbl>
    <w:p>
      <w:pPr>
        <w:pStyle w:val="Heading2"/>
      </w:pPr>
      <w:r>
        <w:t>Phase 6 - FieldBook Migration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Task ID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Work package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V9-P6-001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Extract FieldBook services from v8 UI coupling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Move parsing, pairing, status, evidence and export logic behind v9 module/service interfaces.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FieldBook automated tests run against services without launching legacy UI shell.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V9-P6-002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Migrate v8 project data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Build import/migration path from supported v8 projects/settings into v9 canonical project model.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All migration fixtures preserve source files, point IDs, reviewed edits, profiles and relevant project state.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V9-P6-003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Integrate FieldBook UI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Expose functionality under Field → FieldBook using the v9 project context.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A migrated project can be analyzed, reviewed, saved, reopened and exported in v9.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V9-P6-004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Preserve compatibility path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Maintain ability to open/import legacy .fbs or equivalent supported v8 package for a defined support window.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Unsupported legacy versions fail with a clear message and recovery guidance, not silent data loss.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V9-P6-005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Regression comparison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Compare v8.1.22 and v9 outputs on known fixtures.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Any intentional differences are documented; unintentional numeric/data regressions block release.</w:t>
            </w:r>
          </w:p>
        </w:tc>
      </w:tr>
    </w:tbl>
    <w:p>
      <w:pPr>
        <w:pStyle w:val="Heading2"/>
      </w:pPr>
      <w:r>
        <w:t>Phase 7 - Import / Export Framework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Task ID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Work package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V9-P7-001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Common importer API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Create shared importer contract for source registration, schema mapping, CRS/units, warnings and provenance.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At least CSV/PNEZD and existing FieldBook source types use the common contract.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V9-P7-002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Spatial format adapters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Integrate GeoJSON, GPKG, SHP, KML/KMZ and DXF according to capability matrix.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Round-trip tests verify supported schema/geometry behavior; unsupported features are reported explicitly.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V9-P7-003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Optional conversion bridges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Retain optional Global Mapper/native bridges without making core workflows depend on them.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Application works without bridge installed; bridge availability is detected and logged.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V9-P7-004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Export history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Record output file, checksum, module, project revision and timestamp.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Each generated deliverable can be traced to the producing project revision.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V9-P7-005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Duplicate-source protection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Hash imported files and detect identical content.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Duplicate import does not silently create duplicate observations/entities.</w:t>
            </w:r>
          </w:p>
        </w:tc>
      </w:tr>
    </w:tbl>
    <w:p>
      <w:pPr>
        <w:pStyle w:val="Heading2"/>
      </w:pPr>
      <w:r>
        <w:t>Phase 8 - Revision, Audit, QA, and Logging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Task ID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Work package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V9-P8-001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Revision service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Implement immutable revision records and parent relationships.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Editing derived data creates new revision; rollback creates a new revision rather than deleting history.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V9-P8-002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Review states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Implement Unreviewed/Reviewed/Approved/Superseded state model.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State transitions are logged and derived AI/automatic output cannot silently appear Approved.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V9-P8-003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Common QA finding model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Implement code/severity/module/entity/evidence/status/resolution.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Findings from CRS, FieldBook and Boundary prototypes appear in one project QA view.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V9-P8-004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Structured logging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Implement category, timestamp, operation ID, project ID where safe, severity and error code.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A single failed import/update/calculation can be traced end-to-end from logs.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V9-P8-005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Error-code catalog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Establish APP/PROJECT/UPDATE/FIELD/BOUNDARY/COGO/CONTROL/CRS/IMPORT/EXPORT/AI/REPORT namespaces.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User-facing failures include actionable codes that map to structured logs.</w:t>
            </w:r>
          </w:p>
        </w:tc>
      </w:tr>
    </w:tbl>
    <w:p>
      <w:pPr>
        <w:pStyle w:val="Heading2"/>
      </w:pPr>
      <w:r>
        <w:t>Phase 9 - Developer / Beta / Production Platform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Task ID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Work package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V9-P9-001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Environment manager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Implement explicit Development, Beta, Production runtime modes.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Environment is visible, logged, and controls update channel/endpoints/diagnostics as designed.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V9-P9-002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Feature flags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Implement named feature flags with environment/default rules.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Experimental modules can be enabled for testers without separate code branches.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V9-P9-003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Branding manager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Create data-driven branding profiles with preview.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Logo/theme/report presentation changes without modifying core code; product ownership identity remains distinct.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V9-P9-004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Configuration isolation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Separate environment-specific settings/logs/cache/test resources from Production where practical.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Developer testing cannot silently replace Production configuration or publish to Stable endpoints.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V9-P9-005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Demo profile indicator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Show clear banner/status for client demo profiles.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Screenshots and reports can identify demo context without implying client ownership.</w:t>
            </w:r>
          </w:p>
        </w:tc>
      </w:tr>
    </w:tbl>
    <w:p>
      <w:pPr>
        <w:pStyle w:val="Heading2"/>
      </w:pPr>
      <w:r>
        <w:t>Phase 10 - Feedback and Support Infrastructure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Task ID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Work package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V9-P10-001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Extend feedback schema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Add product/build/environment/channel/module/branding/error metadata.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New v9 submission reaches Intake with required diagnostic metadata.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V9-P10-002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Preserve v8 intake compatibility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Keep endpoint able to accept supported FieldBook Sync v8 reports.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v8.1.22 test report and v9 report both arrive without corrupting schema.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V9-P10-003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Branch wizard by request type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Use bug-oriented vs feature-oriented questions.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Bug request captures repro/expected/actual; feature request captures goal/current workflow/ideal workflow/module.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V9-P10-004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Diagnostic support package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Bundle selected logs/build metadata with explicit user opt-in and exclusion of survey data by default.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Package contains diagnostics only unless user explicitly attaches project evidence.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V9-P10-005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Backlog linkage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Link Intake ID to official development item ID without editing original raw submission.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Original request remains preserved and development status can be tracked independently.</w:t>
            </w:r>
          </w:p>
        </w:tc>
      </w:tr>
    </w:tbl>
    <w:p>
      <w:pPr>
        <w:pStyle w:val="Heading2"/>
      </w:pPr>
      <w:r>
        <w:t>Phase 11 - Boundary Seed Integration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Task ID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Work package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V9-P11-001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Extract Metes &amp; Bounds v17 geometry/parser logic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Separate parsing/COGO logic from standalone HTML UI and cover with tests.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Known v17 deed fixtures reproduce equivalent calls/geometry or documented corrections.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V9-P11-002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Replace Force Close with closure-vector workflow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Remove manufactured source closing call from professional workflow.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Closure vector can be displayed/exported without modifying record calls.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V9-P11-003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Boundary source provenance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Store deed source text/page/candidate/confidence/review link to each interpreted call.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Every derived call can be traced to source evidence and review state.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V9-P11-004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Cadastral adapter interface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Define adapter contract for Metes &amp; Bounds, Texas, Subdivision, PLSS, ROW/Easement.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Adding a new adapter does not require changing shared COGO math.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V9-P11-005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Multi-tract project integration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Represent subject/adjoining/reference tracts as canonical project entities.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Multiple tracts can display together while retaining separate source/revision histories.</w:t>
            </w:r>
          </w:p>
        </w:tc>
      </w:tr>
    </w:tbl>
    <w:p>
      <w:pPr>
        <w:pStyle w:val="Heading2"/>
      </w:pPr>
      <w:r>
        <w:t>Phase 12 - Migration and Recovery Validation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Task ID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Work package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V9-P12-001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Batch migration tests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Run all v8 fixtures through v9 migration repeatedly.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Migration is deterministic; source hashes/IDs and expected state survive.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V9-P12-002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Failure injection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Test interrupted migration, disk/write error, malformed project, missing source and incompatible schema.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Original project remains recoverable and user receives actionable error.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V9-P12-003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Backup/restore drills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Verify automated backup and manual restore scenarios.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Tester can restore last known-good project from UI/documented workflow.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V9-P12-004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Downgrade behavior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Define what happens if v9 project is opened by v8 or older v9 build.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Old builds cannot silently corrupt newer project data; compatibility message is explicit.</w:t>
            </w:r>
          </w:p>
        </w:tc>
      </w:tr>
    </w:tbl>
    <w:p>
      <w:pPr>
        <w:pStyle w:val="Heading2"/>
      </w:pPr>
      <w:r>
        <w:t>Phase 13 - Beta Validation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Task ID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Work package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V9-P13-001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Internal beta deployment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Publish v9 Beta through beta channel to CP/Ron test systems.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Installer/update works and environment is visibly Beta.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V9-P13-002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Real workflow testing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Run actual-shaped FieldBook and Boundary workflows plus imports/exports.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All blocking defects are logged through feedback system and triaged.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V9-P13-003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Performance and memory check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Test large field books, many points, multiple tracts/sources and long sessions.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No known unbounded memory growth, UI deadlock, or unacceptable startup/save regression.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V9-P13-004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DPI/resolution/accessibility pass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Test common display scaling, keyboard operation and readable status/error states.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Critical controls remain usable and error/warning states are discernible.</w:t>
            </w:r>
          </w:p>
        </w:tc>
      </w:tr>
    </w:tbl>
    <w:p>
      <w:pPr>
        <w:pStyle w:val="Heading2"/>
      </w:pPr>
      <w:r>
        <w:t>Phase 14 - Release Candidate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Task ID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Work package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V9-P14-001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Feature freeze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Stop feature additions; only defect, migration, packaging and documentation changes.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RC branch/build contains no unapproved scope expansion.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V9-P14-002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Full regression suite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Run unit, integration, golden survey math, migration, import/export and updater tests.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All release-blocking tests pass; waivers require documented decision.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V9-P14-003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Installer/update validation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Test clean install, v8→v9 upgrade, v9 RC patch update, uninstall/reinstall and rollback/recovery behavior.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No manual file copying required; updater verifies payload and relaunches correctly.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V9-P14-004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Release documentation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Finalize migration notes, known issues, privacy/diagnostic behavior, module status and release notes.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Documentation accurately distinguishes foundation/beta/unfinished features.</w:t>
            </w:r>
          </w:p>
        </w:tc>
      </w:tr>
    </w:tbl>
    <w:p>
      <w:pPr>
        <w:pStyle w:val="Heading2"/>
      </w:pPr>
      <w:r>
        <w:t>Phase 15 - v9.0.0 Production Release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Task ID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Work package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V9-P15-001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Publish Stable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Publish signed/verified production installer and update manifest through Stable channel.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Public asset, hash, manifest and version all match verified release candidate.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V9-P15-002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Verify production telemetry/feedback path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Submit controlled production feedback and inspect logs/Intake.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Report identifies v9.0.0, Production, Stable and correct module/profile metadata.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V9-P15-003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Migration smoke test from final v8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Perform one final real upgrade from v8.1.22 to production v9.0.0.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Project migration, app launch, FieldBook workflow and updater history all succeed.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V9-P15-004</w:t>
            </w:r>
          </w:p>
        </w:tc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Begin stabilization window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Freeze major features immediately after release and triage production defects.</w:t>
            </w:r>
          </w:p>
        </w:tc>
        <w:tc>
          <w:tcPr>
            <w:tcW w:type="dxa" w:w="36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9.0.x backlog is prioritized by data-loss/migration/crash/math correctness first.</w:t>
            </w:r>
          </w:p>
        </w:tc>
      </w:tr>
    </w:tbl>
    <w:p>
      <w:pPr>
        <w:pStyle w:val="Heading1"/>
      </w:pPr>
      <w:r>
        <w:t>15. v9.0.0 Production Release Gates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Gate</w:t>
            </w:r>
          </w:p>
        </w:tc>
        <w:tc>
          <w:tcPr>
            <w:tcW w:type="dxa" w:w="78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Required condition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Data integrity</w:t>
            </w:r>
          </w:p>
        </w:tc>
        <w:tc>
          <w:tcPr>
            <w:tcW w:type="dxa" w:w="78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No known defect that silently loses, overwrites, or misidentifies source survey evidence.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Migration</w:t>
            </w:r>
          </w:p>
        </w:tc>
        <w:tc>
          <w:tcPr>
            <w:tcW w:type="dxa" w:w="78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All supported v8 fixtures migrate with verified source and review data preservation.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COGO correctness</w:t>
            </w:r>
          </w:p>
        </w:tc>
        <w:tc>
          <w:tcPr>
            <w:tcW w:type="dxa" w:w="78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Golden-result COGO tests pass within documented tolerances.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CRS safety</w:t>
            </w:r>
          </w:p>
        </w:tc>
        <w:tc>
          <w:tcPr>
            <w:tcW w:type="dxa" w:w="78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Unknown/incompatible CRS metadata is not silently transformed or relabeled.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FieldBook regression</w:t>
            </w:r>
          </w:p>
        </w:tc>
        <w:tc>
          <w:tcPr>
            <w:tcW w:type="dxa" w:w="78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Critical v8.1.22 workflows remain functional or have documented replacement behavior.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Environment isolation</w:t>
            </w:r>
          </w:p>
        </w:tc>
        <w:tc>
          <w:tcPr>
            <w:tcW w:type="dxa" w:w="78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Production build exposes no unrestricted Developer controls and uses Stable endpoints/channel.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Updater</w:t>
            </w:r>
          </w:p>
        </w:tc>
        <w:tc>
          <w:tcPr>
            <w:tcW w:type="dxa" w:w="78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v8.1.22 → v9.0.0 and v9 RC → later build updater paths are proven.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Recovery</w:t>
            </w:r>
          </w:p>
        </w:tc>
        <w:tc>
          <w:tcPr>
            <w:tcW w:type="dxa" w:w="78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Crash/failed migration/backups have tested recovery path.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Feedback</w:t>
            </w:r>
          </w:p>
        </w:tc>
        <w:tc>
          <w:tcPr>
            <w:tcW w:type="dxa" w:w="78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Production feedback reaches Intake with v9 diagnostic metadata and no automatic survey data upload.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Windows validation</w:t>
            </w:r>
          </w:p>
        </w:tc>
        <w:tc>
          <w:tcPr>
            <w:tcW w:type="dxa" w:w="78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Clean install, update, app launch, save/reopen, and uninstall verified on real Windows systems.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Known issues</w:t>
            </w:r>
          </w:p>
        </w:tc>
        <w:tc>
          <w:tcPr>
            <w:tcW w:type="dxa" w:w="78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Any nonblocking known issue is documented with workaround/risk.</w:t>
            </w:r>
          </w:p>
        </w:tc>
      </w:tr>
    </w:tbl>
    <w:p>
      <w:pPr>
        <w:pStyle w:val="Heading1"/>
      </w:pPr>
      <w:r>
        <w:t>16. Immediate Post-Release Stabilization</w:t>
      </w:r>
    </w:p>
    <w:p>
      <w:r>
        <w:t>The first releases after 9.0.0 should be stabilization releases, not another platform rewrite. 9.0.x prioritizes data safety and operational defects before new modules.</w:t>
      </w:r>
    </w:p>
    <w:p>
      <w:pPr>
        <w:pStyle w:val="ListBullet"/>
        <w:spacing w:after="40"/>
      </w:pPr>
      <w:r>
        <w:t>Data loss, corruption, or migration failures - highest priority.</w:t>
      </w:r>
    </w:p>
    <w:p>
      <w:pPr>
        <w:pStyle w:val="ListBullet"/>
        <w:spacing w:after="40"/>
      </w:pPr>
      <w:r>
        <w:t>Incorrect survey math or coordinate-system handling - highest priority.</w:t>
      </w:r>
    </w:p>
    <w:p>
      <w:pPr>
        <w:pStyle w:val="ListBullet"/>
        <w:spacing w:after="40"/>
      </w:pPr>
      <w:r>
        <w:t>Crash/deadlock/startup/update failures - high priority.</w:t>
      </w:r>
    </w:p>
    <w:p>
      <w:pPr>
        <w:pStyle w:val="ListBullet"/>
        <w:spacing w:after="40"/>
      </w:pPr>
      <w:r>
        <w:t>Import/export schema loss or wrong units/CRS - high priority.</w:t>
      </w:r>
    </w:p>
    <w:p>
      <w:pPr>
        <w:pStyle w:val="ListBullet"/>
        <w:spacing w:after="40"/>
      </w:pPr>
      <w:r>
        <w:t>FieldBook regressions - high priority.</w:t>
      </w:r>
    </w:p>
    <w:p>
      <w:pPr>
        <w:pStyle w:val="ListBullet"/>
        <w:spacing w:after="40"/>
      </w:pPr>
      <w:r>
        <w:t>Usability, theme, branding, and cosmetic issues - normal priority unless blocking.</w:t>
      </w:r>
    </w:p>
    <w:p>
      <w:pPr>
        <w:pStyle w:val="ListBullet"/>
        <w:spacing w:after="40"/>
      </w:pPr>
      <w:r>
        <w:t>New feature requests - triaged for 9.1+ unless they are essential foundation corrections.</w:t>
      </w:r>
    </w:p>
    <w:p>
      <w:pPr>
        <w:pStyle w:val="Heading1"/>
      </w:pPr>
      <w:r>
        <w:t>17. Post-v9 Feature Roadmap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4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Target</w:t>
            </w:r>
          </w:p>
        </w:tc>
        <w:tc>
          <w:tcPr>
            <w:tcW w:type="dxa" w:w="76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Primary scope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9.1 - Boundary + COGO</w:t>
            </w:r>
          </w:p>
        </w:tc>
        <w:tc>
          <w:tcPr>
            <w:tcW w:type="dxa" w:w="76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Professional deed workspace, closure-vector QC, monuments, adjoining records, record-vs-survey comparison, Texas cadastral framework, subdivision/lot-block, PLSS framework, ROW/easement descriptions.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9.2 - Control + Traverse + Leveling</w:t>
            </w:r>
          </w:p>
        </w:tc>
        <w:tc>
          <w:tcPr>
            <w:tcW w:type="dxa" w:w="76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Control-point workflows, GNSS/OPUS/VRS provenance, averaging, closed/constrained traverse, closure reports, approved adjustment methods, three-wire/differential leveling, loop QC, audit history.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9.3 - Geodesy / Project Ground Systems</w:t>
            </w:r>
          </w:p>
        </w:tc>
        <w:tc>
          <w:tcPr>
            <w:tcW w:type="dxa" w:w="76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Multi-zone project systems, grid-to-ground, combined factors, localization, vertical systems, geoid metadata, distortion visualization and transformation reports.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9.4 - Topo / Surface</w:t>
            </w:r>
          </w:p>
        </w:tc>
        <w:tc>
          <w:tcPr>
            <w:tcW w:type="dxa" w:w="76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Feature coding, breaklines, TIN, contours, profiles, cross sections, slope, cut/fill, elevation QC and field-to-finish.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9.5 - Utilities / Sewer Expansion</w:t>
            </w:r>
          </w:p>
        </w:tc>
        <w:tc>
          <w:tcPr>
            <w:tcW w:type="dxa" w:w="76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Structures, pipes, inverts, grades, photos, GIS comparison, CNA/CNL, KMZ completion maps, field-book annotations and crew outstanding-work packages.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9.6 - Field / Crew Prep</w:t>
            </w:r>
          </w:p>
        </w:tc>
        <w:tc>
          <w:tcPr>
            <w:tcW w:type="dxa" w:w="76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Stakeout packages, point-range allocation, alignments, station-offset, cut/fill, KMZ/PDF crew packages, collector exports and cloud synchronization.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9.7 - Reports / Deliverables</w:t>
            </w:r>
          </w:p>
        </w:tc>
        <w:tc>
          <w:tcPr>
            <w:tcW w:type="dxa" w:w="76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Survey/control/boundary reports, annotated field books, exhibits, map books, legal-description drafts, revision summaries and signature/seal review areas.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9.8+ - Specialized capabilities</w:t>
            </w:r>
          </w:p>
        </w:tc>
        <w:tc>
          <w:tcPr>
            <w:tcW w:type="dxa" w:w="76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Point clouds, LAS/LAZ, drone handoff, advanced PLSS/historic cadastral systems, condominiums/vertical rights, railroad workflows, collaboration/cloud projects, more vendor integrations, plugin SDK.</w:t>
            </w:r>
          </w:p>
        </w:tc>
      </w:tr>
    </w:tbl>
    <w:p>
      <w:pPr>
        <w:pStyle w:val="Heading1"/>
      </w:pPr>
      <w:r>
        <w:t>18. Permanent Development Workflow</w:t>
      </w:r>
    </w:p>
    <w:p>
      <w:r>
        <w:t>All future work should move through the same controlled lifecycle:</w:t>
      </w:r>
    </w:p>
    <w:p>
      <w:pPr>
        <w:pStyle w:val="Callout"/>
        <w:jc w:val="center"/>
      </w:pPr>
      <w:r>
        <w:t>Submission → Intake → Triage → Backlog → Specification → Development → Automated QA → Survey Validation → Beta → Approval → Stable Release → Monitor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79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Rule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Submission</w:t>
            </w:r>
          </w:p>
        </w:tc>
        <w:tc>
          <w:tcPr>
            <w:tcW w:type="dxa" w:w="79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Preserve the original request exactly as submitted.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Triage</w:t>
            </w:r>
          </w:p>
        </w:tc>
        <w:tc>
          <w:tcPr>
            <w:tcW w:type="dxa" w:w="79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Classify module, severity/priority, duplicate/related work, needed information and risk.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Backlog</w:t>
            </w:r>
          </w:p>
        </w:tc>
        <w:tc>
          <w:tcPr>
            <w:tcW w:type="dxa" w:w="79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Create stable development ID and target release; link original Intake ID.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Specification</w:t>
            </w:r>
          </w:p>
        </w:tc>
        <w:tc>
          <w:tcPr>
            <w:tcW w:type="dxa" w:w="79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Define inputs, outputs, units, CRS assumptions, validation, errors, provenance, UI, tests and migration impact.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Development</w:t>
            </w:r>
          </w:p>
        </w:tc>
        <w:tc>
          <w:tcPr>
            <w:tcW w:type="dxa" w:w="79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Implement behind feature flag when incomplete; do not bypass shared services.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Automated QA</w:t>
            </w:r>
          </w:p>
        </w:tc>
        <w:tc>
          <w:tcPr>
            <w:tcW w:type="dxa" w:w="79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Unit/integration/regression tests plus survey golden-result tests where applicable.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Survey validation</w:t>
            </w:r>
          </w:p>
        </w:tc>
        <w:tc>
          <w:tcPr>
            <w:tcW w:type="dxa" w:w="79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Compare against independent known-good calculations/workflows and real-shaped examples.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Beta</w:t>
            </w:r>
          </w:p>
        </w:tc>
        <w:tc>
          <w:tcPr>
            <w:tcW w:type="dxa" w:w="79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Selected testers use Beta channel; feedback is captured with build/environment metadata.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Approval</w:t>
            </w:r>
          </w:p>
        </w:tc>
        <w:tc>
          <w:tcPr>
            <w:tcW w:type="dxa" w:w="79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Feature meets Definition of Done and release criteria.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Stable</w:t>
            </w:r>
          </w:p>
        </w:tc>
        <w:tc>
          <w:tcPr>
            <w:tcW w:type="dxa" w:w="79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Publish through verified updater/release process.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Monitor</w:t>
            </w:r>
          </w:p>
        </w:tc>
        <w:tc>
          <w:tcPr>
            <w:tcW w:type="dxa" w:w="799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Review logs, feedback, regressions and field experience; create patch or next-feature backlog items.</w:t>
            </w:r>
          </w:p>
        </w:tc>
      </w:tr>
    </w:tbl>
    <w:p>
      <w:pPr>
        <w:pStyle w:val="Heading1"/>
      </w:pPr>
      <w:r>
        <w:t>19. Definition of Done for Every Feature</w:t>
      </w:r>
    </w:p>
    <w:p>
      <w:pPr>
        <w:pStyle w:val="ListBullet"/>
        <w:spacing w:after="40"/>
      </w:pPr>
      <w:r>
        <w:t>Functional requirements and user workflow are documented.</w:t>
      </w:r>
    </w:p>
    <w:p>
      <w:pPr>
        <w:pStyle w:val="ListBullet"/>
        <w:spacing w:after="40"/>
      </w:pPr>
      <w:r>
        <w:t>Input/output data model is defined and uses canonical project entities where appropriate.</w:t>
      </w:r>
    </w:p>
    <w:p>
      <w:pPr>
        <w:pStyle w:val="ListBullet"/>
        <w:spacing w:after="40"/>
      </w:pPr>
      <w:r>
        <w:t>Units and CRS assumptions are explicit and tested.</w:t>
      </w:r>
    </w:p>
    <w:p>
      <w:pPr>
        <w:pStyle w:val="ListBullet"/>
        <w:spacing w:after="40"/>
      </w:pPr>
      <w:r>
        <w:t>Original source evidence is preserved; derived data has provenance.</w:t>
      </w:r>
    </w:p>
    <w:p>
      <w:pPr>
        <w:pStyle w:val="ListBullet"/>
        <w:spacing w:after="40"/>
      </w:pPr>
      <w:r>
        <w:t>Validation and failure behavior are defined; no silent correction of professional survey decisions.</w:t>
      </w:r>
    </w:p>
    <w:p>
      <w:pPr>
        <w:pStyle w:val="ListBullet"/>
        <w:spacing w:after="40"/>
      </w:pPr>
      <w:r>
        <w:t>Error codes and structured logging are implemented for meaningful failures.</w:t>
      </w:r>
    </w:p>
    <w:p>
      <w:pPr>
        <w:pStyle w:val="ListBullet"/>
        <w:spacing w:after="40"/>
      </w:pPr>
      <w:r>
        <w:t>Automated tests exist, including numeric golden-result tests where survey math is involved.</w:t>
      </w:r>
    </w:p>
    <w:p>
      <w:pPr>
        <w:pStyle w:val="ListBullet"/>
        <w:spacing w:after="40"/>
      </w:pPr>
      <w:r>
        <w:t>Import/export and schema effects are tested where applicable.</w:t>
      </w:r>
    </w:p>
    <w:p>
      <w:pPr>
        <w:pStyle w:val="ListBullet"/>
        <w:spacing w:after="40"/>
      </w:pPr>
      <w:r>
        <w:t>Migration/backward-compatibility impact is reviewed.</w:t>
      </w:r>
    </w:p>
    <w:p>
      <w:pPr>
        <w:pStyle w:val="ListBullet"/>
        <w:spacing w:after="40"/>
      </w:pPr>
      <w:r>
        <w:t>Feature flag/environment behavior is defined.</w:t>
      </w:r>
    </w:p>
    <w:p>
      <w:pPr>
        <w:pStyle w:val="ListBullet"/>
        <w:spacing w:after="40"/>
      </w:pPr>
      <w:r>
        <w:t>Feedback metadata identifies the module/feature when possible.</w:t>
      </w:r>
    </w:p>
    <w:p>
      <w:pPr>
        <w:pStyle w:val="ListBullet"/>
        <w:spacing w:after="40"/>
      </w:pPr>
      <w:r>
        <w:t>User-facing documentation/release notes are updated.</w:t>
      </w:r>
    </w:p>
    <w:p>
      <w:pPr>
        <w:pStyle w:val="ListBullet"/>
        <w:spacing w:after="40"/>
      </w:pPr>
      <w:r>
        <w:t>Beta validation completed for significant features.</w:t>
      </w:r>
    </w:p>
    <w:p>
      <w:pPr>
        <w:pStyle w:val="ListBullet"/>
        <w:spacing w:after="40"/>
      </w:pPr>
      <w:r>
        <w:t>No unresolved release-blocking defect remains.</w:t>
      </w:r>
    </w:p>
    <w:p>
      <w:pPr>
        <w:pStyle w:val="Heading1"/>
      </w:pPr>
      <w:r>
        <w:t>20. Initial Risk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6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18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Risk</w:t>
            </w:r>
          </w:p>
        </w:tc>
        <w:tc>
          <w:tcPr>
            <w:tcW w:type="dxa" w:w="10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Severity</w:t>
            </w:r>
          </w:p>
        </w:tc>
        <w:tc>
          <w:tcPr>
            <w:tcW w:type="dxa" w:w="324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Failure mode</w:t>
            </w:r>
          </w:p>
        </w:tc>
        <w:tc>
          <w:tcPr>
            <w:tcW w:type="dxa" w:w="331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Mitigation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R1</w:t>
            </w:r>
          </w:p>
        </w:tc>
        <w:tc>
          <w:tcPr>
            <w:tcW w:type="dxa" w:w="18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Scope creep</w:t>
            </w:r>
          </w:p>
        </w:tc>
        <w:tc>
          <w:tcPr>
            <w:tcW w:type="dxa" w:w="10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type="dxa" w:w="324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Trying to finish every survey module before v9.0.</w:t>
            </w:r>
          </w:p>
        </w:tc>
        <w:tc>
          <w:tcPr>
            <w:tcW w:type="dxa" w:w="331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Enforce foundation scope and move mature features to 9.1+.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R2</w:t>
            </w:r>
          </w:p>
        </w:tc>
        <w:tc>
          <w:tcPr>
            <w:tcW w:type="dxa" w:w="18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Migration data loss</w:t>
            </w:r>
          </w:p>
        </w:tc>
        <w:tc>
          <w:tcPr>
            <w:tcW w:type="dxa" w:w="10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Critical</w:t>
            </w:r>
          </w:p>
        </w:tc>
        <w:tc>
          <w:tcPr>
            <w:tcW w:type="dxa" w:w="324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Legacy FieldBook projects/settings fail or partially migrate.</w:t>
            </w:r>
          </w:p>
        </w:tc>
        <w:tc>
          <w:tcPr>
            <w:tcW w:type="dxa" w:w="331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Fixtures, pre-migration backup, deterministic migrations, failure injection.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R3</w:t>
            </w:r>
          </w:p>
        </w:tc>
        <w:tc>
          <w:tcPr>
            <w:tcW w:type="dxa" w:w="18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Duplicated data models</w:t>
            </w:r>
          </w:p>
        </w:tc>
        <w:tc>
          <w:tcPr>
            <w:tcW w:type="dxa" w:w="10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type="dxa" w:w="324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Modules create separate point/control/source copies.</w:t>
            </w:r>
          </w:p>
        </w:tc>
        <w:tc>
          <w:tcPr>
            <w:tcW w:type="dxa" w:w="331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Canonical entities and module service contracts.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R4</w:t>
            </w:r>
          </w:p>
        </w:tc>
        <w:tc>
          <w:tcPr>
            <w:tcW w:type="dxa" w:w="18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Hidden survey corrections</w:t>
            </w:r>
          </w:p>
        </w:tc>
        <w:tc>
          <w:tcPr>
            <w:tcW w:type="dxa" w:w="10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Critical</w:t>
            </w:r>
          </w:p>
        </w:tc>
        <w:tc>
          <w:tcPr>
            <w:tcW w:type="dxa" w:w="324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Automation changes evidence or record geometry silently.</w:t>
            </w:r>
          </w:p>
        </w:tc>
        <w:tc>
          <w:tcPr>
            <w:tcW w:type="dxa" w:w="331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Immutable source rule, provenance, review states, QA findings.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R5</w:t>
            </w:r>
          </w:p>
        </w:tc>
        <w:tc>
          <w:tcPr>
            <w:tcW w:type="dxa" w:w="18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CRS/unit ambiguity</w:t>
            </w:r>
          </w:p>
        </w:tc>
        <w:tc>
          <w:tcPr>
            <w:tcW w:type="dxa" w:w="10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Critical</w:t>
            </w:r>
          </w:p>
        </w:tc>
        <w:tc>
          <w:tcPr>
            <w:tcW w:type="dxa" w:w="324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Wrong coordinates due to guessed units/datum/frame/grid-ground status.</w:t>
            </w:r>
          </w:p>
        </w:tc>
        <w:tc>
          <w:tcPr>
            <w:tcW w:type="dxa" w:w="331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First-class CRS/units metadata; stop/review on missing incompatibilities.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R6</w:t>
            </w:r>
          </w:p>
        </w:tc>
        <w:tc>
          <w:tcPr>
            <w:tcW w:type="dxa" w:w="18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Developer/production crossover</w:t>
            </w:r>
          </w:p>
        </w:tc>
        <w:tc>
          <w:tcPr>
            <w:tcW w:type="dxa" w:w="10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type="dxa" w:w="324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Test endpoints/settings/releases affect Production.</w:t>
            </w:r>
          </w:p>
        </w:tc>
        <w:tc>
          <w:tcPr>
            <w:tcW w:type="dxa" w:w="331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Environment isolation, visual indicators, channel enforcement.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R7</w:t>
            </w:r>
          </w:p>
        </w:tc>
        <w:tc>
          <w:tcPr>
            <w:tcW w:type="dxa" w:w="18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Branding confusion</w:t>
            </w:r>
          </w:p>
        </w:tc>
        <w:tc>
          <w:tcPr>
            <w:tcW w:type="dxa" w:w="10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Medium</w:t>
            </w:r>
          </w:p>
        </w:tc>
        <w:tc>
          <w:tcPr>
            <w:tcW w:type="dxa" w:w="324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Client demo theme appears to imply product ownership.</w:t>
            </w:r>
          </w:p>
        </w:tc>
        <w:tc>
          <w:tcPr>
            <w:tcW w:type="dxa" w:w="331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Separate product identity and client branding; show Demo Profile indicator.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R8</w:t>
            </w:r>
          </w:p>
        </w:tc>
        <w:tc>
          <w:tcPr>
            <w:tcW w:type="dxa" w:w="18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UI-driven math</w:t>
            </w:r>
          </w:p>
        </w:tc>
        <w:tc>
          <w:tcPr>
            <w:tcW w:type="dxa" w:w="10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type="dxa" w:w="324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Survey calculations become duplicated and untestable inside screens.</w:t>
            </w:r>
          </w:p>
        </w:tc>
        <w:tc>
          <w:tcPr>
            <w:tcW w:type="dxa" w:w="331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Shared engine rule and service-level tests.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R9</w:t>
            </w:r>
          </w:p>
        </w:tc>
        <w:tc>
          <w:tcPr>
            <w:tcW w:type="dxa" w:w="18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Updater regression</w:t>
            </w:r>
          </w:p>
        </w:tc>
        <w:tc>
          <w:tcPr>
            <w:tcW w:type="dxa" w:w="10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High</w:t>
            </w:r>
          </w:p>
        </w:tc>
        <w:tc>
          <w:tcPr>
            <w:tcW w:type="dxa" w:w="324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Major rename/restructure breaks update path.</w:t>
            </w:r>
          </w:p>
        </w:tc>
        <w:tc>
          <w:tcPr>
            <w:tcW w:type="dxa" w:w="331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Keep updater architecture stable, test v8→v9 and v9 patch before Stable.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R10</w:t>
            </w:r>
          </w:p>
        </w:tc>
        <w:tc>
          <w:tcPr>
            <w:tcW w:type="dxa" w:w="18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Over-engineering</w:t>
            </w:r>
          </w:p>
        </w:tc>
        <w:tc>
          <w:tcPr>
            <w:tcW w:type="dxa" w:w="10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Medium</w:t>
            </w:r>
          </w:p>
        </w:tc>
        <w:tc>
          <w:tcPr>
            <w:tcW w:type="dxa" w:w="324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Framework work delays useful workflows indefinitely.</w:t>
            </w:r>
          </w:p>
        </w:tc>
        <w:tc>
          <w:tcPr>
            <w:tcW w:type="dxa" w:w="331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5"/>
              </w:rPr>
              <w:t>Modular monolith, implement only needed extension points, vertical feature releases after foundation.</w:t>
            </w:r>
          </w:p>
        </w:tc>
      </w:tr>
    </w:tbl>
    <w:p>
      <w:pPr>
        <w:pStyle w:val="Heading1"/>
      </w:pPr>
      <w:r>
        <w:t>21. Decisions Locked for v9 Planning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885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Locked direction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D-001</w:t>
            </w:r>
          </w:p>
        </w:tc>
        <w:tc>
          <w:tcPr>
            <w:tcW w:type="dxa" w:w="885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v8.1.22 is the final known-good standalone v8 baseline for migration testing.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D-002</w:t>
            </w:r>
          </w:p>
        </w:tc>
        <w:tc>
          <w:tcPr>
            <w:tcW w:type="dxa" w:w="885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Permanent product name remains TBD; architecture/IDs should not require another code rewrite when branding is chosen.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D-003</w:t>
            </w:r>
          </w:p>
        </w:tc>
        <w:tc>
          <w:tcPr>
            <w:tcW w:type="dxa" w:w="885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FieldBook becomes a module inside the full platform rather than the whole product.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D-004</w:t>
            </w:r>
          </w:p>
        </w:tc>
        <w:tc>
          <w:tcPr>
            <w:tcW w:type="dxa" w:w="885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Metes &amp; Bounds Plotter v17 is a seed for Boundary; useful logic will be extracted, tested, and integrated rather than simply embedded as-is.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D-005</w:t>
            </w:r>
          </w:p>
        </w:tc>
        <w:tc>
          <w:tcPr>
            <w:tcW w:type="dxa" w:w="885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The professional Boundary workflow will show closure error/vector without forcing source record geometry closed.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D-006</w:t>
            </w:r>
          </w:p>
        </w:tc>
        <w:tc>
          <w:tcPr>
            <w:tcW w:type="dxa" w:w="885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Initial cadastral adapter targets: Metes &amp; Bounds, Texas Cadastral, Subdivision/Lot &amp; Block, PLSS, and ROW/Easement.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D-007</w:t>
            </w:r>
          </w:p>
        </w:tc>
        <w:tc>
          <w:tcPr>
            <w:tcW w:type="dxa" w:w="885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Environment and branding are separate concepts: Development/Beta/Production behavior is independent from client/demo branding profiles.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D-008</w:t>
            </w:r>
          </w:p>
        </w:tc>
        <w:tc>
          <w:tcPr>
            <w:tcW w:type="dxa" w:w="885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The existing feedback/Intake system is retained and expanded rather than replaced.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D-009</w:t>
            </w:r>
          </w:p>
        </w:tc>
        <w:tc>
          <w:tcPr>
            <w:tcW w:type="dxa" w:w="885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Core application remains offline-first and project-centered.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D-010</w:t>
            </w:r>
          </w:p>
        </w:tc>
        <w:tc>
          <w:tcPr>
            <w:tcW w:type="dxa" w:w="885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7"/>
              </w:rPr>
              <w:t>Major post-v9 features ship as 9.x minor releases; patch versions are primarily stabilization/bug-fix releases.</w:t>
            </w:r>
          </w:p>
        </w:tc>
      </w:tr>
    </w:tbl>
    <w:p>
      <w:pPr>
        <w:pStyle w:val="Heading1"/>
      </w:pPr>
      <w:r>
        <w:t>22. First Actions to Begin Development</w:t>
      </w:r>
    </w:p>
    <w:p>
      <w:pPr>
        <w:pStyle w:val="ListNumber"/>
        <w:spacing w:after="40"/>
      </w:pPr>
      <w:r>
        <w:t>Create the v9 repository/branch structure while preserving the v8.1.22 baseline and release artifacts.</w:t>
      </w:r>
    </w:p>
    <w:p>
      <w:pPr>
        <w:pStyle w:val="ListNumber"/>
        <w:spacing w:after="40"/>
      </w:pPr>
      <w:r>
        <w:t>Create the v8 migration fixture set before changing the legacy data model.</w:t>
      </w:r>
    </w:p>
    <w:p>
      <w:pPr>
        <w:pStyle w:val="ListNumber"/>
        <w:spacing w:after="40"/>
      </w:pPr>
      <w:r>
        <w:t>Write the initial architecture decision records for project store, canonical entity IDs, configuration hierarchy, environment isolation, and COGO/CRS service boundaries.</w:t>
      </w:r>
    </w:p>
    <w:p>
      <w:pPr>
        <w:pStyle w:val="ListNumber"/>
        <w:spacing w:after="40"/>
      </w:pPr>
      <w:r>
        <w:t>Implement the project database/schema version and source registry before migrating FieldBook screens.</w:t>
      </w:r>
    </w:p>
    <w:p>
      <w:pPr>
        <w:pStyle w:val="ListNumber"/>
        <w:spacing w:after="40"/>
      </w:pPr>
      <w:r>
        <w:t>Begin extracting COGO and deed-parser logic from Metes &amp; Bounds Plotter v17 into testable standalone services.</w:t>
      </w:r>
    </w:p>
    <w:p>
      <w:pPr>
        <w:pStyle w:val="ListNumber"/>
        <w:spacing w:after="40"/>
      </w:pPr>
      <w:r>
        <w:t>Build the v9 shell only after the project model/service contracts are stable enough to prevent UI-driven architecture.</w:t>
      </w:r>
    </w:p>
    <w:p>
      <w:pPr>
        <w:pStyle w:val="ListNumber"/>
        <w:spacing w:after="40"/>
      </w:pPr>
      <w:r>
        <w:t>Upgrade the feedback schema early so all v9 development builds identify environment/module/build automatically.</w:t>
      </w:r>
    </w:p>
    <w:p>
      <w:pPr>
        <w:pStyle w:val="ListNumber"/>
        <w:spacing w:after="40"/>
      </w:pPr>
      <w:r>
        <w:t>Publish the first Developer build only after project create/open/save, environment identity, logging, and crash-safe persistence are working.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224"/>
            <w:shd w:fill="FFF5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8324A"/>
                <w:sz w:val="20"/>
              </w:rPr>
              <w:t>Recommended first milestone</w:t>
            </w:r>
          </w:p>
          <w:p>
            <w:pPr>
              <w:spacing w:after="0"/>
            </w:pPr>
            <w:r>
              <w:rPr>
                <w:sz w:val="19"/>
              </w:rPr>
              <w:t>The first runnable v9 Developer build should not try to look finished. It should prove the platform foundation: create/open a project, store canonical sources/points, show environment/build identity, switch between empty module shells, write structured logs, and safely save/reopen without data loss.</w:t>
            </w:r>
          </w:p>
        </w:tc>
      </w:tr>
    </w:tbl>
    <w:p>
      <w:pPr>
        <w:pStyle w:val="Heading1"/>
      </w:pPr>
      <w:r>
        <w:t>23. Plan Approval / Change Control</w:t>
      </w:r>
    </w:p>
    <w:p>
      <w:r>
        <w:t>This specification should be treated as the v9 blueprint. Scope changes that materially alter the project model, CRS/units framework, provenance rules, environment model, updater/release architecture, or module boundaries should be recorded as explicit architecture decisions rather than introduced silently during feature work.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8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72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18324A"/>
          </w:tcPr>
          <w:p>
            <w:pPr>
              <w:spacing w:after="3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Approval / Notes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8"/>
              </w:rPr>
              <w:t>CP</w:t>
            </w:r>
          </w:p>
        </w:tc>
        <w:tc>
          <w:tcPr>
            <w:tcW w:type="dxa" w:w="72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8"/>
              </w:rPr>
              <w:t>______________________________________________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8"/>
              </w:rPr>
              <w:t>Ron</w:t>
            </w:r>
          </w:p>
        </w:tc>
        <w:tc>
          <w:tcPr>
            <w:tcW w:type="dxa" w:w="72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8"/>
              </w:rPr>
              <w:t>______________________________________________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8"/>
              </w:rPr>
              <w:t>Product name decision</w:t>
            </w:r>
          </w:p>
        </w:tc>
        <w:tc>
          <w:tcPr>
            <w:tcW w:type="dxa" w:w="72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30" w:before="0"/>
            </w:pPr>
            <w:r>
              <w:rPr>
                <w:rFonts w:ascii="Arial" w:hAnsi="Arial"/>
                <w:sz w:val="18"/>
              </w:rPr>
              <w:t>______________________________________________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8"/>
              </w:rPr>
              <w:t>Date</w:t>
            </w:r>
          </w:p>
        </w:tc>
        <w:tc>
          <w:tcPr>
            <w:tcW w:type="dxa" w:w="720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4F7F9"/>
          </w:tcPr>
          <w:p>
            <w:pPr>
              <w:spacing w:after="30" w:before="0"/>
            </w:pPr>
            <w:r>
              <w:rPr>
                <w:rFonts w:ascii="Arial" w:hAnsi="Arial"/>
                <w:sz w:val="18"/>
              </w:rPr>
              <w:t>______________________________________________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770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770"/>
        <w:sz w:val="15"/>
      </w:rPr>
      <w:t>v9.0.0 Architecture &amp; Development Specification | Product Name TBD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832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D6F9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97A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832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cSubtitle">
    <w:name w:val="Spec Subtitle"/>
    <w:pPr>
      <w:spacing w:after="100"/>
    </w:pPr>
    <w:rPr>
      <w:rFonts w:ascii="Arial" w:hAnsi="Arial"/>
      <w:color w:val="5B6770"/>
      <w:sz w:val="24"/>
    </w:rPr>
  </w:style>
  <w:style w:type="paragraph" w:customStyle="1" w:styleId="Callout">
    <w:name w:val="Callout"/>
    <w:pPr>
      <w:spacing w:before="100" w:after="100"/>
    </w:pPr>
    <w:rPr>
      <w:rFonts w:ascii="Arial" w:hAnsi="Arial"/>
      <w:b/>
      <w:color w:val="18324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Survey Platform v9.0.0 Architecture &amp; Development Specification</dc:title>
  <dc:subject>Architecture, phased build plan, acceptance criteria, release gates, and post-release roadmap</dc:subject>
  <dc:creator/>
  <cp:keywords/>
  <dc:description>Product name intentionally TBD during architecture phase.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