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7A2F0" w14:textId="77777777" w:rsidR="00ED5AA1" w:rsidRDefault="00ED5AA1" w:rsidP="00ED5AA1">
      <w:pPr>
        <w:pStyle w:val="Title"/>
      </w:pPr>
      <w:r>
        <w:t>Evaluating the Impact of ECO Policies on the Energy Efficiency Performance of Domestic Properties Across the UK</w:t>
      </w:r>
    </w:p>
    <w:p w14:paraId="494DA12B" w14:textId="77777777" w:rsidR="00F06923" w:rsidRDefault="00F06923" w:rsidP="00F06923"/>
    <w:p w14:paraId="4A66B04C" w14:textId="0387A3B5" w:rsidR="00F06923" w:rsidRDefault="00F06923" w:rsidP="00F06923">
      <w:r>
        <w:t xml:space="preserve">Module Code: ECOM026 </w:t>
      </w:r>
    </w:p>
    <w:p w14:paraId="6802E79D" w14:textId="448EFB16" w:rsidR="00F06923" w:rsidRDefault="00F06923" w:rsidP="00F06923">
      <w:r>
        <w:t>Name: Craig Pearce</w:t>
      </w:r>
    </w:p>
    <w:p w14:paraId="7EE09820" w14:textId="01CA17F5" w:rsidR="00F06923" w:rsidRDefault="00F06923" w:rsidP="00F06923">
      <w:r>
        <w:t>Student Number: 6842704</w:t>
      </w:r>
    </w:p>
    <w:p w14:paraId="6742E7BC" w14:textId="4105C6AE" w:rsidR="00F06923" w:rsidRDefault="00F06923" w:rsidP="00F06923">
      <w:r>
        <w:t>Word Count:</w:t>
      </w:r>
    </w:p>
    <w:p w14:paraId="48541EB4" w14:textId="77777777" w:rsidR="00F06923" w:rsidRDefault="00F06923" w:rsidP="00F06923"/>
    <w:p w14:paraId="76EC8A02" w14:textId="77777777" w:rsidR="00F06923" w:rsidRDefault="00F06923" w:rsidP="00F06923"/>
    <w:p w14:paraId="5DBF8B09" w14:textId="77777777" w:rsidR="00F06923" w:rsidRDefault="00F06923" w:rsidP="00F06923"/>
    <w:p w14:paraId="49637914" w14:textId="77777777" w:rsidR="00F06923" w:rsidRDefault="00F06923" w:rsidP="00F06923"/>
    <w:p w14:paraId="216368E1" w14:textId="77777777" w:rsidR="00F06923" w:rsidRDefault="00F06923" w:rsidP="00F06923"/>
    <w:p w14:paraId="12B10AC2" w14:textId="77777777" w:rsidR="00F06923" w:rsidRDefault="00F06923" w:rsidP="00F06923"/>
    <w:p w14:paraId="049FC613" w14:textId="77777777" w:rsidR="00F06923" w:rsidRDefault="00F06923" w:rsidP="00F06923"/>
    <w:p w14:paraId="0F016EB9" w14:textId="77777777" w:rsidR="00F06923" w:rsidRDefault="00F06923" w:rsidP="00F06923"/>
    <w:p w14:paraId="64081028" w14:textId="77777777" w:rsidR="00F06923" w:rsidRDefault="00F06923" w:rsidP="00F06923"/>
    <w:p w14:paraId="2CDFE266" w14:textId="77777777" w:rsidR="00F06923" w:rsidRDefault="00F06923" w:rsidP="00F06923"/>
    <w:p w14:paraId="4283AC7B" w14:textId="77777777" w:rsidR="00F06923" w:rsidRDefault="00F06923" w:rsidP="00F06923"/>
    <w:p w14:paraId="5B2D95A3" w14:textId="77777777" w:rsidR="00F06923" w:rsidRDefault="00F06923" w:rsidP="00F06923"/>
    <w:p w14:paraId="6CB1A76E" w14:textId="77777777" w:rsidR="00F06923" w:rsidRDefault="00F06923" w:rsidP="00F06923"/>
    <w:p w14:paraId="6DFE07BE" w14:textId="77777777" w:rsidR="00F06923" w:rsidRDefault="00F06923" w:rsidP="00F06923"/>
    <w:p w14:paraId="417BB9AA" w14:textId="77777777" w:rsidR="00F06923" w:rsidRDefault="00F06923" w:rsidP="00F06923"/>
    <w:p w14:paraId="6E6C2629" w14:textId="77777777" w:rsidR="00F06923" w:rsidRDefault="00F06923" w:rsidP="00F06923"/>
    <w:p w14:paraId="2B898E47" w14:textId="77777777" w:rsidR="00F06923" w:rsidRDefault="00F06923" w:rsidP="00F06923"/>
    <w:p w14:paraId="1DB323CB" w14:textId="77777777" w:rsidR="00F06923" w:rsidRDefault="00F06923" w:rsidP="00F06923"/>
    <w:p w14:paraId="12E7D713" w14:textId="77777777" w:rsidR="00F06923" w:rsidRDefault="00F06923" w:rsidP="00F06923"/>
    <w:p w14:paraId="2D1D59F1" w14:textId="77777777" w:rsidR="00F06923" w:rsidRDefault="00F06923" w:rsidP="00F06923"/>
    <w:sdt>
      <w:sdtPr>
        <w:rPr>
          <w:rFonts w:asciiTheme="minorHAnsi" w:eastAsiaTheme="minorHAnsi" w:hAnsiTheme="minorHAnsi" w:cstheme="minorBidi"/>
          <w:color w:val="auto"/>
          <w:kern w:val="2"/>
          <w:sz w:val="22"/>
          <w:szCs w:val="22"/>
          <w:lang w:val="en-GB"/>
          <w14:ligatures w14:val="standardContextual"/>
        </w:rPr>
        <w:id w:val="1173995348"/>
        <w:docPartObj>
          <w:docPartGallery w:val="Table of Contents"/>
          <w:docPartUnique/>
        </w:docPartObj>
      </w:sdtPr>
      <w:sdtEndPr>
        <w:rPr>
          <w:b/>
          <w:bCs/>
          <w:noProof/>
        </w:rPr>
      </w:sdtEndPr>
      <w:sdtContent>
        <w:p w14:paraId="7B510F39" w14:textId="5787588C" w:rsidR="00F06923" w:rsidRDefault="00F06923">
          <w:pPr>
            <w:pStyle w:val="TOCHeading"/>
          </w:pPr>
          <w:r>
            <w:t>Contents</w:t>
          </w:r>
        </w:p>
        <w:p w14:paraId="6DB30DD1" w14:textId="46C1F090" w:rsidR="0078649A" w:rsidRDefault="00F06923">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166593126" w:history="1">
            <w:r w:rsidR="0078649A" w:rsidRPr="00B33F01">
              <w:rPr>
                <w:rStyle w:val="Hyperlink"/>
                <w:noProof/>
              </w:rPr>
              <w:t>1.</w:t>
            </w:r>
            <w:r w:rsidR="0078649A">
              <w:rPr>
                <w:rFonts w:eastAsiaTheme="minorEastAsia"/>
                <w:noProof/>
                <w:lang w:eastAsia="en-GB"/>
              </w:rPr>
              <w:tab/>
            </w:r>
            <w:r w:rsidR="0078649A" w:rsidRPr="00B33F01">
              <w:rPr>
                <w:rStyle w:val="Hyperlink"/>
                <w:noProof/>
              </w:rPr>
              <w:t>Introduction</w:t>
            </w:r>
            <w:r w:rsidR="0078649A">
              <w:rPr>
                <w:noProof/>
                <w:webHidden/>
              </w:rPr>
              <w:tab/>
            </w:r>
            <w:r w:rsidR="0078649A">
              <w:rPr>
                <w:noProof/>
                <w:webHidden/>
              </w:rPr>
              <w:fldChar w:fldCharType="begin"/>
            </w:r>
            <w:r w:rsidR="0078649A">
              <w:rPr>
                <w:noProof/>
                <w:webHidden/>
              </w:rPr>
              <w:instrText xml:space="preserve"> PAGEREF _Toc166593126 \h </w:instrText>
            </w:r>
            <w:r w:rsidR="0078649A">
              <w:rPr>
                <w:noProof/>
                <w:webHidden/>
              </w:rPr>
            </w:r>
            <w:r w:rsidR="0078649A">
              <w:rPr>
                <w:noProof/>
                <w:webHidden/>
              </w:rPr>
              <w:fldChar w:fldCharType="separate"/>
            </w:r>
            <w:r w:rsidR="0078649A">
              <w:rPr>
                <w:noProof/>
                <w:webHidden/>
              </w:rPr>
              <w:t>3</w:t>
            </w:r>
            <w:r w:rsidR="0078649A">
              <w:rPr>
                <w:noProof/>
                <w:webHidden/>
              </w:rPr>
              <w:fldChar w:fldCharType="end"/>
            </w:r>
          </w:hyperlink>
        </w:p>
        <w:p w14:paraId="0925ECA3" w14:textId="1E88B0A9" w:rsidR="0078649A" w:rsidRDefault="0078649A">
          <w:pPr>
            <w:pStyle w:val="TOC1"/>
            <w:tabs>
              <w:tab w:val="left" w:pos="440"/>
              <w:tab w:val="right" w:leader="dot" w:pos="9016"/>
            </w:tabs>
            <w:rPr>
              <w:rFonts w:eastAsiaTheme="minorEastAsia"/>
              <w:noProof/>
              <w:lang w:eastAsia="en-GB"/>
            </w:rPr>
          </w:pPr>
          <w:hyperlink w:anchor="_Toc166593127" w:history="1">
            <w:r w:rsidRPr="00B33F01">
              <w:rPr>
                <w:rStyle w:val="Hyperlink"/>
                <w:noProof/>
              </w:rPr>
              <w:t>2.</w:t>
            </w:r>
            <w:r>
              <w:rPr>
                <w:rFonts w:eastAsiaTheme="minorEastAsia"/>
                <w:noProof/>
                <w:lang w:eastAsia="en-GB"/>
              </w:rPr>
              <w:tab/>
            </w:r>
            <w:r w:rsidRPr="00B33F01">
              <w:rPr>
                <w:rStyle w:val="Hyperlink"/>
                <w:noProof/>
              </w:rPr>
              <w:t>Background</w:t>
            </w:r>
            <w:r>
              <w:rPr>
                <w:noProof/>
                <w:webHidden/>
              </w:rPr>
              <w:tab/>
            </w:r>
            <w:r>
              <w:rPr>
                <w:noProof/>
                <w:webHidden/>
              </w:rPr>
              <w:fldChar w:fldCharType="begin"/>
            </w:r>
            <w:r>
              <w:rPr>
                <w:noProof/>
                <w:webHidden/>
              </w:rPr>
              <w:instrText xml:space="preserve"> PAGEREF _Toc166593127 \h </w:instrText>
            </w:r>
            <w:r>
              <w:rPr>
                <w:noProof/>
                <w:webHidden/>
              </w:rPr>
            </w:r>
            <w:r>
              <w:rPr>
                <w:noProof/>
                <w:webHidden/>
              </w:rPr>
              <w:fldChar w:fldCharType="separate"/>
            </w:r>
            <w:r>
              <w:rPr>
                <w:noProof/>
                <w:webHidden/>
              </w:rPr>
              <w:t>4</w:t>
            </w:r>
            <w:r>
              <w:rPr>
                <w:noProof/>
                <w:webHidden/>
              </w:rPr>
              <w:fldChar w:fldCharType="end"/>
            </w:r>
          </w:hyperlink>
        </w:p>
        <w:p w14:paraId="0EF3D74D" w14:textId="5DA7FCCA" w:rsidR="0078649A" w:rsidRDefault="0078649A">
          <w:pPr>
            <w:pStyle w:val="TOC3"/>
            <w:tabs>
              <w:tab w:val="right" w:leader="dot" w:pos="9016"/>
            </w:tabs>
            <w:rPr>
              <w:rFonts w:eastAsiaTheme="minorEastAsia"/>
              <w:noProof/>
              <w:lang w:eastAsia="en-GB"/>
            </w:rPr>
          </w:pPr>
          <w:hyperlink w:anchor="_Toc166593128" w:history="1">
            <w:r w:rsidRPr="00B33F01">
              <w:rPr>
                <w:rStyle w:val="Hyperlink"/>
                <w:noProof/>
              </w:rPr>
              <w:t>2.1 ECO P</w:t>
            </w:r>
            <w:r w:rsidRPr="00B33F01">
              <w:rPr>
                <w:rStyle w:val="Hyperlink"/>
                <w:noProof/>
              </w:rPr>
              <w:t>o</w:t>
            </w:r>
            <w:r w:rsidRPr="00B33F01">
              <w:rPr>
                <w:rStyle w:val="Hyperlink"/>
                <w:noProof/>
              </w:rPr>
              <w:t>licies</w:t>
            </w:r>
            <w:r>
              <w:rPr>
                <w:noProof/>
                <w:webHidden/>
              </w:rPr>
              <w:tab/>
            </w:r>
            <w:r>
              <w:rPr>
                <w:noProof/>
                <w:webHidden/>
              </w:rPr>
              <w:fldChar w:fldCharType="begin"/>
            </w:r>
            <w:r>
              <w:rPr>
                <w:noProof/>
                <w:webHidden/>
              </w:rPr>
              <w:instrText xml:space="preserve"> PAGEREF _Toc166593128 \h </w:instrText>
            </w:r>
            <w:r>
              <w:rPr>
                <w:noProof/>
                <w:webHidden/>
              </w:rPr>
            </w:r>
            <w:r>
              <w:rPr>
                <w:noProof/>
                <w:webHidden/>
              </w:rPr>
              <w:fldChar w:fldCharType="separate"/>
            </w:r>
            <w:r>
              <w:rPr>
                <w:noProof/>
                <w:webHidden/>
              </w:rPr>
              <w:t>4</w:t>
            </w:r>
            <w:r>
              <w:rPr>
                <w:noProof/>
                <w:webHidden/>
              </w:rPr>
              <w:fldChar w:fldCharType="end"/>
            </w:r>
          </w:hyperlink>
        </w:p>
        <w:p w14:paraId="3B974D49" w14:textId="55CC2314" w:rsidR="0078649A" w:rsidRDefault="0078649A">
          <w:pPr>
            <w:pStyle w:val="TOC1"/>
            <w:tabs>
              <w:tab w:val="left" w:pos="440"/>
              <w:tab w:val="right" w:leader="dot" w:pos="9016"/>
            </w:tabs>
            <w:rPr>
              <w:rFonts w:eastAsiaTheme="minorEastAsia"/>
              <w:noProof/>
              <w:lang w:eastAsia="en-GB"/>
            </w:rPr>
          </w:pPr>
          <w:hyperlink w:anchor="_Toc166593129" w:history="1">
            <w:r w:rsidRPr="00B33F01">
              <w:rPr>
                <w:rStyle w:val="Hyperlink"/>
                <w:noProof/>
              </w:rPr>
              <w:t>3.</w:t>
            </w:r>
            <w:r>
              <w:rPr>
                <w:rFonts w:eastAsiaTheme="minorEastAsia"/>
                <w:noProof/>
                <w:lang w:eastAsia="en-GB"/>
              </w:rPr>
              <w:tab/>
            </w:r>
            <w:r w:rsidRPr="00B33F01">
              <w:rPr>
                <w:rStyle w:val="Hyperlink"/>
                <w:noProof/>
              </w:rPr>
              <w:t>Methodology</w:t>
            </w:r>
            <w:r>
              <w:rPr>
                <w:noProof/>
                <w:webHidden/>
              </w:rPr>
              <w:tab/>
            </w:r>
            <w:r>
              <w:rPr>
                <w:noProof/>
                <w:webHidden/>
              </w:rPr>
              <w:fldChar w:fldCharType="begin"/>
            </w:r>
            <w:r>
              <w:rPr>
                <w:noProof/>
                <w:webHidden/>
              </w:rPr>
              <w:instrText xml:space="preserve"> PAGEREF _Toc166593129 \h </w:instrText>
            </w:r>
            <w:r>
              <w:rPr>
                <w:noProof/>
                <w:webHidden/>
              </w:rPr>
            </w:r>
            <w:r>
              <w:rPr>
                <w:noProof/>
                <w:webHidden/>
              </w:rPr>
              <w:fldChar w:fldCharType="separate"/>
            </w:r>
            <w:r>
              <w:rPr>
                <w:noProof/>
                <w:webHidden/>
              </w:rPr>
              <w:t>4</w:t>
            </w:r>
            <w:r>
              <w:rPr>
                <w:noProof/>
                <w:webHidden/>
              </w:rPr>
              <w:fldChar w:fldCharType="end"/>
            </w:r>
          </w:hyperlink>
        </w:p>
        <w:p w14:paraId="367CB8B8" w14:textId="35A77717" w:rsidR="0078649A" w:rsidRDefault="0078649A">
          <w:pPr>
            <w:pStyle w:val="TOC2"/>
            <w:tabs>
              <w:tab w:val="left" w:pos="880"/>
              <w:tab w:val="right" w:leader="dot" w:pos="9016"/>
            </w:tabs>
            <w:rPr>
              <w:rFonts w:eastAsiaTheme="minorEastAsia"/>
              <w:noProof/>
              <w:lang w:eastAsia="en-GB"/>
            </w:rPr>
          </w:pPr>
          <w:hyperlink w:anchor="_Toc166593130" w:history="1">
            <w:r w:rsidRPr="00B33F01">
              <w:rPr>
                <w:rStyle w:val="Hyperlink"/>
                <w:noProof/>
              </w:rPr>
              <w:t>3.1.</w:t>
            </w:r>
            <w:r>
              <w:rPr>
                <w:rFonts w:eastAsiaTheme="minorEastAsia"/>
                <w:noProof/>
                <w:lang w:eastAsia="en-GB"/>
              </w:rPr>
              <w:tab/>
            </w:r>
            <w:r w:rsidRPr="00B33F01">
              <w:rPr>
                <w:rStyle w:val="Hyperlink"/>
                <w:noProof/>
              </w:rPr>
              <w:t>Data</w:t>
            </w:r>
            <w:r>
              <w:rPr>
                <w:noProof/>
                <w:webHidden/>
              </w:rPr>
              <w:tab/>
            </w:r>
            <w:r>
              <w:rPr>
                <w:noProof/>
                <w:webHidden/>
              </w:rPr>
              <w:fldChar w:fldCharType="begin"/>
            </w:r>
            <w:r>
              <w:rPr>
                <w:noProof/>
                <w:webHidden/>
              </w:rPr>
              <w:instrText xml:space="preserve"> PAGEREF _Toc166593130 \h </w:instrText>
            </w:r>
            <w:r>
              <w:rPr>
                <w:noProof/>
                <w:webHidden/>
              </w:rPr>
            </w:r>
            <w:r>
              <w:rPr>
                <w:noProof/>
                <w:webHidden/>
              </w:rPr>
              <w:fldChar w:fldCharType="separate"/>
            </w:r>
            <w:r>
              <w:rPr>
                <w:noProof/>
                <w:webHidden/>
              </w:rPr>
              <w:t>4</w:t>
            </w:r>
            <w:r>
              <w:rPr>
                <w:noProof/>
                <w:webHidden/>
              </w:rPr>
              <w:fldChar w:fldCharType="end"/>
            </w:r>
          </w:hyperlink>
        </w:p>
        <w:p w14:paraId="69C74475" w14:textId="6DDBF7F6" w:rsidR="0078649A" w:rsidRDefault="0078649A">
          <w:pPr>
            <w:pStyle w:val="TOC3"/>
            <w:tabs>
              <w:tab w:val="right" w:leader="dot" w:pos="9016"/>
            </w:tabs>
            <w:rPr>
              <w:rFonts w:eastAsiaTheme="minorEastAsia"/>
              <w:noProof/>
              <w:lang w:eastAsia="en-GB"/>
            </w:rPr>
          </w:pPr>
          <w:hyperlink w:anchor="_Toc166593131" w:history="1">
            <w:r w:rsidRPr="00B33F01">
              <w:rPr>
                <w:rStyle w:val="Hyperlink"/>
                <w:noProof/>
              </w:rPr>
              <w:t>Figure 1: A Map of Regions In Britain. Sourced from Kedia, N. (2017).</w:t>
            </w:r>
            <w:r>
              <w:rPr>
                <w:noProof/>
                <w:webHidden/>
              </w:rPr>
              <w:tab/>
            </w:r>
            <w:r>
              <w:rPr>
                <w:noProof/>
                <w:webHidden/>
              </w:rPr>
              <w:fldChar w:fldCharType="begin"/>
            </w:r>
            <w:r>
              <w:rPr>
                <w:noProof/>
                <w:webHidden/>
              </w:rPr>
              <w:instrText xml:space="preserve"> PAGEREF _Toc166593131 \h </w:instrText>
            </w:r>
            <w:r>
              <w:rPr>
                <w:noProof/>
                <w:webHidden/>
              </w:rPr>
            </w:r>
            <w:r>
              <w:rPr>
                <w:noProof/>
                <w:webHidden/>
              </w:rPr>
              <w:fldChar w:fldCharType="separate"/>
            </w:r>
            <w:r>
              <w:rPr>
                <w:noProof/>
                <w:webHidden/>
              </w:rPr>
              <w:t>5</w:t>
            </w:r>
            <w:r>
              <w:rPr>
                <w:noProof/>
                <w:webHidden/>
              </w:rPr>
              <w:fldChar w:fldCharType="end"/>
            </w:r>
          </w:hyperlink>
        </w:p>
        <w:p w14:paraId="1C9A1FA3" w14:textId="3FCDE26B" w:rsidR="0078649A" w:rsidRDefault="0078649A">
          <w:pPr>
            <w:pStyle w:val="TOC3"/>
            <w:tabs>
              <w:tab w:val="right" w:leader="dot" w:pos="9016"/>
            </w:tabs>
            <w:rPr>
              <w:rFonts w:eastAsiaTheme="minorEastAsia"/>
              <w:noProof/>
              <w:lang w:eastAsia="en-GB"/>
            </w:rPr>
          </w:pPr>
          <w:hyperlink w:anchor="_Toc166593132" w:history="1">
            <w:r>
              <w:rPr>
                <w:noProof/>
                <w:webHidden/>
              </w:rPr>
              <w:tab/>
            </w:r>
            <w:r>
              <w:rPr>
                <w:noProof/>
                <w:webHidden/>
              </w:rPr>
              <w:fldChar w:fldCharType="begin"/>
            </w:r>
            <w:r>
              <w:rPr>
                <w:noProof/>
                <w:webHidden/>
              </w:rPr>
              <w:instrText xml:space="preserve"> PAGEREF _Toc166593132 \h </w:instrText>
            </w:r>
            <w:r>
              <w:rPr>
                <w:noProof/>
                <w:webHidden/>
              </w:rPr>
            </w:r>
            <w:r>
              <w:rPr>
                <w:noProof/>
                <w:webHidden/>
              </w:rPr>
              <w:fldChar w:fldCharType="separate"/>
            </w:r>
            <w:r>
              <w:rPr>
                <w:noProof/>
                <w:webHidden/>
              </w:rPr>
              <w:t>5</w:t>
            </w:r>
            <w:r>
              <w:rPr>
                <w:noProof/>
                <w:webHidden/>
              </w:rPr>
              <w:fldChar w:fldCharType="end"/>
            </w:r>
          </w:hyperlink>
        </w:p>
        <w:p w14:paraId="5FBC6F9A" w14:textId="7450869E" w:rsidR="0078649A" w:rsidRDefault="0078649A">
          <w:pPr>
            <w:pStyle w:val="TOC3"/>
            <w:tabs>
              <w:tab w:val="right" w:leader="dot" w:pos="9016"/>
            </w:tabs>
            <w:rPr>
              <w:rFonts w:eastAsiaTheme="minorEastAsia"/>
              <w:noProof/>
              <w:lang w:eastAsia="en-GB"/>
            </w:rPr>
          </w:pPr>
          <w:hyperlink w:anchor="_Toc166593133" w:history="1">
            <w:r w:rsidRPr="00B33F01">
              <w:rPr>
                <w:rStyle w:val="Hyperlink"/>
                <w:noProof/>
              </w:rPr>
              <w:t>Table 1: Description of Dependent Variables</w:t>
            </w:r>
            <w:r>
              <w:rPr>
                <w:noProof/>
                <w:webHidden/>
              </w:rPr>
              <w:tab/>
            </w:r>
            <w:r>
              <w:rPr>
                <w:noProof/>
                <w:webHidden/>
              </w:rPr>
              <w:fldChar w:fldCharType="begin"/>
            </w:r>
            <w:r>
              <w:rPr>
                <w:noProof/>
                <w:webHidden/>
              </w:rPr>
              <w:instrText xml:space="preserve"> PAGEREF _Toc166593133 \h </w:instrText>
            </w:r>
            <w:r>
              <w:rPr>
                <w:noProof/>
                <w:webHidden/>
              </w:rPr>
            </w:r>
            <w:r>
              <w:rPr>
                <w:noProof/>
                <w:webHidden/>
              </w:rPr>
              <w:fldChar w:fldCharType="separate"/>
            </w:r>
            <w:r>
              <w:rPr>
                <w:noProof/>
                <w:webHidden/>
              </w:rPr>
              <w:t>5</w:t>
            </w:r>
            <w:r>
              <w:rPr>
                <w:noProof/>
                <w:webHidden/>
              </w:rPr>
              <w:fldChar w:fldCharType="end"/>
            </w:r>
          </w:hyperlink>
        </w:p>
        <w:p w14:paraId="5B125A69" w14:textId="2F0E83B7" w:rsidR="0078649A" w:rsidRDefault="0078649A">
          <w:pPr>
            <w:pStyle w:val="TOC3"/>
            <w:tabs>
              <w:tab w:val="right" w:leader="dot" w:pos="9016"/>
            </w:tabs>
            <w:rPr>
              <w:rFonts w:eastAsiaTheme="minorEastAsia"/>
              <w:noProof/>
              <w:lang w:eastAsia="en-GB"/>
            </w:rPr>
          </w:pPr>
          <w:hyperlink w:anchor="_Toc166593134" w:history="1">
            <w:r w:rsidRPr="00B33F01">
              <w:rPr>
                <w:rStyle w:val="Hyperlink"/>
                <w:noProof/>
              </w:rPr>
              <w:t>Table 2: Description of Explanatory Variables</w:t>
            </w:r>
            <w:r>
              <w:rPr>
                <w:noProof/>
                <w:webHidden/>
              </w:rPr>
              <w:tab/>
            </w:r>
            <w:r>
              <w:rPr>
                <w:noProof/>
                <w:webHidden/>
              </w:rPr>
              <w:fldChar w:fldCharType="begin"/>
            </w:r>
            <w:r>
              <w:rPr>
                <w:noProof/>
                <w:webHidden/>
              </w:rPr>
              <w:instrText xml:space="preserve"> PAGEREF _Toc166593134 \h </w:instrText>
            </w:r>
            <w:r>
              <w:rPr>
                <w:noProof/>
                <w:webHidden/>
              </w:rPr>
            </w:r>
            <w:r>
              <w:rPr>
                <w:noProof/>
                <w:webHidden/>
              </w:rPr>
              <w:fldChar w:fldCharType="separate"/>
            </w:r>
            <w:r>
              <w:rPr>
                <w:noProof/>
                <w:webHidden/>
              </w:rPr>
              <w:t>6</w:t>
            </w:r>
            <w:r>
              <w:rPr>
                <w:noProof/>
                <w:webHidden/>
              </w:rPr>
              <w:fldChar w:fldCharType="end"/>
            </w:r>
          </w:hyperlink>
        </w:p>
        <w:p w14:paraId="6A234476" w14:textId="5586EC8A" w:rsidR="0078649A" w:rsidRDefault="0078649A">
          <w:pPr>
            <w:pStyle w:val="TOC3"/>
            <w:tabs>
              <w:tab w:val="right" w:leader="dot" w:pos="9016"/>
            </w:tabs>
            <w:rPr>
              <w:rFonts w:eastAsiaTheme="minorEastAsia"/>
              <w:noProof/>
              <w:lang w:eastAsia="en-GB"/>
            </w:rPr>
          </w:pPr>
          <w:hyperlink w:anchor="_Toc166593135" w:history="1">
            <w:r w:rsidRPr="00B33F01">
              <w:rPr>
                <w:rStyle w:val="Hyperlink"/>
                <w:noProof/>
              </w:rPr>
              <w:t>Table 3: Summary Statistics of Variables</w:t>
            </w:r>
            <w:r>
              <w:rPr>
                <w:noProof/>
                <w:webHidden/>
              </w:rPr>
              <w:tab/>
            </w:r>
            <w:r>
              <w:rPr>
                <w:noProof/>
                <w:webHidden/>
              </w:rPr>
              <w:fldChar w:fldCharType="begin"/>
            </w:r>
            <w:r>
              <w:rPr>
                <w:noProof/>
                <w:webHidden/>
              </w:rPr>
              <w:instrText xml:space="preserve"> PAGEREF _Toc166593135 \h </w:instrText>
            </w:r>
            <w:r>
              <w:rPr>
                <w:noProof/>
                <w:webHidden/>
              </w:rPr>
            </w:r>
            <w:r>
              <w:rPr>
                <w:noProof/>
                <w:webHidden/>
              </w:rPr>
              <w:fldChar w:fldCharType="separate"/>
            </w:r>
            <w:r>
              <w:rPr>
                <w:noProof/>
                <w:webHidden/>
              </w:rPr>
              <w:t>7</w:t>
            </w:r>
            <w:r>
              <w:rPr>
                <w:noProof/>
                <w:webHidden/>
              </w:rPr>
              <w:fldChar w:fldCharType="end"/>
            </w:r>
          </w:hyperlink>
        </w:p>
        <w:p w14:paraId="6606464C" w14:textId="4274F4BD" w:rsidR="0078649A" w:rsidRDefault="0078649A">
          <w:pPr>
            <w:pStyle w:val="TOC2"/>
            <w:tabs>
              <w:tab w:val="right" w:leader="dot" w:pos="9016"/>
            </w:tabs>
            <w:rPr>
              <w:rFonts w:eastAsiaTheme="minorEastAsia"/>
              <w:noProof/>
              <w:lang w:eastAsia="en-GB"/>
            </w:rPr>
          </w:pPr>
          <w:hyperlink w:anchor="_Toc166593136" w:history="1">
            <w:r w:rsidRPr="00B33F01">
              <w:rPr>
                <w:rStyle w:val="Hyperlink"/>
                <w:noProof/>
              </w:rPr>
              <w:t>3.2. Method</w:t>
            </w:r>
            <w:r>
              <w:rPr>
                <w:noProof/>
                <w:webHidden/>
              </w:rPr>
              <w:tab/>
            </w:r>
            <w:r>
              <w:rPr>
                <w:noProof/>
                <w:webHidden/>
              </w:rPr>
              <w:fldChar w:fldCharType="begin"/>
            </w:r>
            <w:r>
              <w:rPr>
                <w:noProof/>
                <w:webHidden/>
              </w:rPr>
              <w:instrText xml:space="preserve"> PAGEREF _Toc166593136 \h </w:instrText>
            </w:r>
            <w:r>
              <w:rPr>
                <w:noProof/>
                <w:webHidden/>
              </w:rPr>
            </w:r>
            <w:r>
              <w:rPr>
                <w:noProof/>
                <w:webHidden/>
              </w:rPr>
              <w:fldChar w:fldCharType="separate"/>
            </w:r>
            <w:r>
              <w:rPr>
                <w:noProof/>
                <w:webHidden/>
              </w:rPr>
              <w:t>7</w:t>
            </w:r>
            <w:r>
              <w:rPr>
                <w:noProof/>
                <w:webHidden/>
              </w:rPr>
              <w:fldChar w:fldCharType="end"/>
            </w:r>
          </w:hyperlink>
        </w:p>
        <w:p w14:paraId="19C3ACE0" w14:textId="136AAA20" w:rsidR="0078649A" w:rsidRDefault="0078649A">
          <w:pPr>
            <w:pStyle w:val="TOC2"/>
            <w:tabs>
              <w:tab w:val="right" w:leader="dot" w:pos="9016"/>
            </w:tabs>
            <w:rPr>
              <w:rFonts w:eastAsiaTheme="minorEastAsia"/>
              <w:noProof/>
              <w:lang w:eastAsia="en-GB"/>
            </w:rPr>
          </w:pPr>
          <w:hyperlink w:anchor="_Toc166593137" w:history="1">
            <w:r w:rsidRPr="00B33F01">
              <w:rPr>
                <w:rStyle w:val="Hyperlink"/>
                <w:noProof/>
              </w:rPr>
              <w:t>3.3. Robustness Tests</w:t>
            </w:r>
            <w:r>
              <w:rPr>
                <w:noProof/>
                <w:webHidden/>
              </w:rPr>
              <w:tab/>
            </w:r>
            <w:r>
              <w:rPr>
                <w:noProof/>
                <w:webHidden/>
              </w:rPr>
              <w:fldChar w:fldCharType="begin"/>
            </w:r>
            <w:r>
              <w:rPr>
                <w:noProof/>
                <w:webHidden/>
              </w:rPr>
              <w:instrText xml:space="preserve"> PAGEREF _Toc166593137 \h </w:instrText>
            </w:r>
            <w:r>
              <w:rPr>
                <w:noProof/>
                <w:webHidden/>
              </w:rPr>
            </w:r>
            <w:r>
              <w:rPr>
                <w:noProof/>
                <w:webHidden/>
              </w:rPr>
              <w:fldChar w:fldCharType="separate"/>
            </w:r>
            <w:r>
              <w:rPr>
                <w:noProof/>
                <w:webHidden/>
              </w:rPr>
              <w:t>8</w:t>
            </w:r>
            <w:r>
              <w:rPr>
                <w:noProof/>
                <w:webHidden/>
              </w:rPr>
              <w:fldChar w:fldCharType="end"/>
            </w:r>
          </w:hyperlink>
        </w:p>
        <w:p w14:paraId="02CBC9FF" w14:textId="25DF1311" w:rsidR="0078649A" w:rsidRDefault="0078649A">
          <w:pPr>
            <w:pStyle w:val="TOC3"/>
            <w:tabs>
              <w:tab w:val="right" w:leader="dot" w:pos="9016"/>
            </w:tabs>
            <w:rPr>
              <w:rFonts w:eastAsiaTheme="minorEastAsia"/>
              <w:noProof/>
              <w:lang w:eastAsia="en-GB"/>
            </w:rPr>
          </w:pPr>
          <w:hyperlink w:anchor="_Toc166593138" w:history="1">
            <w:r w:rsidRPr="00B33F01">
              <w:rPr>
                <w:rStyle w:val="Hyperlink"/>
                <w:noProof/>
              </w:rPr>
              <w:t>3.3.1. Normality</w:t>
            </w:r>
            <w:r>
              <w:rPr>
                <w:noProof/>
                <w:webHidden/>
              </w:rPr>
              <w:tab/>
            </w:r>
            <w:r>
              <w:rPr>
                <w:noProof/>
                <w:webHidden/>
              </w:rPr>
              <w:fldChar w:fldCharType="begin"/>
            </w:r>
            <w:r>
              <w:rPr>
                <w:noProof/>
                <w:webHidden/>
              </w:rPr>
              <w:instrText xml:space="preserve"> PAGEREF _Toc166593138 \h </w:instrText>
            </w:r>
            <w:r>
              <w:rPr>
                <w:noProof/>
                <w:webHidden/>
              </w:rPr>
            </w:r>
            <w:r>
              <w:rPr>
                <w:noProof/>
                <w:webHidden/>
              </w:rPr>
              <w:fldChar w:fldCharType="separate"/>
            </w:r>
            <w:r>
              <w:rPr>
                <w:noProof/>
                <w:webHidden/>
              </w:rPr>
              <w:t>8</w:t>
            </w:r>
            <w:r>
              <w:rPr>
                <w:noProof/>
                <w:webHidden/>
              </w:rPr>
              <w:fldChar w:fldCharType="end"/>
            </w:r>
          </w:hyperlink>
        </w:p>
        <w:p w14:paraId="5F10ED16" w14:textId="7F3B655F" w:rsidR="0078649A" w:rsidRDefault="0078649A">
          <w:pPr>
            <w:pStyle w:val="TOC3"/>
            <w:tabs>
              <w:tab w:val="right" w:leader="dot" w:pos="9016"/>
            </w:tabs>
            <w:rPr>
              <w:rFonts w:eastAsiaTheme="minorEastAsia"/>
              <w:noProof/>
              <w:lang w:eastAsia="en-GB"/>
            </w:rPr>
          </w:pPr>
          <w:hyperlink w:anchor="_Toc166593139" w:history="1">
            <w:r w:rsidRPr="00B33F01">
              <w:rPr>
                <w:rStyle w:val="Hyperlink"/>
                <w:noProof/>
              </w:rPr>
              <w:t>3.3.2. Multicollinearity</w:t>
            </w:r>
            <w:r>
              <w:rPr>
                <w:noProof/>
                <w:webHidden/>
              </w:rPr>
              <w:tab/>
            </w:r>
            <w:r>
              <w:rPr>
                <w:noProof/>
                <w:webHidden/>
              </w:rPr>
              <w:fldChar w:fldCharType="begin"/>
            </w:r>
            <w:r>
              <w:rPr>
                <w:noProof/>
                <w:webHidden/>
              </w:rPr>
              <w:instrText xml:space="preserve"> PAGEREF _Toc166593139 \h </w:instrText>
            </w:r>
            <w:r>
              <w:rPr>
                <w:noProof/>
                <w:webHidden/>
              </w:rPr>
            </w:r>
            <w:r>
              <w:rPr>
                <w:noProof/>
                <w:webHidden/>
              </w:rPr>
              <w:fldChar w:fldCharType="separate"/>
            </w:r>
            <w:r>
              <w:rPr>
                <w:noProof/>
                <w:webHidden/>
              </w:rPr>
              <w:t>8</w:t>
            </w:r>
            <w:r>
              <w:rPr>
                <w:noProof/>
                <w:webHidden/>
              </w:rPr>
              <w:fldChar w:fldCharType="end"/>
            </w:r>
          </w:hyperlink>
        </w:p>
        <w:p w14:paraId="276460B4" w14:textId="121F1CD4" w:rsidR="0078649A" w:rsidRDefault="0078649A">
          <w:pPr>
            <w:pStyle w:val="TOC3"/>
            <w:tabs>
              <w:tab w:val="right" w:leader="dot" w:pos="9016"/>
            </w:tabs>
            <w:rPr>
              <w:rFonts w:eastAsiaTheme="minorEastAsia"/>
              <w:noProof/>
              <w:lang w:eastAsia="en-GB"/>
            </w:rPr>
          </w:pPr>
          <w:hyperlink w:anchor="_Toc166593140" w:history="1">
            <w:r w:rsidRPr="00B33F01">
              <w:rPr>
                <w:rStyle w:val="Hyperlink"/>
                <w:noProof/>
              </w:rPr>
              <w:t>3.3.3. Unit Roots</w:t>
            </w:r>
            <w:r>
              <w:rPr>
                <w:noProof/>
                <w:webHidden/>
              </w:rPr>
              <w:tab/>
            </w:r>
            <w:r>
              <w:rPr>
                <w:noProof/>
                <w:webHidden/>
              </w:rPr>
              <w:fldChar w:fldCharType="begin"/>
            </w:r>
            <w:r>
              <w:rPr>
                <w:noProof/>
                <w:webHidden/>
              </w:rPr>
              <w:instrText xml:space="preserve"> PAGEREF _Toc166593140 \h </w:instrText>
            </w:r>
            <w:r>
              <w:rPr>
                <w:noProof/>
                <w:webHidden/>
              </w:rPr>
            </w:r>
            <w:r>
              <w:rPr>
                <w:noProof/>
                <w:webHidden/>
              </w:rPr>
              <w:fldChar w:fldCharType="separate"/>
            </w:r>
            <w:r>
              <w:rPr>
                <w:noProof/>
                <w:webHidden/>
              </w:rPr>
              <w:t>9</w:t>
            </w:r>
            <w:r>
              <w:rPr>
                <w:noProof/>
                <w:webHidden/>
              </w:rPr>
              <w:fldChar w:fldCharType="end"/>
            </w:r>
          </w:hyperlink>
        </w:p>
        <w:p w14:paraId="50DE9F99" w14:textId="04F5AE1A" w:rsidR="0078649A" w:rsidRDefault="0078649A">
          <w:pPr>
            <w:pStyle w:val="TOC3"/>
            <w:tabs>
              <w:tab w:val="right" w:leader="dot" w:pos="9016"/>
            </w:tabs>
            <w:rPr>
              <w:rFonts w:eastAsiaTheme="minorEastAsia"/>
              <w:noProof/>
              <w:lang w:eastAsia="en-GB"/>
            </w:rPr>
          </w:pPr>
          <w:hyperlink w:anchor="_Toc166593141" w:history="1">
            <w:r w:rsidRPr="00B33F01">
              <w:rPr>
                <w:rStyle w:val="Hyperlink"/>
                <w:noProof/>
              </w:rPr>
              <w:t>3.3.2. Heteroskedasticity</w:t>
            </w:r>
            <w:r>
              <w:rPr>
                <w:noProof/>
                <w:webHidden/>
              </w:rPr>
              <w:tab/>
            </w:r>
            <w:r>
              <w:rPr>
                <w:noProof/>
                <w:webHidden/>
              </w:rPr>
              <w:fldChar w:fldCharType="begin"/>
            </w:r>
            <w:r>
              <w:rPr>
                <w:noProof/>
                <w:webHidden/>
              </w:rPr>
              <w:instrText xml:space="preserve"> PAGEREF _Toc166593141 \h </w:instrText>
            </w:r>
            <w:r>
              <w:rPr>
                <w:noProof/>
                <w:webHidden/>
              </w:rPr>
            </w:r>
            <w:r>
              <w:rPr>
                <w:noProof/>
                <w:webHidden/>
              </w:rPr>
              <w:fldChar w:fldCharType="separate"/>
            </w:r>
            <w:r>
              <w:rPr>
                <w:noProof/>
                <w:webHidden/>
              </w:rPr>
              <w:t>10</w:t>
            </w:r>
            <w:r>
              <w:rPr>
                <w:noProof/>
                <w:webHidden/>
              </w:rPr>
              <w:fldChar w:fldCharType="end"/>
            </w:r>
          </w:hyperlink>
        </w:p>
        <w:p w14:paraId="079D91FE" w14:textId="2D499086" w:rsidR="0078649A" w:rsidRDefault="0078649A">
          <w:pPr>
            <w:pStyle w:val="TOC3"/>
            <w:tabs>
              <w:tab w:val="right" w:leader="dot" w:pos="9016"/>
            </w:tabs>
            <w:rPr>
              <w:rFonts w:eastAsiaTheme="minorEastAsia"/>
              <w:noProof/>
              <w:lang w:eastAsia="en-GB"/>
            </w:rPr>
          </w:pPr>
          <w:hyperlink w:anchor="_Toc166593142" w:history="1">
            <w:r w:rsidRPr="00B33F01">
              <w:rPr>
                <w:rStyle w:val="Hyperlink"/>
                <w:noProof/>
              </w:rPr>
              <w:t>3.3.3. Autocorrelation</w:t>
            </w:r>
            <w:r>
              <w:rPr>
                <w:noProof/>
                <w:webHidden/>
              </w:rPr>
              <w:tab/>
            </w:r>
            <w:r>
              <w:rPr>
                <w:noProof/>
                <w:webHidden/>
              </w:rPr>
              <w:fldChar w:fldCharType="begin"/>
            </w:r>
            <w:r>
              <w:rPr>
                <w:noProof/>
                <w:webHidden/>
              </w:rPr>
              <w:instrText xml:space="preserve"> PAGEREF _Toc166593142 \h </w:instrText>
            </w:r>
            <w:r>
              <w:rPr>
                <w:noProof/>
                <w:webHidden/>
              </w:rPr>
            </w:r>
            <w:r>
              <w:rPr>
                <w:noProof/>
                <w:webHidden/>
              </w:rPr>
              <w:fldChar w:fldCharType="separate"/>
            </w:r>
            <w:r>
              <w:rPr>
                <w:noProof/>
                <w:webHidden/>
              </w:rPr>
              <w:t>10</w:t>
            </w:r>
            <w:r>
              <w:rPr>
                <w:noProof/>
                <w:webHidden/>
              </w:rPr>
              <w:fldChar w:fldCharType="end"/>
            </w:r>
          </w:hyperlink>
        </w:p>
        <w:p w14:paraId="42F675D8" w14:textId="4F87D930" w:rsidR="0078649A" w:rsidRDefault="0078649A">
          <w:pPr>
            <w:pStyle w:val="TOC3"/>
            <w:tabs>
              <w:tab w:val="right" w:leader="dot" w:pos="9016"/>
            </w:tabs>
            <w:rPr>
              <w:rFonts w:eastAsiaTheme="minorEastAsia"/>
              <w:noProof/>
              <w:lang w:eastAsia="en-GB"/>
            </w:rPr>
          </w:pPr>
          <w:hyperlink w:anchor="_Toc166593143" w:history="1">
            <w:r w:rsidRPr="00B33F01">
              <w:rPr>
                <w:rStyle w:val="Hyperlink"/>
                <w:noProof/>
              </w:rPr>
              <w:t>3.3.4. Cross-Sectional Dependence</w:t>
            </w:r>
            <w:r>
              <w:rPr>
                <w:noProof/>
                <w:webHidden/>
              </w:rPr>
              <w:tab/>
            </w:r>
            <w:r>
              <w:rPr>
                <w:noProof/>
                <w:webHidden/>
              </w:rPr>
              <w:fldChar w:fldCharType="begin"/>
            </w:r>
            <w:r>
              <w:rPr>
                <w:noProof/>
                <w:webHidden/>
              </w:rPr>
              <w:instrText xml:space="preserve"> PAGEREF _Toc166593143 \h </w:instrText>
            </w:r>
            <w:r>
              <w:rPr>
                <w:noProof/>
                <w:webHidden/>
              </w:rPr>
            </w:r>
            <w:r>
              <w:rPr>
                <w:noProof/>
                <w:webHidden/>
              </w:rPr>
              <w:fldChar w:fldCharType="separate"/>
            </w:r>
            <w:r>
              <w:rPr>
                <w:noProof/>
                <w:webHidden/>
              </w:rPr>
              <w:t>10</w:t>
            </w:r>
            <w:r>
              <w:rPr>
                <w:noProof/>
                <w:webHidden/>
              </w:rPr>
              <w:fldChar w:fldCharType="end"/>
            </w:r>
          </w:hyperlink>
        </w:p>
        <w:p w14:paraId="0413BEA2" w14:textId="0EF851FA" w:rsidR="0078649A" w:rsidRDefault="0078649A">
          <w:pPr>
            <w:pStyle w:val="TOC3"/>
            <w:tabs>
              <w:tab w:val="right" w:leader="dot" w:pos="9016"/>
            </w:tabs>
            <w:rPr>
              <w:rFonts w:eastAsiaTheme="minorEastAsia"/>
              <w:noProof/>
              <w:lang w:eastAsia="en-GB"/>
            </w:rPr>
          </w:pPr>
          <w:hyperlink w:anchor="_Toc166593144" w:history="1">
            <w:r w:rsidRPr="00B33F01">
              <w:rPr>
                <w:rStyle w:val="Hyperlink"/>
                <w:noProof/>
              </w:rPr>
              <w:t>3.3.5.</w:t>
            </w:r>
            <w:r>
              <w:rPr>
                <w:noProof/>
                <w:webHidden/>
              </w:rPr>
              <w:tab/>
            </w:r>
            <w:r>
              <w:rPr>
                <w:noProof/>
                <w:webHidden/>
              </w:rPr>
              <w:fldChar w:fldCharType="begin"/>
            </w:r>
            <w:r>
              <w:rPr>
                <w:noProof/>
                <w:webHidden/>
              </w:rPr>
              <w:instrText xml:space="preserve"> PAGEREF _Toc166593144 \h </w:instrText>
            </w:r>
            <w:r>
              <w:rPr>
                <w:noProof/>
                <w:webHidden/>
              </w:rPr>
            </w:r>
            <w:r>
              <w:rPr>
                <w:noProof/>
                <w:webHidden/>
              </w:rPr>
              <w:fldChar w:fldCharType="separate"/>
            </w:r>
            <w:r>
              <w:rPr>
                <w:noProof/>
                <w:webHidden/>
              </w:rPr>
              <w:t>11</w:t>
            </w:r>
            <w:r>
              <w:rPr>
                <w:noProof/>
                <w:webHidden/>
              </w:rPr>
              <w:fldChar w:fldCharType="end"/>
            </w:r>
          </w:hyperlink>
        </w:p>
        <w:p w14:paraId="0484F431" w14:textId="44E5324F" w:rsidR="0078649A" w:rsidRDefault="0078649A">
          <w:pPr>
            <w:pStyle w:val="TOC1"/>
            <w:tabs>
              <w:tab w:val="right" w:leader="dot" w:pos="9016"/>
            </w:tabs>
            <w:rPr>
              <w:rFonts w:eastAsiaTheme="minorEastAsia"/>
              <w:noProof/>
              <w:lang w:eastAsia="en-GB"/>
            </w:rPr>
          </w:pPr>
          <w:hyperlink w:anchor="_Toc166593145" w:history="1">
            <w:r>
              <w:rPr>
                <w:noProof/>
                <w:webHidden/>
              </w:rPr>
              <w:tab/>
            </w:r>
            <w:r>
              <w:rPr>
                <w:noProof/>
                <w:webHidden/>
              </w:rPr>
              <w:fldChar w:fldCharType="begin"/>
            </w:r>
            <w:r>
              <w:rPr>
                <w:noProof/>
                <w:webHidden/>
              </w:rPr>
              <w:instrText xml:space="preserve"> PAGEREF _Toc166593145 \h </w:instrText>
            </w:r>
            <w:r>
              <w:rPr>
                <w:noProof/>
                <w:webHidden/>
              </w:rPr>
            </w:r>
            <w:r>
              <w:rPr>
                <w:noProof/>
                <w:webHidden/>
              </w:rPr>
              <w:fldChar w:fldCharType="separate"/>
            </w:r>
            <w:r>
              <w:rPr>
                <w:noProof/>
                <w:webHidden/>
              </w:rPr>
              <w:t>11</w:t>
            </w:r>
            <w:r>
              <w:rPr>
                <w:noProof/>
                <w:webHidden/>
              </w:rPr>
              <w:fldChar w:fldCharType="end"/>
            </w:r>
          </w:hyperlink>
        </w:p>
        <w:p w14:paraId="7B98BD23" w14:textId="224AB3D1" w:rsidR="0078649A" w:rsidRDefault="0078649A">
          <w:pPr>
            <w:pStyle w:val="TOC1"/>
            <w:tabs>
              <w:tab w:val="left" w:pos="440"/>
              <w:tab w:val="right" w:leader="dot" w:pos="9016"/>
            </w:tabs>
            <w:rPr>
              <w:rFonts w:eastAsiaTheme="minorEastAsia"/>
              <w:noProof/>
              <w:lang w:eastAsia="en-GB"/>
            </w:rPr>
          </w:pPr>
          <w:hyperlink w:anchor="_Toc166593146" w:history="1">
            <w:r w:rsidRPr="00B33F01">
              <w:rPr>
                <w:rStyle w:val="Hyperlink"/>
                <w:noProof/>
              </w:rPr>
              <w:t>4.</w:t>
            </w:r>
            <w:r>
              <w:rPr>
                <w:rFonts w:eastAsiaTheme="minorEastAsia"/>
                <w:noProof/>
                <w:lang w:eastAsia="en-GB"/>
              </w:rPr>
              <w:tab/>
            </w:r>
            <w:r w:rsidRPr="00B33F01">
              <w:rPr>
                <w:rStyle w:val="Hyperlink"/>
                <w:noProof/>
              </w:rPr>
              <w:t>Results and Discussion</w:t>
            </w:r>
            <w:r>
              <w:rPr>
                <w:noProof/>
                <w:webHidden/>
              </w:rPr>
              <w:tab/>
            </w:r>
            <w:r>
              <w:rPr>
                <w:noProof/>
                <w:webHidden/>
              </w:rPr>
              <w:fldChar w:fldCharType="begin"/>
            </w:r>
            <w:r>
              <w:rPr>
                <w:noProof/>
                <w:webHidden/>
              </w:rPr>
              <w:instrText xml:space="preserve"> PAGEREF _Toc166593146 \h </w:instrText>
            </w:r>
            <w:r>
              <w:rPr>
                <w:noProof/>
                <w:webHidden/>
              </w:rPr>
            </w:r>
            <w:r>
              <w:rPr>
                <w:noProof/>
                <w:webHidden/>
              </w:rPr>
              <w:fldChar w:fldCharType="separate"/>
            </w:r>
            <w:r>
              <w:rPr>
                <w:noProof/>
                <w:webHidden/>
              </w:rPr>
              <w:t>12</w:t>
            </w:r>
            <w:r>
              <w:rPr>
                <w:noProof/>
                <w:webHidden/>
              </w:rPr>
              <w:fldChar w:fldCharType="end"/>
            </w:r>
          </w:hyperlink>
        </w:p>
        <w:p w14:paraId="2D9CD08A" w14:textId="75C230AA" w:rsidR="0078649A" w:rsidRDefault="0078649A">
          <w:pPr>
            <w:pStyle w:val="TOC2"/>
            <w:tabs>
              <w:tab w:val="right" w:leader="dot" w:pos="9016"/>
            </w:tabs>
            <w:rPr>
              <w:rFonts w:eastAsiaTheme="minorEastAsia"/>
              <w:noProof/>
              <w:lang w:eastAsia="en-GB"/>
            </w:rPr>
          </w:pPr>
          <w:hyperlink w:anchor="_Toc166593147" w:history="1">
            <w:r w:rsidRPr="00B33F01">
              <w:rPr>
                <w:rStyle w:val="Hyperlink"/>
                <w:noProof/>
              </w:rPr>
              <w:t>4.1 Caveats</w:t>
            </w:r>
            <w:r>
              <w:rPr>
                <w:noProof/>
                <w:webHidden/>
              </w:rPr>
              <w:tab/>
            </w:r>
            <w:r>
              <w:rPr>
                <w:noProof/>
                <w:webHidden/>
              </w:rPr>
              <w:fldChar w:fldCharType="begin"/>
            </w:r>
            <w:r>
              <w:rPr>
                <w:noProof/>
                <w:webHidden/>
              </w:rPr>
              <w:instrText xml:space="preserve"> PAGEREF _Toc166593147 \h </w:instrText>
            </w:r>
            <w:r>
              <w:rPr>
                <w:noProof/>
                <w:webHidden/>
              </w:rPr>
            </w:r>
            <w:r>
              <w:rPr>
                <w:noProof/>
                <w:webHidden/>
              </w:rPr>
              <w:fldChar w:fldCharType="separate"/>
            </w:r>
            <w:r>
              <w:rPr>
                <w:noProof/>
                <w:webHidden/>
              </w:rPr>
              <w:t>13</w:t>
            </w:r>
            <w:r>
              <w:rPr>
                <w:noProof/>
                <w:webHidden/>
              </w:rPr>
              <w:fldChar w:fldCharType="end"/>
            </w:r>
          </w:hyperlink>
        </w:p>
        <w:p w14:paraId="73F91C77" w14:textId="156BEB75" w:rsidR="0078649A" w:rsidRDefault="0078649A">
          <w:pPr>
            <w:pStyle w:val="TOC1"/>
            <w:tabs>
              <w:tab w:val="right" w:leader="dot" w:pos="9016"/>
            </w:tabs>
            <w:rPr>
              <w:rFonts w:eastAsiaTheme="minorEastAsia"/>
              <w:noProof/>
              <w:lang w:eastAsia="en-GB"/>
            </w:rPr>
          </w:pPr>
          <w:hyperlink w:anchor="_Toc166593148" w:history="1">
            <w:r w:rsidRPr="00B33F01">
              <w:rPr>
                <w:rStyle w:val="Hyperlink"/>
                <w:noProof/>
              </w:rPr>
              <w:t>Conclusion</w:t>
            </w:r>
            <w:r>
              <w:rPr>
                <w:noProof/>
                <w:webHidden/>
              </w:rPr>
              <w:tab/>
            </w:r>
            <w:r>
              <w:rPr>
                <w:noProof/>
                <w:webHidden/>
              </w:rPr>
              <w:fldChar w:fldCharType="begin"/>
            </w:r>
            <w:r>
              <w:rPr>
                <w:noProof/>
                <w:webHidden/>
              </w:rPr>
              <w:instrText xml:space="preserve"> PAGEREF _Toc166593148 \h </w:instrText>
            </w:r>
            <w:r>
              <w:rPr>
                <w:noProof/>
                <w:webHidden/>
              </w:rPr>
            </w:r>
            <w:r>
              <w:rPr>
                <w:noProof/>
                <w:webHidden/>
              </w:rPr>
              <w:fldChar w:fldCharType="separate"/>
            </w:r>
            <w:r>
              <w:rPr>
                <w:noProof/>
                <w:webHidden/>
              </w:rPr>
              <w:t>14</w:t>
            </w:r>
            <w:r>
              <w:rPr>
                <w:noProof/>
                <w:webHidden/>
              </w:rPr>
              <w:fldChar w:fldCharType="end"/>
            </w:r>
          </w:hyperlink>
        </w:p>
        <w:p w14:paraId="36C5F55F" w14:textId="625F5EBA" w:rsidR="0078649A" w:rsidRDefault="0078649A">
          <w:pPr>
            <w:pStyle w:val="TOC1"/>
            <w:tabs>
              <w:tab w:val="right" w:leader="dot" w:pos="9016"/>
            </w:tabs>
            <w:rPr>
              <w:rFonts w:eastAsiaTheme="minorEastAsia"/>
              <w:noProof/>
              <w:lang w:eastAsia="en-GB"/>
            </w:rPr>
          </w:pPr>
          <w:hyperlink w:anchor="_Toc166593149" w:history="1">
            <w:r w:rsidRPr="00B33F01">
              <w:rPr>
                <w:rStyle w:val="Hyperlink"/>
                <w:noProof/>
              </w:rPr>
              <w:t>Recommendations</w:t>
            </w:r>
            <w:r>
              <w:rPr>
                <w:noProof/>
                <w:webHidden/>
              </w:rPr>
              <w:tab/>
            </w:r>
            <w:r>
              <w:rPr>
                <w:noProof/>
                <w:webHidden/>
              </w:rPr>
              <w:fldChar w:fldCharType="begin"/>
            </w:r>
            <w:r>
              <w:rPr>
                <w:noProof/>
                <w:webHidden/>
              </w:rPr>
              <w:instrText xml:space="preserve"> PAGEREF _Toc166593149 \h </w:instrText>
            </w:r>
            <w:r>
              <w:rPr>
                <w:noProof/>
                <w:webHidden/>
              </w:rPr>
            </w:r>
            <w:r>
              <w:rPr>
                <w:noProof/>
                <w:webHidden/>
              </w:rPr>
              <w:fldChar w:fldCharType="separate"/>
            </w:r>
            <w:r>
              <w:rPr>
                <w:noProof/>
                <w:webHidden/>
              </w:rPr>
              <w:t>14</w:t>
            </w:r>
            <w:r>
              <w:rPr>
                <w:noProof/>
                <w:webHidden/>
              </w:rPr>
              <w:fldChar w:fldCharType="end"/>
            </w:r>
          </w:hyperlink>
        </w:p>
        <w:p w14:paraId="636305F7" w14:textId="1A464944" w:rsidR="0078649A" w:rsidRDefault="0078649A">
          <w:pPr>
            <w:pStyle w:val="TOC1"/>
            <w:tabs>
              <w:tab w:val="right" w:leader="dot" w:pos="9016"/>
            </w:tabs>
            <w:rPr>
              <w:rFonts w:eastAsiaTheme="minorEastAsia"/>
              <w:noProof/>
              <w:lang w:eastAsia="en-GB"/>
            </w:rPr>
          </w:pPr>
          <w:hyperlink w:anchor="_Toc166593150" w:history="1">
            <w:r w:rsidRPr="00B33F01">
              <w:rPr>
                <w:rStyle w:val="Hyperlink"/>
                <w:noProof/>
              </w:rPr>
              <w:t>Appendix</w:t>
            </w:r>
            <w:r>
              <w:rPr>
                <w:noProof/>
                <w:webHidden/>
              </w:rPr>
              <w:tab/>
            </w:r>
            <w:r>
              <w:rPr>
                <w:noProof/>
                <w:webHidden/>
              </w:rPr>
              <w:fldChar w:fldCharType="begin"/>
            </w:r>
            <w:r>
              <w:rPr>
                <w:noProof/>
                <w:webHidden/>
              </w:rPr>
              <w:instrText xml:space="preserve"> PAGEREF _Toc166593150 \h </w:instrText>
            </w:r>
            <w:r>
              <w:rPr>
                <w:noProof/>
                <w:webHidden/>
              </w:rPr>
            </w:r>
            <w:r>
              <w:rPr>
                <w:noProof/>
                <w:webHidden/>
              </w:rPr>
              <w:fldChar w:fldCharType="separate"/>
            </w:r>
            <w:r>
              <w:rPr>
                <w:noProof/>
                <w:webHidden/>
              </w:rPr>
              <w:t>14</w:t>
            </w:r>
            <w:r>
              <w:rPr>
                <w:noProof/>
                <w:webHidden/>
              </w:rPr>
              <w:fldChar w:fldCharType="end"/>
            </w:r>
          </w:hyperlink>
        </w:p>
        <w:p w14:paraId="68E8C75E" w14:textId="542D2014" w:rsidR="0078649A" w:rsidRDefault="0078649A">
          <w:pPr>
            <w:pStyle w:val="TOC1"/>
            <w:tabs>
              <w:tab w:val="right" w:leader="dot" w:pos="9016"/>
            </w:tabs>
            <w:rPr>
              <w:rFonts w:eastAsiaTheme="minorEastAsia"/>
              <w:noProof/>
              <w:lang w:eastAsia="en-GB"/>
            </w:rPr>
          </w:pPr>
          <w:hyperlink w:anchor="_Toc166593151" w:history="1">
            <w:r w:rsidRPr="00B33F01">
              <w:rPr>
                <w:rStyle w:val="Hyperlink"/>
                <w:noProof/>
              </w:rPr>
              <w:t>References</w:t>
            </w:r>
            <w:r>
              <w:rPr>
                <w:noProof/>
                <w:webHidden/>
              </w:rPr>
              <w:tab/>
            </w:r>
            <w:r>
              <w:rPr>
                <w:noProof/>
                <w:webHidden/>
              </w:rPr>
              <w:fldChar w:fldCharType="begin"/>
            </w:r>
            <w:r>
              <w:rPr>
                <w:noProof/>
                <w:webHidden/>
              </w:rPr>
              <w:instrText xml:space="preserve"> PAGEREF _Toc166593151 \h </w:instrText>
            </w:r>
            <w:r>
              <w:rPr>
                <w:noProof/>
                <w:webHidden/>
              </w:rPr>
            </w:r>
            <w:r>
              <w:rPr>
                <w:noProof/>
                <w:webHidden/>
              </w:rPr>
              <w:fldChar w:fldCharType="separate"/>
            </w:r>
            <w:r>
              <w:rPr>
                <w:noProof/>
                <w:webHidden/>
              </w:rPr>
              <w:t>16</w:t>
            </w:r>
            <w:r>
              <w:rPr>
                <w:noProof/>
                <w:webHidden/>
              </w:rPr>
              <w:fldChar w:fldCharType="end"/>
            </w:r>
          </w:hyperlink>
        </w:p>
        <w:p w14:paraId="6FC1FECE" w14:textId="45355DE7" w:rsidR="00F06923" w:rsidRDefault="00F06923">
          <w:r>
            <w:rPr>
              <w:b/>
              <w:bCs/>
              <w:noProof/>
            </w:rPr>
            <w:fldChar w:fldCharType="end"/>
          </w:r>
        </w:p>
      </w:sdtContent>
    </w:sdt>
    <w:p w14:paraId="3B3BCD70" w14:textId="77777777" w:rsidR="00F06923" w:rsidRDefault="00F06923" w:rsidP="00F06923"/>
    <w:p w14:paraId="72EB01FE" w14:textId="77777777" w:rsidR="00F06923" w:rsidRDefault="00F06923" w:rsidP="00F06923"/>
    <w:p w14:paraId="09108FAF" w14:textId="77777777" w:rsidR="00F06923" w:rsidRDefault="00F06923" w:rsidP="00F06923"/>
    <w:p w14:paraId="7169872F" w14:textId="77777777" w:rsidR="00F06923" w:rsidRDefault="00F06923" w:rsidP="00F06923"/>
    <w:p w14:paraId="60BBF2BC" w14:textId="77777777" w:rsidR="00F06923" w:rsidRDefault="00F06923" w:rsidP="00F06923">
      <w:pPr>
        <w:pStyle w:val="Heading1"/>
      </w:pPr>
    </w:p>
    <w:p w14:paraId="1D97CED9" w14:textId="5ED3539A" w:rsidR="00F06923" w:rsidRDefault="00F06923" w:rsidP="009D7A1B">
      <w:pPr>
        <w:pStyle w:val="Heading1"/>
        <w:numPr>
          <w:ilvl w:val="0"/>
          <w:numId w:val="1"/>
        </w:numPr>
      </w:pPr>
      <w:bookmarkStart w:id="0" w:name="_Toc166593126"/>
      <w:r>
        <w:t>Introduction</w:t>
      </w:r>
      <w:bookmarkEnd w:id="0"/>
    </w:p>
    <w:p w14:paraId="7698F23C" w14:textId="77777777" w:rsidR="00F06923" w:rsidRDefault="00F06923" w:rsidP="00F06923"/>
    <w:p w14:paraId="4BD1A182" w14:textId="77777777" w:rsidR="00F06923" w:rsidRDefault="00F06923" w:rsidP="00F06923"/>
    <w:p w14:paraId="2AAA6154" w14:textId="77777777" w:rsidR="00F06923" w:rsidRDefault="00F06923" w:rsidP="00F06923"/>
    <w:p w14:paraId="5D78E5FC" w14:textId="77777777" w:rsidR="00F06923" w:rsidRDefault="00F06923" w:rsidP="00F06923"/>
    <w:p w14:paraId="03E86E2E" w14:textId="77777777" w:rsidR="00F06923" w:rsidRDefault="00F06923" w:rsidP="00F06923"/>
    <w:p w14:paraId="13F5ACF2" w14:textId="77777777" w:rsidR="00F06923" w:rsidRDefault="00F06923" w:rsidP="00F06923"/>
    <w:p w14:paraId="2236D488" w14:textId="77777777" w:rsidR="00F06923" w:rsidRDefault="00F06923" w:rsidP="00F06923"/>
    <w:p w14:paraId="62B887E7" w14:textId="77777777" w:rsidR="00F06923" w:rsidRDefault="00F06923" w:rsidP="00F06923"/>
    <w:p w14:paraId="7F2BF7CF" w14:textId="77777777" w:rsidR="00F06923" w:rsidRDefault="00F06923" w:rsidP="00F06923"/>
    <w:p w14:paraId="1922B37A" w14:textId="77777777" w:rsidR="00F06923" w:rsidRDefault="00F06923" w:rsidP="00F06923"/>
    <w:p w14:paraId="78F11CCD" w14:textId="77777777" w:rsidR="00F06923" w:rsidRDefault="00F06923" w:rsidP="00F06923"/>
    <w:p w14:paraId="50008D4A" w14:textId="77777777" w:rsidR="00F06923" w:rsidRDefault="00F06923" w:rsidP="00F06923"/>
    <w:p w14:paraId="6D4D0101" w14:textId="77777777" w:rsidR="00F06923" w:rsidRDefault="00F06923" w:rsidP="00F06923"/>
    <w:p w14:paraId="4AA69B88" w14:textId="77777777" w:rsidR="00F06923" w:rsidRDefault="00F06923" w:rsidP="00F06923"/>
    <w:p w14:paraId="27997F84" w14:textId="77777777" w:rsidR="00F06923" w:rsidRDefault="00F06923" w:rsidP="00F06923"/>
    <w:p w14:paraId="780E3E9B" w14:textId="77777777" w:rsidR="00F06923" w:rsidRDefault="00F06923" w:rsidP="00F06923"/>
    <w:p w14:paraId="6089B6F5" w14:textId="77777777" w:rsidR="00F06923" w:rsidRDefault="00F06923" w:rsidP="00F06923"/>
    <w:p w14:paraId="1A11FA60" w14:textId="77777777" w:rsidR="00F06923" w:rsidRDefault="00F06923" w:rsidP="00F06923"/>
    <w:p w14:paraId="3E1DE845" w14:textId="4576BF8A" w:rsidR="00F06923" w:rsidRDefault="00F06923" w:rsidP="009D7A1B">
      <w:pPr>
        <w:pStyle w:val="Heading1"/>
        <w:numPr>
          <w:ilvl w:val="0"/>
          <w:numId w:val="1"/>
        </w:numPr>
      </w:pPr>
      <w:bookmarkStart w:id="1" w:name="_Toc166593127"/>
      <w:r>
        <w:t>Background</w:t>
      </w:r>
      <w:bookmarkEnd w:id="1"/>
    </w:p>
    <w:p w14:paraId="287F3141" w14:textId="755EB27B" w:rsidR="00F06923" w:rsidRDefault="00206A7D" w:rsidP="00206A7D">
      <w:pPr>
        <w:pStyle w:val="Heading3"/>
      </w:pPr>
      <w:bookmarkStart w:id="2" w:name="_Toc166593128"/>
      <w:r>
        <w:t>2.1 E</w:t>
      </w:r>
      <w:r w:rsidR="007C01B6">
        <w:t>nergy Company Obligation (ECO)</w:t>
      </w:r>
      <w:r w:rsidR="0078649A">
        <w:t xml:space="preserve"> Policies</w:t>
      </w:r>
      <w:bookmarkEnd w:id="2"/>
    </w:p>
    <w:p w14:paraId="68507B07" w14:textId="03335A7F" w:rsidR="0078649A" w:rsidRDefault="00AB4D51" w:rsidP="005D7DEA">
      <w:hyperlink w:anchor="_Katris,_A._and" w:history="1">
        <w:r w:rsidR="00B40FCA" w:rsidRPr="00AB4D51">
          <w:rPr>
            <w:rStyle w:val="Hyperlink"/>
          </w:rPr>
          <w:t>4Katris and Turner (2021)</w:t>
        </w:r>
      </w:hyperlink>
      <w:r w:rsidR="00697DDC">
        <w:t xml:space="preserve"> </w:t>
      </w:r>
      <w:r w:rsidR="00E576F3">
        <w:t>studied the concept of ECO policies</w:t>
      </w:r>
      <w:r w:rsidR="00563186">
        <w:t xml:space="preserve"> using a CGE model</w:t>
      </w:r>
      <w:r w:rsidR="002C4B0F">
        <w:t xml:space="preserve">, </w:t>
      </w:r>
      <w:r w:rsidR="00043493">
        <w:t>finding</w:t>
      </w:r>
      <w:r w:rsidR="005D7DEA">
        <w:t xml:space="preserve"> that </w:t>
      </w:r>
      <w:r w:rsidR="00563186">
        <w:t>“</w:t>
      </w:r>
      <w:r w:rsidR="005D7DEA">
        <w:t>the underlying driver of sustained</w:t>
      </w:r>
      <w:r w:rsidR="005D7DEA">
        <w:t xml:space="preserve"> </w:t>
      </w:r>
      <w:r w:rsidR="0091325A">
        <w:t>(</w:t>
      </w:r>
      <w:r w:rsidR="00563186">
        <w:t>economics</w:t>
      </w:r>
      <w:r w:rsidR="005D7DEA">
        <w:t xml:space="preserve"> gains</w:t>
      </w:r>
      <w:r w:rsidR="0091325A">
        <w:t>)</w:t>
      </w:r>
      <w:r w:rsidR="005D7DEA">
        <w:t xml:space="preserve"> is actually realising energy efficiency gains</w:t>
      </w:r>
      <w:r w:rsidR="0091325A">
        <w:t>”</w:t>
      </w:r>
      <w:r w:rsidR="00563186">
        <w:t>,</w:t>
      </w:r>
      <w:r w:rsidR="000201BF">
        <w:t xml:space="preserve"> with this they relate to information asymmetry</w:t>
      </w:r>
      <w:r w:rsidR="002355BD">
        <w:t xml:space="preserve"> where some households may </w:t>
      </w:r>
      <w:r w:rsidR="004312A1">
        <w:t xml:space="preserve">be unaware of either the ECO policies, or how energy efficiency in their property could </w:t>
      </w:r>
      <w:r w:rsidR="00CF4455">
        <w:t>boost their disposable income, sub</w:t>
      </w:r>
      <w:r w:rsidR="00125AB5">
        <w:t xml:space="preserve">ject to any rebound effects. </w:t>
      </w:r>
      <w:hyperlink w:anchor="_Miu,_L.M.,_Wisniewska," w:history="1">
        <w:r w:rsidR="00F63B3A" w:rsidRPr="00AB4D51">
          <w:rPr>
            <w:rStyle w:val="Hyperlink"/>
          </w:rPr>
          <w:t>6</w:t>
        </w:r>
        <w:r w:rsidR="0062470C" w:rsidRPr="00AB4D51">
          <w:rPr>
            <w:rStyle w:val="Hyperlink"/>
          </w:rPr>
          <w:t>Miu et al (2018)</w:t>
        </w:r>
      </w:hyperlink>
      <w:r w:rsidR="0062470C">
        <w:t xml:space="preserve"> also find a similar conclusion</w:t>
      </w:r>
      <w:r w:rsidR="005323E8">
        <w:t xml:space="preserve"> in their policy review of UK energy efficiency polices, suggesting that a mix of policies </w:t>
      </w:r>
      <w:r w:rsidR="00BD5F04">
        <w:t xml:space="preserve">such as including tax benefits could work best, </w:t>
      </w:r>
      <w:r w:rsidR="00142B2B">
        <w:t>as it could potentially cost less than</w:t>
      </w:r>
      <w:r w:rsidR="007A424B">
        <w:t xml:space="preserve"> </w:t>
      </w:r>
      <w:r w:rsidR="002C4DA8">
        <w:t xml:space="preserve">attempting to </w:t>
      </w:r>
      <w:r w:rsidR="007A424B">
        <w:t>inform households</w:t>
      </w:r>
      <w:r>
        <w:t xml:space="preserve">. For this, a cost-benefit analysis is needed. </w:t>
      </w:r>
      <w:hyperlink w:anchor="_Fawcett,_T.,_Rosenow," w:history="1">
        <w:r w:rsidR="00DE285D" w:rsidRPr="009E5F18">
          <w:rPr>
            <w:rStyle w:val="Hyperlink"/>
          </w:rPr>
          <w:t>2Fawcett</w:t>
        </w:r>
        <w:r w:rsidR="00067DB0" w:rsidRPr="009E5F18">
          <w:rPr>
            <w:rStyle w:val="Hyperlink"/>
          </w:rPr>
          <w:t>, Rosenow and Bertoldi (2018)</w:t>
        </w:r>
      </w:hyperlink>
      <w:r w:rsidR="00067DB0">
        <w:t xml:space="preserve"> perform just that and conclude that ECO schemes </w:t>
      </w:r>
      <w:r w:rsidR="002C060F">
        <w:t xml:space="preserve">can deliver great savings over a sustained period, but need to remain flexible </w:t>
      </w:r>
      <w:r w:rsidR="009E5F18">
        <w:t>as they can become very costly in the future.</w:t>
      </w:r>
      <w:r w:rsidR="005F4AE9">
        <w:t xml:space="preserve"> These </w:t>
      </w:r>
      <w:r w:rsidR="0090064F">
        <w:t>studies,</w:t>
      </w:r>
      <w:r w:rsidR="005F4AE9">
        <w:t xml:space="preserve"> however, do not consider</w:t>
      </w:r>
      <w:r w:rsidR="00A835F2">
        <w:t xml:space="preserve"> the fact that ECO policies </w:t>
      </w:r>
      <w:r w:rsidR="00AB5A6F">
        <w:t>must target some regions in the UK more than others, most rural areas in the UK have older</w:t>
      </w:r>
      <w:r w:rsidR="00F90236">
        <w:t xml:space="preserve"> and therefore less energy efficient houses</w:t>
      </w:r>
      <w:r w:rsidR="00723041">
        <w:t xml:space="preserve"> – And may also suffer from a lack of </w:t>
      </w:r>
      <w:r w:rsidR="0094782A">
        <w:t xml:space="preserve">technology resources such </w:t>
      </w:r>
      <w:r w:rsidR="0094782A">
        <w:lastRenderedPageBreak/>
        <w:t xml:space="preserve">as limited </w:t>
      </w:r>
      <w:r w:rsidR="00B605AE">
        <w:t xml:space="preserve">companies to install solar panels or new boilers. They also may have to </w:t>
      </w:r>
      <w:r w:rsidR="00E10863">
        <w:t>travel further to find stores that sell energy efficient appliances such as lightbulbs</w:t>
      </w:r>
      <w:r w:rsidR="00E730F6">
        <w:t>.</w:t>
      </w:r>
    </w:p>
    <w:p w14:paraId="3F2DE654" w14:textId="77777777" w:rsidR="00E730F6" w:rsidRDefault="00E730F6" w:rsidP="005D7DEA"/>
    <w:p w14:paraId="529611CE" w14:textId="734D1651" w:rsidR="00E730F6" w:rsidRDefault="00E730F6" w:rsidP="00E730F6">
      <w:pPr>
        <w:pStyle w:val="Heading3"/>
      </w:pPr>
      <w:r>
        <w:t>3.1 Energy Performance Certificates (EPCs)</w:t>
      </w:r>
    </w:p>
    <w:p w14:paraId="05601BBA" w14:textId="1D4E5277" w:rsidR="00E730F6" w:rsidRPr="00E730F6" w:rsidRDefault="00804CD9" w:rsidP="00E730F6">
      <w:hyperlink w:anchor="_Olaussen,_J.O.,_Oust," w:history="1">
        <w:r w:rsidR="00767C94" w:rsidRPr="00804CD9">
          <w:rPr>
            <w:rStyle w:val="Hyperlink"/>
          </w:rPr>
          <w:t>8Olaussen, Oust and Solstad (2017)</w:t>
        </w:r>
      </w:hyperlink>
      <w:r w:rsidR="00767C94">
        <w:t xml:space="preserve"> </w:t>
      </w:r>
      <w:r w:rsidR="00B36A63">
        <w:t xml:space="preserve">explain one advantage of EPCs as </w:t>
      </w:r>
      <w:r w:rsidR="009649F0">
        <w:t>an incentive to improve a property’s energy efficiency so the property can sell for more</w:t>
      </w:r>
      <w:r w:rsidR="004F2524">
        <w:t xml:space="preserve">, and implement a fixed effects model using </w:t>
      </w:r>
      <w:r w:rsidR="00D15C70">
        <w:t>panel data on the</w:t>
      </w:r>
      <w:r>
        <w:t xml:space="preserve"> Norwegian</w:t>
      </w:r>
      <w:r w:rsidR="00D15C70">
        <w:t xml:space="preserve"> housing market between 2009-2014</w:t>
      </w:r>
      <w:r>
        <w:t xml:space="preserve">. They </w:t>
      </w:r>
      <w:r w:rsidR="004F3966">
        <w:t>find</w:t>
      </w:r>
      <w:r w:rsidR="0089286E">
        <w:t xml:space="preserve"> small, positive relationships between EPC ratings and house prices</w:t>
      </w:r>
      <w:r w:rsidR="002E5037">
        <w:t xml:space="preserve">, and a substantial positive relationship </w:t>
      </w:r>
      <w:r w:rsidR="00845882">
        <w:t>between prices and the unobserved fixed effects. With this finding, they suggest that there is little information asymmetry</w:t>
      </w:r>
      <w:r w:rsidR="00BC5B1D">
        <w:t xml:space="preserve"> with EPCs. </w:t>
      </w:r>
    </w:p>
    <w:p w14:paraId="0AF353EB" w14:textId="77777777" w:rsidR="00F06923" w:rsidRDefault="00F06923" w:rsidP="00F06923"/>
    <w:p w14:paraId="4073FCB9" w14:textId="77777777" w:rsidR="00F06923" w:rsidRDefault="00F06923" w:rsidP="00F06923"/>
    <w:p w14:paraId="3E5C054D" w14:textId="77777777" w:rsidR="00F06923" w:rsidRDefault="00F06923" w:rsidP="00F06923"/>
    <w:p w14:paraId="2FFBE025" w14:textId="77777777" w:rsidR="00F06923" w:rsidRDefault="00F06923" w:rsidP="00F06923"/>
    <w:p w14:paraId="6AF8C312" w14:textId="77777777" w:rsidR="00F06923" w:rsidRDefault="00F06923" w:rsidP="00F06923"/>
    <w:p w14:paraId="638332F2" w14:textId="77777777" w:rsidR="00F06923" w:rsidRDefault="00F06923" w:rsidP="00F06923"/>
    <w:p w14:paraId="14778F0D" w14:textId="77777777" w:rsidR="00F06923" w:rsidRDefault="00F06923" w:rsidP="00F06923"/>
    <w:p w14:paraId="67CA210F" w14:textId="77777777" w:rsidR="00F06923" w:rsidRDefault="00F06923" w:rsidP="00F06923"/>
    <w:p w14:paraId="09880AF0" w14:textId="27A0B178" w:rsidR="00F06923" w:rsidRDefault="00F06923" w:rsidP="009D7A1B">
      <w:pPr>
        <w:pStyle w:val="Heading1"/>
        <w:numPr>
          <w:ilvl w:val="0"/>
          <w:numId w:val="1"/>
        </w:numPr>
      </w:pPr>
      <w:bookmarkStart w:id="3" w:name="_Toc166593129"/>
      <w:r>
        <w:t>Methodology</w:t>
      </w:r>
      <w:bookmarkEnd w:id="3"/>
    </w:p>
    <w:p w14:paraId="273EB12F" w14:textId="77777777" w:rsidR="00F06923" w:rsidRDefault="00F06923" w:rsidP="00F06923"/>
    <w:p w14:paraId="0A227279" w14:textId="528558CF" w:rsidR="00F06923" w:rsidRDefault="00754C87" w:rsidP="009D7A1B">
      <w:pPr>
        <w:pStyle w:val="Heading2"/>
        <w:numPr>
          <w:ilvl w:val="1"/>
          <w:numId w:val="1"/>
        </w:numPr>
      </w:pPr>
      <w:bookmarkStart w:id="4" w:name="_Toc166593130"/>
      <w:r>
        <w:t>Data</w:t>
      </w:r>
      <w:bookmarkEnd w:id="4"/>
    </w:p>
    <w:p w14:paraId="6CEBBFE1" w14:textId="64CEC0DE" w:rsidR="00C52AD0" w:rsidRDefault="00BE06E8" w:rsidP="00490671">
      <w:r>
        <w:t xml:space="preserve">The data used in this </w:t>
      </w:r>
      <w:r w:rsidR="0074325C">
        <w:t xml:space="preserve">empirical </w:t>
      </w:r>
      <w:r w:rsidR="000563F8">
        <w:t>analysis</w:t>
      </w:r>
      <w:r w:rsidR="00D220B4">
        <w:t xml:space="preserve"> is a panel and</w:t>
      </w:r>
      <w:r w:rsidR="000563F8">
        <w:t xml:space="preserve"> will consist of </w:t>
      </w:r>
      <w:r w:rsidR="0074325C">
        <w:t>quarterly data</w:t>
      </w:r>
      <w:r w:rsidR="00481FF4">
        <w:t xml:space="preserve"> on</w:t>
      </w:r>
      <w:r w:rsidR="00865748">
        <w:t xml:space="preserve"> new Energy Performance Certificate’s (EPC’s) issued in each of</w:t>
      </w:r>
      <w:r w:rsidR="00481FF4">
        <w:t xml:space="preserve"> the 10 </w:t>
      </w:r>
      <w:r w:rsidR="00110DB6">
        <w:t>regions</w:t>
      </w:r>
      <w:r w:rsidR="00481FF4">
        <w:t xml:space="preserve"> of the </w:t>
      </w:r>
      <w:r w:rsidR="00110DB6">
        <w:t xml:space="preserve">England </w:t>
      </w:r>
      <w:r w:rsidR="00BA0B48">
        <w:t xml:space="preserve">and Wales, which are depicted in Figure 1, </w:t>
      </w:r>
      <w:r w:rsidR="00A328D8">
        <w:t>between 2013-2023</w:t>
      </w:r>
      <w:r w:rsidR="00865748">
        <w:t>.</w:t>
      </w:r>
      <w:r w:rsidR="00FE7310">
        <w:t xml:space="preserve"> </w:t>
      </w:r>
      <w:r w:rsidR="00D220B4">
        <w:t xml:space="preserve">As well as UK wide </w:t>
      </w:r>
      <w:r w:rsidR="00C9544B">
        <w:t>data on other characteristics</w:t>
      </w:r>
      <w:r w:rsidR="00230434">
        <w:t xml:space="preserve"> and </w:t>
      </w:r>
      <w:r w:rsidR="00230434">
        <w:t>the</w:t>
      </w:r>
      <w:r w:rsidR="00230434">
        <w:t xml:space="preserve"> England and Wales</w:t>
      </w:r>
      <w:r w:rsidR="00230434">
        <w:t xml:space="preserve"> ECO policies</w:t>
      </w:r>
      <w:r w:rsidR="00471CE7">
        <w:t>. The variables are described in Tables 1 and 2.</w:t>
      </w:r>
      <w:r w:rsidR="00CF1AD8">
        <w:t xml:space="preserve"> Scotland is excluded in th</w:t>
      </w:r>
      <w:r w:rsidR="00535F9D">
        <w:t>is</w:t>
      </w:r>
      <w:r w:rsidR="00CF1AD8">
        <w:t xml:space="preserve"> study due to a different EPC system and </w:t>
      </w:r>
      <w:r w:rsidR="00535F9D">
        <w:t xml:space="preserve">different </w:t>
      </w:r>
      <w:r w:rsidR="00CF1AD8">
        <w:t>ECO policies.</w:t>
      </w:r>
    </w:p>
    <w:p w14:paraId="2F958A8A" w14:textId="118C3960" w:rsidR="00C52AD0" w:rsidRDefault="00C52AD0" w:rsidP="00471CE7">
      <w:pPr>
        <w:pStyle w:val="Heading3"/>
      </w:pPr>
    </w:p>
    <w:p w14:paraId="28F7CFAB" w14:textId="057BEA89" w:rsidR="00C52AD0" w:rsidRDefault="00BA0B48" w:rsidP="00471CE7">
      <w:pPr>
        <w:pStyle w:val="Heading3"/>
      </w:pPr>
      <w:bookmarkStart w:id="5" w:name="_Toc166593131"/>
      <w:r>
        <w:t xml:space="preserve">Figure 1: A Map of </w:t>
      </w:r>
      <w:r w:rsidR="00822868">
        <w:t xml:space="preserve">Regions </w:t>
      </w:r>
      <w:proofErr w:type="gramStart"/>
      <w:r w:rsidR="00822868">
        <w:t>In</w:t>
      </w:r>
      <w:proofErr w:type="gramEnd"/>
      <w:r w:rsidR="00822868">
        <w:t xml:space="preserve"> Britain</w:t>
      </w:r>
      <w:r w:rsidR="007D4A64">
        <w:t>. Sourced from Kedia, N. (2017).</w:t>
      </w:r>
      <w:bookmarkEnd w:id="5"/>
    </w:p>
    <w:p w14:paraId="38396815" w14:textId="5F5ABCED" w:rsidR="00C52AD0" w:rsidRDefault="00BA0B48" w:rsidP="00471CE7">
      <w:pPr>
        <w:pStyle w:val="Heading3"/>
      </w:pPr>
      <w:bookmarkStart w:id="6" w:name="_Toc166593132"/>
      <w:r>
        <w:rPr>
          <w:noProof/>
        </w:rPr>
        <w:drawing>
          <wp:anchor distT="0" distB="0" distL="114300" distR="114300" simplePos="0" relativeHeight="251658240" behindDoc="0" locked="0" layoutInCell="1" allowOverlap="1" wp14:anchorId="3EF84BB6" wp14:editId="6A1A681A">
            <wp:simplePos x="0" y="0"/>
            <wp:positionH relativeFrom="margin">
              <wp:posOffset>1485900</wp:posOffset>
            </wp:positionH>
            <wp:positionV relativeFrom="paragraph">
              <wp:posOffset>78740</wp:posOffset>
            </wp:positionV>
            <wp:extent cx="1962150" cy="2380615"/>
            <wp:effectExtent l="0" t="0" r="0" b="635"/>
            <wp:wrapSquare wrapText="bothSides"/>
            <wp:docPr id="910820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820437" name="Picture 910820437"/>
                    <pic:cNvPicPr/>
                  </pic:nvPicPr>
                  <pic:blipFill>
                    <a:blip r:embed="rId6">
                      <a:extLst>
                        <a:ext uri="{28A0092B-C50C-407E-A947-70E740481C1C}">
                          <a14:useLocalDpi xmlns:a14="http://schemas.microsoft.com/office/drawing/2010/main" val="0"/>
                        </a:ext>
                      </a:extLst>
                    </a:blip>
                    <a:stretch>
                      <a:fillRect/>
                    </a:stretch>
                  </pic:blipFill>
                  <pic:spPr>
                    <a:xfrm>
                      <a:off x="0" y="0"/>
                      <a:ext cx="1962150" cy="2380615"/>
                    </a:xfrm>
                    <a:prstGeom prst="rect">
                      <a:avLst/>
                    </a:prstGeom>
                  </pic:spPr>
                </pic:pic>
              </a:graphicData>
            </a:graphic>
            <wp14:sizeRelH relativeFrom="page">
              <wp14:pctWidth>0</wp14:pctWidth>
            </wp14:sizeRelH>
            <wp14:sizeRelV relativeFrom="page">
              <wp14:pctHeight>0</wp14:pctHeight>
            </wp14:sizeRelV>
          </wp:anchor>
        </w:drawing>
      </w:r>
      <w:bookmarkEnd w:id="6"/>
    </w:p>
    <w:p w14:paraId="6CDCECB2" w14:textId="77777777" w:rsidR="00C52AD0" w:rsidRDefault="00C52AD0" w:rsidP="00471CE7">
      <w:pPr>
        <w:pStyle w:val="Heading3"/>
      </w:pPr>
    </w:p>
    <w:p w14:paraId="039760FC" w14:textId="77777777" w:rsidR="00C52AD0" w:rsidRDefault="00C52AD0" w:rsidP="00471CE7">
      <w:pPr>
        <w:pStyle w:val="Heading3"/>
      </w:pPr>
    </w:p>
    <w:p w14:paraId="2F9EBDA5" w14:textId="77777777" w:rsidR="00C52AD0" w:rsidRDefault="00C52AD0" w:rsidP="00471CE7">
      <w:pPr>
        <w:pStyle w:val="Heading3"/>
      </w:pPr>
    </w:p>
    <w:p w14:paraId="2030FFF9" w14:textId="77777777" w:rsidR="00C52AD0" w:rsidRDefault="00C52AD0" w:rsidP="00471CE7">
      <w:pPr>
        <w:pStyle w:val="Heading3"/>
      </w:pPr>
    </w:p>
    <w:p w14:paraId="1FDBCA38" w14:textId="77777777" w:rsidR="00C52AD0" w:rsidRDefault="00C52AD0" w:rsidP="00471CE7">
      <w:pPr>
        <w:pStyle w:val="Heading3"/>
      </w:pPr>
    </w:p>
    <w:p w14:paraId="120CF24A" w14:textId="77777777" w:rsidR="00C52AD0" w:rsidRDefault="00C52AD0" w:rsidP="00471CE7">
      <w:pPr>
        <w:pStyle w:val="Heading3"/>
      </w:pPr>
    </w:p>
    <w:p w14:paraId="04F86792" w14:textId="77777777" w:rsidR="00BC5B1D" w:rsidRPr="00BC5B1D" w:rsidRDefault="00BC5B1D" w:rsidP="00BC5B1D"/>
    <w:p w14:paraId="46356093" w14:textId="77777777" w:rsidR="00C52AD0" w:rsidRDefault="00C52AD0" w:rsidP="00471CE7">
      <w:pPr>
        <w:pStyle w:val="Heading3"/>
      </w:pPr>
    </w:p>
    <w:p w14:paraId="49D99140" w14:textId="77777777" w:rsidR="00C52AD0" w:rsidRDefault="00C52AD0" w:rsidP="00471CE7">
      <w:pPr>
        <w:pStyle w:val="Heading3"/>
      </w:pPr>
    </w:p>
    <w:p w14:paraId="11AF2C1A" w14:textId="77777777" w:rsidR="00C52AD0" w:rsidRDefault="00C52AD0" w:rsidP="00471CE7">
      <w:pPr>
        <w:pStyle w:val="Heading3"/>
      </w:pPr>
    </w:p>
    <w:p w14:paraId="0700C97E" w14:textId="77777777" w:rsidR="00BC6512" w:rsidRDefault="00BC6512" w:rsidP="00BC6512"/>
    <w:p w14:paraId="3C3AE272" w14:textId="77777777" w:rsidR="00BC5B1D" w:rsidRDefault="00BC5B1D" w:rsidP="00BC6512"/>
    <w:p w14:paraId="4680400E" w14:textId="77777777" w:rsidR="00BC5B1D" w:rsidRDefault="00BC5B1D" w:rsidP="00BC6512"/>
    <w:p w14:paraId="191B718A" w14:textId="77777777" w:rsidR="00BC5B1D" w:rsidRDefault="00BC5B1D" w:rsidP="00BC6512"/>
    <w:p w14:paraId="6D4EF39C" w14:textId="77777777" w:rsidR="00BC5B1D" w:rsidRDefault="00BC5B1D" w:rsidP="00BC6512"/>
    <w:p w14:paraId="3B5F6149" w14:textId="77777777" w:rsidR="00BC5B1D" w:rsidRDefault="00BC5B1D" w:rsidP="00BC6512"/>
    <w:p w14:paraId="60A6BEFD" w14:textId="77777777" w:rsidR="00BC5B1D" w:rsidRDefault="00BC5B1D" w:rsidP="00BC6512"/>
    <w:p w14:paraId="72139724" w14:textId="77777777" w:rsidR="00BC5B1D" w:rsidRDefault="00BC5B1D" w:rsidP="00BC6512"/>
    <w:p w14:paraId="7F3592B1" w14:textId="77777777" w:rsidR="00BC5B1D" w:rsidRDefault="00BC5B1D" w:rsidP="00BC6512"/>
    <w:p w14:paraId="5369CD0E" w14:textId="77777777" w:rsidR="00BC5B1D" w:rsidRDefault="00BC5B1D" w:rsidP="00BC6512"/>
    <w:p w14:paraId="73D3D2E4" w14:textId="77777777" w:rsidR="00BC5B1D" w:rsidRDefault="00BC5B1D" w:rsidP="00BC6512"/>
    <w:p w14:paraId="0B868E4E" w14:textId="77777777" w:rsidR="00BC5B1D" w:rsidRDefault="00BC5B1D" w:rsidP="00BC6512"/>
    <w:p w14:paraId="24F44A42" w14:textId="77777777" w:rsidR="00BC5B1D" w:rsidRDefault="00BC5B1D" w:rsidP="00BC6512"/>
    <w:p w14:paraId="5CAE3852" w14:textId="77777777" w:rsidR="00BC5B1D" w:rsidRDefault="00BC5B1D" w:rsidP="00BC6512"/>
    <w:p w14:paraId="03A930C3" w14:textId="77777777" w:rsidR="00BC5B1D" w:rsidRDefault="00BC5B1D" w:rsidP="00BC6512"/>
    <w:p w14:paraId="4C492826" w14:textId="77777777" w:rsidR="00BC5B1D" w:rsidRDefault="00BC5B1D" w:rsidP="00BC6512"/>
    <w:p w14:paraId="505F0D68" w14:textId="77777777" w:rsidR="00BC5B1D" w:rsidRDefault="00BC5B1D" w:rsidP="00BC6512"/>
    <w:p w14:paraId="0E75414C" w14:textId="77777777" w:rsidR="00BC5B1D" w:rsidRDefault="00BC5B1D" w:rsidP="00BC6512"/>
    <w:p w14:paraId="7A0F909D" w14:textId="77777777" w:rsidR="00BC5B1D" w:rsidRDefault="00BC5B1D" w:rsidP="00BC6512"/>
    <w:p w14:paraId="4D6D4C64" w14:textId="77777777" w:rsidR="00BC5B1D" w:rsidRPr="00BC6512" w:rsidRDefault="00BC5B1D" w:rsidP="00BC6512"/>
    <w:p w14:paraId="129283AE" w14:textId="232885E5" w:rsidR="00754C87" w:rsidRPr="00754C87" w:rsidRDefault="00471CE7" w:rsidP="00471CE7">
      <w:pPr>
        <w:pStyle w:val="Heading3"/>
      </w:pPr>
      <w:bookmarkStart w:id="7" w:name="_Toc166593133"/>
      <w:r>
        <w:lastRenderedPageBreak/>
        <w:t>Table 1: Description of Dependent Variables</w:t>
      </w:r>
      <w:bookmarkEnd w:id="7"/>
    </w:p>
    <w:p w14:paraId="797ABEA0" w14:textId="77777777" w:rsidR="00F06923" w:rsidRDefault="00F06923" w:rsidP="00F06923"/>
    <w:p w14:paraId="1F032EE1" w14:textId="69EFF904" w:rsidR="00C52AD0" w:rsidRDefault="005F1A8B" w:rsidP="00F06923">
      <w:r>
        <w:t xml:space="preserve">According </w:t>
      </w:r>
      <w:hyperlink w:anchor="_GOV.UK._(2024)._A" w:history="1">
        <w:r w:rsidR="004A2EBD" w:rsidRPr="004A2EBD">
          <w:rPr>
            <w:rStyle w:val="Hyperlink"/>
          </w:rPr>
          <w:t>2Gov.uk</w:t>
        </w:r>
      </w:hyperlink>
      <w:r w:rsidR="004A2EBD">
        <w:t xml:space="preserve"> </w:t>
      </w:r>
      <w:r>
        <w:t>to w</w:t>
      </w:r>
      <w:r w:rsidR="00F214DE">
        <w:t>hen a domestic residence is listed for sale or to rent</w:t>
      </w:r>
      <w:r w:rsidR="00DD209B">
        <w:t>, the owner must</w:t>
      </w:r>
      <w:r w:rsidR="004A2EBD">
        <w:t xml:space="preserve"> </w:t>
      </w:r>
      <w:r w:rsidR="00FB3EF8">
        <w:t>obtain an EPC rating for prospective owners/tenants</w:t>
      </w:r>
      <w:r w:rsidR="0079657A">
        <w:t xml:space="preserve">. The rating is then determined based on </w:t>
      </w:r>
      <w:r w:rsidR="003A6B40">
        <w:t>several</w:t>
      </w:r>
      <w:r w:rsidR="0079657A">
        <w:t xml:space="preserve"> factors such as </w:t>
      </w:r>
      <w:r w:rsidR="002F1DBC">
        <w:t>whether the property was wall/loft insulation</w:t>
      </w:r>
      <w:r w:rsidR="00244969">
        <w:t xml:space="preserve"> or </w:t>
      </w:r>
      <w:r w:rsidR="002F1DBC">
        <w:t xml:space="preserve">solar panels, </w:t>
      </w:r>
      <w:r w:rsidR="00244969">
        <w:t>the efficiency of the boiler and different appliances</w:t>
      </w:r>
      <w:r w:rsidR="00DD4778">
        <w:t xml:space="preserve">, and many of criterion. </w:t>
      </w:r>
      <w:r w:rsidR="0038276D">
        <w:t>The property is then given a score from 1-100 and placed in one of the 6 bands described above</w:t>
      </w:r>
      <w:r w:rsidR="00AD28E5">
        <w:t xml:space="preserve">, where band </w:t>
      </w:r>
      <w:r w:rsidR="00020C7A">
        <w:t>F is below 38, band E is below 54</w:t>
      </w:r>
      <w:r w:rsidR="003A6B40">
        <w:t xml:space="preserve"> band D is below 68, and so on.</w:t>
      </w:r>
    </w:p>
    <w:p w14:paraId="1CEC84BA" w14:textId="77777777" w:rsidR="008D184D" w:rsidRDefault="008D184D" w:rsidP="00F06923"/>
    <w:tbl>
      <w:tblPr>
        <w:tblStyle w:val="TableGrid"/>
        <w:tblpPr w:leftFromText="180" w:rightFromText="180" w:vertAnchor="page" w:horzAnchor="margin" w:tblpY="8005"/>
        <w:tblW w:w="0" w:type="auto"/>
        <w:tblLook w:val="04A0" w:firstRow="1" w:lastRow="0" w:firstColumn="1" w:lastColumn="0" w:noHBand="0" w:noVBand="1"/>
      </w:tblPr>
      <w:tblGrid>
        <w:gridCol w:w="2249"/>
        <w:gridCol w:w="2268"/>
        <w:gridCol w:w="2255"/>
        <w:gridCol w:w="2244"/>
      </w:tblGrid>
      <w:tr w:rsidR="001A2ADF" w:rsidRPr="00C52AD0" w14:paraId="2D4CB166" w14:textId="77777777" w:rsidTr="00BC5B1D">
        <w:tc>
          <w:tcPr>
            <w:tcW w:w="2249" w:type="dxa"/>
          </w:tcPr>
          <w:p w14:paraId="5A2F9854" w14:textId="77777777" w:rsidR="001A2ADF" w:rsidRPr="00C52AD0" w:rsidRDefault="001A2ADF" w:rsidP="00BC5B1D">
            <w:pPr>
              <w:rPr>
                <w:sz w:val="18"/>
                <w:szCs w:val="18"/>
              </w:rPr>
            </w:pPr>
            <w:r w:rsidRPr="00C52AD0">
              <w:rPr>
                <w:sz w:val="18"/>
                <w:szCs w:val="18"/>
              </w:rPr>
              <w:t>Variable</w:t>
            </w:r>
          </w:p>
        </w:tc>
        <w:tc>
          <w:tcPr>
            <w:tcW w:w="2268" w:type="dxa"/>
          </w:tcPr>
          <w:p w14:paraId="6EF3AFD8" w14:textId="77777777" w:rsidR="001A2ADF" w:rsidRPr="00C52AD0" w:rsidRDefault="001A2ADF" w:rsidP="00BC5B1D">
            <w:pPr>
              <w:rPr>
                <w:sz w:val="18"/>
                <w:szCs w:val="18"/>
              </w:rPr>
            </w:pPr>
            <w:r w:rsidRPr="00C52AD0">
              <w:rPr>
                <w:sz w:val="18"/>
                <w:szCs w:val="18"/>
              </w:rPr>
              <w:t>Description</w:t>
            </w:r>
          </w:p>
        </w:tc>
        <w:tc>
          <w:tcPr>
            <w:tcW w:w="2255" w:type="dxa"/>
          </w:tcPr>
          <w:p w14:paraId="15ADEFCD" w14:textId="77777777" w:rsidR="001A2ADF" w:rsidRPr="00C52AD0" w:rsidRDefault="001A2ADF" w:rsidP="00BC5B1D">
            <w:pPr>
              <w:rPr>
                <w:sz w:val="18"/>
                <w:szCs w:val="18"/>
              </w:rPr>
            </w:pPr>
            <w:r w:rsidRPr="00C52AD0">
              <w:rPr>
                <w:sz w:val="18"/>
                <w:szCs w:val="18"/>
              </w:rPr>
              <w:t>Time Period</w:t>
            </w:r>
          </w:p>
        </w:tc>
        <w:tc>
          <w:tcPr>
            <w:tcW w:w="2244" w:type="dxa"/>
          </w:tcPr>
          <w:p w14:paraId="4CD5488A" w14:textId="77777777" w:rsidR="001A2ADF" w:rsidRPr="00C52AD0" w:rsidRDefault="001A2ADF" w:rsidP="00BC5B1D">
            <w:pPr>
              <w:rPr>
                <w:sz w:val="18"/>
                <w:szCs w:val="18"/>
              </w:rPr>
            </w:pPr>
            <w:r w:rsidRPr="00C52AD0">
              <w:rPr>
                <w:sz w:val="18"/>
                <w:szCs w:val="18"/>
              </w:rPr>
              <w:t>Source</w:t>
            </w:r>
          </w:p>
        </w:tc>
      </w:tr>
      <w:tr w:rsidR="001A2ADF" w:rsidRPr="00C52AD0" w14:paraId="526AB1BF" w14:textId="77777777" w:rsidTr="00BC5B1D">
        <w:tc>
          <w:tcPr>
            <w:tcW w:w="2249" w:type="dxa"/>
          </w:tcPr>
          <w:p w14:paraId="723E52AB" w14:textId="77777777" w:rsidR="001A2ADF" w:rsidRPr="00C52AD0" w:rsidRDefault="001A2ADF" w:rsidP="00BC5B1D">
            <w:pPr>
              <w:rPr>
                <w:sz w:val="18"/>
                <w:szCs w:val="18"/>
              </w:rPr>
            </w:pPr>
            <w:r w:rsidRPr="00C52AD0">
              <w:rPr>
                <w:sz w:val="18"/>
                <w:szCs w:val="18"/>
              </w:rPr>
              <w:t>A</w:t>
            </w:r>
          </w:p>
        </w:tc>
        <w:tc>
          <w:tcPr>
            <w:tcW w:w="2268" w:type="dxa"/>
          </w:tcPr>
          <w:p w14:paraId="5BF6684D" w14:textId="77777777" w:rsidR="001A2ADF" w:rsidRPr="00C52AD0" w:rsidRDefault="001A2ADF" w:rsidP="00BC5B1D">
            <w:pPr>
              <w:rPr>
                <w:sz w:val="18"/>
                <w:szCs w:val="18"/>
              </w:rPr>
            </w:pPr>
            <w:r w:rsidRPr="00C52AD0">
              <w:rPr>
                <w:sz w:val="18"/>
                <w:szCs w:val="18"/>
              </w:rPr>
              <w:t>Number of Energy Performance Certificates issued with a rating of A</w:t>
            </w:r>
          </w:p>
        </w:tc>
        <w:tc>
          <w:tcPr>
            <w:tcW w:w="2255" w:type="dxa"/>
          </w:tcPr>
          <w:p w14:paraId="170C2752" w14:textId="77777777" w:rsidR="001A2ADF" w:rsidRPr="00C52AD0" w:rsidRDefault="001A2ADF" w:rsidP="00BC5B1D">
            <w:pPr>
              <w:rPr>
                <w:sz w:val="18"/>
                <w:szCs w:val="18"/>
              </w:rPr>
            </w:pPr>
            <w:r w:rsidRPr="00C52AD0">
              <w:rPr>
                <w:sz w:val="18"/>
                <w:szCs w:val="18"/>
              </w:rPr>
              <w:t>2013/Q1-2023/Q4</w:t>
            </w:r>
          </w:p>
        </w:tc>
        <w:tc>
          <w:tcPr>
            <w:tcW w:w="2244" w:type="dxa"/>
          </w:tcPr>
          <w:p w14:paraId="484D23FE" w14:textId="77777777" w:rsidR="001A2ADF" w:rsidRPr="00C52AD0" w:rsidRDefault="001A2ADF" w:rsidP="00BC5B1D">
            <w:pPr>
              <w:rPr>
                <w:sz w:val="18"/>
                <w:szCs w:val="18"/>
              </w:rPr>
            </w:pPr>
            <w:hyperlink w:anchor="_GOV.UK._(2024)._Energy" w:history="1">
              <w:r w:rsidRPr="004A2EBD">
                <w:rPr>
                  <w:rStyle w:val="Hyperlink"/>
                  <w:sz w:val="18"/>
                  <w:szCs w:val="18"/>
                </w:rPr>
                <w:t xml:space="preserve">3GOV.UK. (2024). </w:t>
              </w:r>
              <w:r w:rsidRPr="004A2EBD">
                <w:rPr>
                  <w:rStyle w:val="Hyperlink"/>
                  <w:i/>
                  <w:iCs/>
                  <w:sz w:val="18"/>
                  <w:szCs w:val="18"/>
                </w:rPr>
                <w:t>Energy Performance of Buildings Certificates: Data dashboard</w:t>
              </w:r>
            </w:hyperlink>
          </w:p>
        </w:tc>
      </w:tr>
      <w:tr w:rsidR="001A2ADF" w:rsidRPr="00C52AD0" w14:paraId="1FC86E16" w14:textId="77777777" w:rsidTr="00BC5B1D">
        <w:tc>
          <w:tcPr>
            <w:tcW w:w="2249" w:type="dxa"/>
          </w:tcPr>
          <w:p w14:paraId="6231CA7F" w14:textId="77777777" w:rsidR="001A2ADF" w:rsidRPr="00C52AD0" w:rsidRDefault="001A2ADF" w:rsidP="00BC5B1D">
            <w:pPr>
              <w:rPr>
                <w:sz w:val="18"/>
                <w:szCs w:val="18"/>
              </w:rPr>
            </w:pPr>
            <w:r w:rsidRPr="00C52AD0">
              <w:rPr>
                <w:sz w:val="18"/>
                <w:szCs w:val="18"/>
              </w:rPr>
              <w:t>B</w:t>
            </w:r>
          </w:p>
        </w:tc>
        <w:tc>
          <w:tcPr>
            <w:tcW w:w="2268" w:type="dxa"/>
          </w:tcPr>
          <w:p w14:paraId="2B32495F" w14:textId="77777777" w:rsidR="001A2ADF" w:rsidRPr="00C52AD0" w:rsidRDefault="001A2ADF" w:rsidP="00BC5B1D">
            <w:pPr>
              <w:rPr>
                <w:sz w:val="18"/>
                <w:szCs w:val="18"/>
              </w:rPr>
            </w:pPr>
            <w:r w:rsidRPr="00C52AD0">
              <w:rPr>
                <w:sz w:val="18"/>
                <w:szCs w:val="18"/>
              </w:rPr>
              <w:t>Number of Energy Performance Certificates issued with a rating of A</w:t>
            </w:r>
          </w:p>
        </w:tc>
        <w:tc>
          <w:tcPr>
            <w:tcW w:w="2255" w:type="dxa"/>
          </w:tcPr>
          <w:p w14:paraId="4335962E" w14:textId="77777777" w:rsidR="001A2ADF" w:rsidRPr="00C52AD0" w:rsidRDefault="001A2ADF" w:rsidP="00BC5B1D">
            <w:pPr>
              <w:rPr>
                <w:sz w:val="18"/>
                <w:szCs w:val="18"/>
              </w:rPr>
            </w:pPr>
            <w:r w:rsidRPr="00C52AD0">
              <w:rPr>
                <w:sz w:val="18"/>
                <w:szCs w:val="18"/>
              </w:rPr>
              <w:t>2013/Q1-2023/Q4</w:t>
            </w:r>
          </w:p>
        </w:tc>
        <w:tc>
          <w:tcPr>
            <w:tcW w:w="2244" w:type="dxa"/>
          </w:tcPr>
          <w:p w14:paraId="79CF464A" w14:textId="77777777" w:rsidR="001A2ADF" w:rsidRPr="00C52AD0" w:rsidRDefault="001A2ADF" w:rsidP="00BC5B1D">
            <w:pPr>
              <w:rPr>
                <w:sz w:val="18"/>
                <w:szCs w:val="18"/>
              </w:rPr>
            </w:pPr>
            <w:hyperlink w:anchor="_GOV.UK._(2024)._Energy" w:history="1">
              <w:r w:rsidRPr="004A2EBD">
                <w:rPr>
                  <w:rStyle w:val="Hyperlink"/>
                  <w:sz w:val="18"/>
                  <w:szCs w:val="18"/>
                </w:rPr>
                <w:t xml:space="preserve">3GOV.UK. (2024). </w:t>
              </w:r>
              <w:r w:rsidRPr="004A2EBD">
                <w:rPr>
                  <w:rStyle w:val="Hyperlink"/>
                  <w:i/>
                  <w:iCs/>
                  <w:sz w:val="18"/>
                  <w:szCs w:val="18"/>
                </w:rPr>
                <w:t>Energy Performance of Buildings Certificates: Data dashboard</w:t>
              </w:r>
            </w:hyperlink>
          </w:p>
        </w:tc>
      </w:tr>
      <w:tr w:rsidR="001A2ADF" w:rsidRPr="00C52AD0" w14:paraId="440D1618" w14:textId="77777777" w:rsidTr="00BC5B1D">
        <w:tc>
          <w:tcPr>
            <w:tcW w:w="2249" w:type="dxa"/>
          </w:tcPr>
          <w:p w14:paraId="6733F65D" w14:textId="77777777" w:rsidR="001A2ADF" w:rsidRPr="00C52AD0" w:rsidRDefault="001A2ADF" w:rsidP="00BC5B1D">
            <w:pPr>
              <w:rPr>
                <w:sz w:val="18"/>
                <w:szCs w:val="18"/>
              </w:rPr>
            </w:pPr>
            <w:r w:rsidRPr="00C52AD0">
              <w:rPr>
                <w:sz w:val="18"/>
                <w:szCs w:val="18"/>
              </w:rPr>
              <w:t>C</w:t>
            </w:r>
          </w:p>
        </w:tc>
        <w:tc>
          <w:tcPr>
            <w:tcW w:w="2268" w:type="dxa"/>
          </w:tcPr>
          <w:p w14:paraId="4F7F4CB7" w14:textId="77777777" w:rsidR="001A2ADF" w:rsidRPr="00C52AD0" w:rsidRDefault="001A2ADF" w:rsidP="00BC5B1D">
            <w:pPr>
              <w:rPr>
                <w:sz w:val="18"/>
                <w:szCs w:val="18"/>
              </w:rPr>
            </w:pPr>
            <w:r w:rsidRPr="00C52AD0">
              <w:rPr>
                <w:sz w:val="18"/>
                <w:szCs w:val="18"/>
              </w:rPr>
              <w:t>Number of Energy Performance Certificates issued with a rating of A</w:t>
            </w:r>
          </w:p>
        </w:tc>
        <w:tc>
          <w:tcPr>
            <w:tcW w:w="2255" w:type="dxa"/>
          </w:tcPr>
          <w:p w14:paraId="61AED6C7" w14:textId="77777777" w:rsidR="001A2ADF" w:rsidRPr="00C52AD0" w:rsidRDefault="001A2ADF" w:rsidP="00BC5B1D">
            <w:pPr>
              <w:rPr>
                <w:sz w:val="18"/>
                <w:szCs w:val="18"/>
              </w:rPr>
            </w:pPr>
            <w:r w:rsidRPr="00C52AD0">
              <w:rPr>
                <w:sz w:val="18"/>
                <w:szCs w:val="18"/>
              </w:rPr>
              <w:t>2013/Q1-2023/Q4</w:t>
            </w:r>
          </w:p>
        </w:tc>
        <w:tc>
          <w:tcPr>
            <w:tcW w:w="2244" w:type="dxa"/>
          </w:tcPr>
          <w:p w14:paraId="0B728961" w14:textId="77777777" w:rsidR="001A2ADF" w:rsidRPr="00C52AD0" w:rsidRDefault="001A2ADF" w:rsidP="00BC5B1D">
            <w:pPr>
              <w:rPr>
                <w:sz w:val="18"/>
                <w:szCs w:val="18"/>
              </w:rPr>
            </w:pPr>
            <w:hyperlink w:anchor="_GOV.UK._(2024)._Energy" w:history="1">
              <w:r w:rsidRPr="004A2EBD">
                <w:rPr>
                  <w:rStyle w:val="Hyperlink"/>
                  <w:sz w:val="18"/>
                  <w:szCs w:val="18"/>
                </w:rPr>
                <w:t xml:space="preserve">3GOV.UK. (2024). </w:t>
              </w:r>
              <w:r w:rsidRPr="004A2EBD">
                <w:rPr>
                  <w:rStyle w:val="Hyperlink"/>
                  <w:i/>
                  <w:iCs/>
                  <w:sz w:val="18"/>
                  <w:szCs w:val="18"/>
                </w:rPr>
                <w:t>Energy Performance of Buildings Certificates: Data dashboard</w:t>
              </w:r>
            </w:hyperlink>
          </w:p>
        </w:tc>
      </w:tr>
      <w:tr w:rsidR="001A2ADF" w:rsidRPr="00C52AD0" w14:paraId="78B205F9" w14:textId="77777777" w:rsidTr="00BC5B1D">
        <w:tc>
          <w:tcPr>
            <w:tcW w:w="2249" w:type="dxa"/>
          </w:tcPr>
          <w:p w14:paraId="451577FA" w14:textId="77777777" w:rsidR="001A2ADF" w:rsidRPr="00C52AD0" w:rsidRDefault="001A2ADF" w:rsidP="00BC5B1D">
            <w:pPr>
              <w:rPr>
                <w:sz w:val="18"/>
                <w:szCs w:val="18"/>
              </w:rPr>
            </w:pPr>
            <w:r w:rsidRPr="00C52AD0">
              <w:rPr>
                <w:sz w:val="18"/>
                <w:szCs w:val="18"/>
              </w:rPr>
              <w:t>D</w:t>
            </w:r>
          </w:p>
        </w:tc>
        <w:tc>
          <w:tcPr>
            <w:tcW w:w="2268" w:type="dxa"/>
          </w:tcPr>
          <w:p w14:paraId="63A882D1" w14:textId="77777777" w:rsidR="001A2ADF" w:rsidRPr="00C52AD0" w:rsidRDefault="001A2ADF" w:rsidP="00BC5B1D">
            <w:pPr>
              <w:rPr>
                <w:sz w:val="18"/>
                <w:szCs w:val="18"/>
              </w:rPr>
            </w:pPr>
            <w:r w:rsidRPr="00C52AD0">
              <w:rPr>
                <w:sz w:val="18"/>
                <w:szCs w:val="18"/>
              </w:rPr>
              <w:t>Number of Energy Performance Certificates issued with a rating of A</w:t>
            </w:r>
          </w:p>
        </w:tc>
        <w:tc>
          <w:tcPr>
            <w:tcW w:w="2255" w:type="dxa"/>
          </w:tcPr>
          <w:p w14:paraId="52AF7353" w14:textId="77777777" w:rsidR="001A2ADF" w:rsidRPr="00C52AD0" w:rsidRDefault="001A2ADF" w:rsidP="00BC5B1D">
            <w:pPr>
              <w:rPr>
                <w:sz w:val="18"/>
                <w:szCs w:val="18"/>
              </w:rPr>
            </w:pPr>
            <w:r w:rsidRPr="00C52AD0">
              <w:rPr>
                <w:sz w:val="18"/>
                <w:szCs w:val="18"/>
              </w:rPr>
              <w:t>2013/Q1-2023/Q4</w:t>
            </w:r>
          </w:p>
        </w:tc>
        <w:tc>
          <w:tcPr>
            <w:tcW w:w="2244" w:type="dxa"/>
          </w:tcPr>
          <w:p w14:paraId="2FE82A78" w14:textId="77777777" w:rsidR="001A2ADF" w:rsidRPr="00C52AD0" w:rsidRDefault="001A2ADF" w:rsidP="00BC5B1D">
            <w:pPr>
              <w:rPr>
                <w:sz w:val="18"/>
                <w:szCs w:val="18"/>
              </w:rPr>
            </w:pPr>
            <w:hyperlink w:anchor="_GOV.UK._(2024)._Energy" w:history="1">
              <w:r w:rsidRPr="004A2EBD">
                <w:rPr>
                  <w:rStyle w:val="Hyperlink"/>
                  <w:sz w:val="18"/>
                  <w:szCs w:val="18"/>
                </w:rPr>
                <w:t xml:space="preserve">GOV.UK. (2024). </w:t>
              </w:r>
              <w:r w:rsidRPr="004A2EBD">
                <w:rPr>
                  <w:rStyle w:val="Hyperlink"/>
                  <w:i/>
                  <w:iCs/>
                  <w:sz w:val="18"/>
                  <w:szCs w:val="18"/>
                </w:rPr>
                <w:t>Energy Performance of Buildings Certificates: Data dashboard</w:t>
              </w:r>
            </w:hyperlink>
          </w:p>
        </w:tc>
      </w:tr>
      <w:tr w:rsidR="001A2ADF" w:rsidRPr="00C52AD0" w14:paraId="1E1C95C5" w14:textId="77777777" w:rsidTr="00BC5B1D">
        <w:tc>
          <w:tcPr>
            <w:tcW w:w="2249" w:type="dxa"/>
          </w:tcPr>
          <w:p w14:paraId="609C0D21" w14:textId="77777777" w:rsidR="001A2ADF" w:rsidRPr="00C52AD0" w:rsidRDefault="001A2ADF" w:rsidP="00BC5B1D">
            <w:pPr>
              <w:rPr>
                <w:sz w:val="18"/>
                <w:szCs w:val="18"/>
              </w:rPr>
            </w:pPr>
            <w:r w:rsidRPr="00C52AD0">
              <w:rPr>
                <w:sz w:val="18"/>
                <w:szCs w:val="18"/>
              </w:rPr>
              <w:t>E</w:t>
            </w:r>
          </w:p>
        </w:tc>
        <w:tc>
          <w:tcPr>
            <w:tcW w:w="2268" w:type="dxa"/>
          </w:tcPr>
          <w:p w14:paraId="5DB08593" w14:textId="77777777" w:rsidR="001A2ADF" w:rsidRPr="00C52AD0" w:rsidRDefault="001A2ADF" w:rsidP="00BC5B1D">
            <w:pPr>
              <w:rPr>
                <w:sz w:val="18"/>
                <w:szCs w:val="18"/>
              </w:rPr>
            </w:pPr>
            <w:r w:rsidRPr="00C52AD0">
              <w:rPr>
                <w:sz w:val="18"/>
                <w:szCs w:val="18"/>
              </w:rPr>
              <w:t>Number of Energy Performance Certificates issued with a rating of A</w:t>
            </w:r>
          </w:p>
        </w:tc>
        <w:tc>
          <w:tcPr>
            <w:tcW w:w="2255" w:type="dxa"/>
          </w:tcPr>
          <w:p w14:paraId="58014965" w14:textId="77777777" w:rsidR="001A2ADF" w:rsidRPr="00C52AD0" w:rsidRDefault="001A2ADF" w:rsidP="00BC5B1D">
            <w:pPr>
              <w:rPr>
                <w:sz w:val="18"/>
                <w:szCs w:val="18"/>
              </w:rPr>
            </w:pPr>
            <w:r w:rsidRPr="00C52AD0">
              <w:rPr>
                <w:sz w:val="18"/>
                <w:szCs w:val="18"/>
              </w:rPr>
              <w:t>2013/Q1-2023/Q4</w:t>
            </w:r>
          </w:p>
        </w:tc>
        <w:tc>
          <w:tcPr>
            <w:tcW w:w="2244" w:type="dxa"/>
          </w:tcPr>
          <w:p w14:paraId="44697E3C" w14:textId="77777777" w:rsidR="001A2ADF" w:rsidRPr="00C52AD0" w:rsidRDefault="001A2ADF" w:rsidP="00BC5B1D">
            <w:pPr>
              <w:rPr>
                <w:sz w:val="18"/>
                <w:szCs w:val="18"/>
              </w:rPr>
            </w:pPr>
            <w:hyperlink w:anchor="_GOV.UK._(2024)._Energy" w:history="1">
              <w:r w:rsidRPr="004A2EBD">
                <w:rPr>
                  <w:rStyle w:val="Hyperlink"/>
                  <w:sz w:val="18"/>
                  <w:szCs w:val="18"/>
                </w:rPr>
                <w:t xml:space="preserve">GOV.UK. (2024). </w:t>
              </w:r>
              <w:r w:rsidRPr="004A2EBD">
                <w:rPr>
                  <w:rStyle w:val="Hyperlink"/>
                  <w:i/>
                  <w:iCs/>
                  <w:sz w:val="18"/>
                  <w:szCs w:val="18"/>
                </w:rPr>
                <w:t>Energy Performance of Buildings Certificates: Data dashboard</w:t>
              </w:r>
            </w:hyperlink>
          </w:p>
        </w:tc>
      </w:tr>
      <w:tr w:rsidR="001A2ADF" w:rsidRPr="00C52AD0" w14:paraId="177627E2" w14:textId="77777777" w:rsidTr="00BC5B1D">
        <w:tc>
          <w:tcPr>
            <w:tcW w:w="2249" w:type="dxa"/>
          </w:tcPr>
          <w:p w14:paraId="49AA7577" w14:textId="77777777" w:rsidR="001A2ADF" w:rsidRPr="00C52AD0" w:rsidRDefault="001A2ADF" w:rsidP="00BC5B1D">
            <w:pPr>
              <w:rPr>
                <w:sz w:val="18"/>
                <w:szCs w:val="18"/>
              </w:rPr>
            </w:pPr>
            <w:r w:rsidRPr="00C52AD0">
              <w:rPr>
                <w:sz w:val="18"/>
                <w:szCs w:val="18"/>
              </w:rPr>
              <w:t>F</w:t>
            </w:r>
          </w:p>
        </w:tc>
        <w:tc>
          <w:tcPr>
            <w:tcW w:w="2268" w:type="dxa"/>
          </w:tcPr>
          <w:p w14:paraId="2B693A56" w14:textId="77777777" w:rsidR="001A2ADF" w:rsidRPr="00C52AD0" w:rsidRDefault="001A2ADF" w:rsidP="00BC5B1D">
            <w:pPr>
              <w:rPr>
                <w:sz w:val="18"/>
                <w:szCs w:val="18"/>
              </w:rPr>
            </w:pPr>
            <w:r w:rsidRPr="00C52AD0">
              <w:rPr>
                <w:sz w:val="18"/>
                <w:szCs w:val="18"/>
              </w:rPr>
              <w:t>Number of Energy Performance Certificates issued with a rating of A</w:t>
            </w:r>
          </w:p>
        </w:tc>
        <w:tc>
          <w:tcPr>
            <w:tcW w:w="2255" w:type="dxa"/>
          </w:tcPr>
          <w:p w14:paraId="7EEFC27D" w14:textId="77777777" w:rsidR="001A2ADF" w:rsidRPr="00C52AD0" w:rsidRDefault="001A2ADF" w:rsidP="00BC5B1D">
            <w:pPr>
              <w:rPr>
                <w:sz w:val="18"/>
                <w:szCs w:val="18"/>
              </w:rPr>
            </w:pPr>
            <w:r w:rsidRPr="00C52AD0">
              <w:rPr>
                <w:sz w:val="18"/>
                <w:szCs w:val="18"/>
              </w:rPr>
              <w:t>2013/Q1-2023/Q4</w:t>
            </w:r>
          </w:p>
        </w:tc>
        <w:tc>
          <w:tcPr>
            <w:tcW w:w="2244" w:type="dxa"/>
          </w:tcPr>
          <w:p w14:paraId="4F054007" w14:textId="77777777" w:rsidR="001A2ADF" w:rsidRPr="00C52AD0" w:rsidRDefault="001A2ADF" w:rsidP="00BC5B1D">
            <w:pPr>
              <w:rPr>
                <w:sz w:val="18"/>
                <w:szCs w:val="18"/>
              </w:rPr>
            </w:pPr>
            <w:hyperlink w:anchor="_GOV.UK._(2024)._Energy" w:history="1">
              <w:r w:rsidRPr="004A2EBD">
                <w:rPr>
                  <w:rStyle w:val="Hyperlink"/>
                  <w:sz w:val="18"/>
                  <w:szCs w:val="18"/>
                </w:rPr>
                <w:t xml:space="preserve">GOV.UK. (2024). </w:t>
              </w:r>
              <w:r w:rsidRPr="004A2EBD">
                <w:rPr>
                  <w:rStyle w:val="Hyperlink"/>
                  <w:i/>
                  <w:iCs/>
                  <w:sz w:val="18"/>
                  <w:szCs w:val="18"/>
                </w:rPr>
                <w:t>Energy Performance of Buildings Certificates: Data dashboard</w:t>
              </w:r>
            </w:hyperlink>
          </w:p>
        </w:tc>
      </w:tr>
    </w:tbl>
    <w:p w14:paraId="268D4FA2" w14:textId="77777777" w:rsidR="001A2ADF" w:rsidRDefault="001A2ADF" w:rsidP="00490671">
      <w:pPr>
        <w:pStyle w:val="Heading3"/>
      </w:pPr>
    </w:p>
    <w:p w14:paraId="030BE617" w14:textId="77777777" w:rsidR="001A2ADF" w:rsidRDefault="001A2ADF" w:rsidP="00490671">
      <w:pPr>
        <w:pStyle w:val="Heading3"/>
      </w:pPr>
    </w:p>
    <w:p w14:paraId="1C156AE9" w14:textId="77777777" w:rsidR="001A2ADF" w:rsidRDefault="001A2ADF" w:rsidP="00490671">
      <w:pPr>
        <w:pStyle w:val="Heading3"/>
      </w:pPr>
    </w:p>
    <w:p w14:paraId="00820451" w14:textId="77777777" w:rsidR="001A2ADF" w:rsidRDefault="001A2ADF" w:rsidP="00490671">
      <w:pPr>
        <w:pStyle w:val="Heading3"/>
      </w:pPr>
    </w:p>
    <w:p w14:paraId="54F88FF4" w14:textId="7CB32AE8" w:rsidR="00F06923" w:rsidRDefault="00490671" w:rsidP="00490671">
      <w:pPr>
        <w:pStyle w:val="Heading3"/>
      </w:pPr>
      <w:bookmarkStart w:id="8" w:name="_Toc166593134"/>
      <w:r>
        <w:t>Table 2: Description of Explanatory Variables</w:t>
      </w:r>
      <w:bookmarkEnd w:id="8"/>
    </w:p>
    <w:tbl>
      <w:tblPr>
        <w:tblStyle w:val="TableGrid"/>
        <w:tblW w:w="0" w:type="auto"/>
        <w:tblLook w:val="04A0" w:firstRow="1" w:lastRow="0" w:firstColumn="1" w:lastColumn="0" w:noHBand="0" w:noVBand="1"/>
      </w:tblPr>
      <w:tblGrid>
        <w:gridCol w:w="2246"/>
        <w:gridCol w:w="2258"/>
        <w:gridCol w:w="2251"/>
        <w:gridCol w:w="2261"/>
      </w:tblGrid>
      <w:tr w:rsidR="001A2ADF" w:rsidRPr="001A2ADF" w14:paraId="1628CA82" w14:textId="77777777" w:rsidTr="00B52AEE">
        <w:tc>
          <w:tcPr>
            <w:tcW w:w="2246" w:type="dxa"/>
          </w:tcPr>
          <w:p w14:paraId="47618E80" w14:textId="3EB3CE37" w:rsidR="001A2ADF" w:rsidRPr="001A2ADF" w:rsidRDefault="001A2ADF" w:rsidP="00EB4B0B">
            <w:pPr>
              <w:rPr>
                <w:sz w:val="16"/>
                <w:szCs w:val="16"/>
              </w:rPr>
            </w:pPr>
            <w:r w:rsidRPr="001A2ADF">
              <w:rPr>
                <w:sz w:val="16"/>
                <w:szCs w:val="16"/>
              </w:rPr>
              <w:t>Price</w:t>
            </w:r>
          </w:p>
        </w:tc>
        <w:tc>
          <w:tcPr>
            <w:tcW w:w="2258" w:type="dxa"/>
          </w:tcPr>
          <w:p w14:paraId="04A4A3F6" w14:textId="3DCD769E" w:rsidR="001A2ADF" w:rsidRPr="001A2ADF" w:rsidRDefault="001A2ADF" w:rsidP="00EB4B0B">
            <w:pPr>
              <w:rPr>
                <w:sz w:val="16"/>
                <w:szCs w:val="16"/>
              </w:rPr>
            </w:pPr>
            <w:r w:rsidRPr="001A2ADF">
              <w:rPr>
                <w:sz w:val="16"/>
                <w:szCs w:val="16"/>
              </w:rPr>
              <w:t>The quarterly average prices for fuel and energy in the UK, indexed at the beginning of 2015.</w:t>
            </w:r>
          </w:p>
        </w:tc>
        <w:tc>
          <w:tcPr>
            <w:tcW w:w="2251" w:type="dxa"/>
          </w:tcPr>
          <w:p w14:paraId="3B32D794" w14:textId="25A651E2" w:rsidR="001A2ADF" w:rsidRPr="001A2ADF" w:rsidRDefault="001A2ADF" w:rsidP="00EB4B0B">
            <w:pPr>
              <w:rPr>
                <w:sz w:val="16"/>
                <w:szCs w:val="16"/>
              </w:rPr>
            </w:pPr>
            <w:r w:rsidRPr="001A2ADF">
              <w:rPr>
                <w:sz w:val="16"/>
                <w:szCs w:val="16"/>
              </w:rPr>
              <w:t>2013/Q1-2023/Q4</w:t>
            </w:r>
          </w:p>
        </w:tc>
        <w:tc>
          <w:tcPr>
            <w:tcW w:w="2261" w:type="dxa"/>
          </w:tcPr>
          <w:p w14:paraId="28851FFC" w14:textId="30549EA4" w:rsidR="001A2ADF" w:rsidRPr="001A2ADF" w:rsidRDefault="001A2ADF" w:rsidP="00EB4B0B">
            <w:pPr>
              <w:rPr>
                <w:sz w:val="16"/>
                <w:szCs w:val="16"/>
              </w:rPr>
            </w:pPr>
            <w:hyperlink w:anchor="_Office_for_National" w:history="1">
              <w:r w:rsidRPr="001A2ADF">
                <w:rPr>
                  <w:rStyle w:val="Hyperlink"/>
                  <w:sz w:val="16"/>
                  <w:szCs w:val="16"/>
                </w:rPr>
                <w:t>6Office for National Statistics (2024)</w:t>
              </w:r>
            </w:hyperlink>
          </w:p>
        </w:tc>
      </w:tr>
      <w:tr w:rsidR="001A2ADF" w:rsidRPr="001A2ADF" w14:paraId="77A213F9" w14:textId="77777777" w:rsidTr="00B52AEE">
        <w:tc>
          <w:tcPr>
            <w:tcW w:w="2246" w:type="dxa"/>
          </w:tcPr>
          <w:p w14:paraId="35EDAD67" w14:textId="51A09110" w:rsidR="001A2ADF" w:rsidRPr="001A2ADF" w:rsidRDefault="001A2ADF" w:rsidP="00EB4B0B">
            <w:pPr>
              <w:rPr>
                <w:sz w:val="16"/>
                <w:szCs w:val="16"/>
              </w:rPr>
            </w:pPr>
            <w:r w:rsidRPr="001A2ADF">
              <w:rPr>
                <w:sz w:val="16"/>
                <w:szCs w:val="16"/>
              </w:rPr>
              <w:t>INS</w:t>
            </w:r>
          </w:p>
        </w:tc>
        <w:tc>
          <w:tcPr>
            <w:tcW w:w="2258" w:type="dxa"/>
          </w:tcPr>
          <w:p w14:paraId="7A220987" w14:textId="03765C5D" w:rsidR="001A2ADF" w:rsidRPr="001A2ADF" w:rsidRDefault="001A2ADF" w:rsidP="00EB4B0B">
            <w:pPr>
              <w:rPr>
                <w:sz w:val="16"/>
                <w:szCs w:val="16"/>
              </w:rPr>
            </w:pPr>
            <w:r w:rsidRPr="001A2ADF">
              <w:rPr>
                <w:sz w:val="16"/>
                <w:szCs w:val="16"/>
              </w:rPr>
              <w:t>The number of energy efficiency installations (ECO Measures) in the UK every quarter.</w:t>
            </w:r>
          </w:p>
        </w:tc>
        <w:tc>
          <w:tcPr>
            <w:tcW w:w="2251" w:type="dxa"/>
          </w:tcPr>
          <w:p w14:paraId="06D47A54" w14:textId="23CAE64B" w:rsidR="001A2ADF" w:rsidRPr="001A2ADF" w:rsidRDefault="001A2ADF" w:rsidP="00EB4B0B">
            <w:pPr>
              <w:rPr>
                <w:sz w:val="16"/>
                <w:szCs w:val="16"/>
              </w:rPr>
            </w:pPr>
            <w:r w:rsidRPr="001A2ADF">
              <w:rPr>
                <w:sz w:val="16"/>
                <w:szCs w:val="16"/>
              </w:rPr>
              <w:t>2013/Q1-2023/Q4</w:t>
            </w:r>
          </w:p>
        </w:tc>
        <w:tc>
          <w:tcPr>
            <w:tcW w:w="2261" w:type="dxa"/>
          </w:tcPr>
          <w:p w14:paraId="027A3B28" w14:textId="77777777" w:rsidR="001A2ADF" w:rsidRPr="001A2ADF" w:rsidRDefault="001A2ADF" w:rsidP="00E304ED">
            <w:pPr>
              <w:rPr>
                <w:sz w:val="16"/>
                <w:szCs w:val="16"/>
              </w:rPr>
            </w:pPr>
            <w:hyperlink w:anchor="_Department_For_Energy" w:history="1">
              <w:r w:rsidRPr="001A2ADF">
                <w:rPr>
                  <w:sz w:val="16"/>
                  <w:szCs w:val="16"/>
                </w:rPr>
                <w:t>1</w:t>
              </w:r>
              <w:r w:rsidRPr="001A2ADF">
                <w:rPr>
                  <w:rStyle w:val="Hyperlink"/>
                  <w:sz w:val="16"/>
                  <w:szCs w:val="16"/>
                </w:rPr>
                <w:t>Department for Energy Security and Net Zero</w:t>
              </w:r>
            </w:hyperlink>
          </w:p>
          <w:p w14:paraId="2065ACC7" w14:textId="39F18B4F" w:rsidR="001A2ADF" w:rsidRPr="001A2ADF" w:rsidRDefault="001A2ADF" w:rsidP="00EB4B0B">
            <w:pPr>
              <w:rPr>
                <w:sz w:val="16"/>
                <w:szCs w:val="16"/>
              </w:rPr>
            </w:pPr>
          </w:p>
        </w:tc>
      </w:tr>
      <w:tr w:rsidR="001A2ADF" w:rsidRPr="001A2ADF" w14:paraId="0CE816DB" w14:textId="77777777" w:rsidTr="00B52AEE">
        <w:tc>
          <w:tcPr>
            <w:tcW w:w="2246" w:type="dxa"/>
          </w:tcPr>
          <w:p w14:paraId="1FE534D0" w14:textId="6B74DF47" w:rsidR="001A2ADF" w:rsidRPr="001A2ADF" w:rsidRDefault="001A2ADF" w:rsidP="00EB4B0B">
            <w:pPr>
              <w:rPr>
                <w:sz w:val="16"/>
                <w:szCs w:val="16"/>
              </w:rPr>
            </w:pPr>
            <w:r w:rsidRPr="001A2ADF">
              <w:rPr>
                <w:sz w:val="16"/>
                <w:szCs w:val="16"/>
              </w:rPr>
              <w:lastRenderedPageBreak/>
              <w:t>Y</w:t>
            </w:r>
          </w:p>
        </w:tc>
        <w:tc>
          <w:tcPr>
            <w:tcW w:w="2258" w:type="dxa"/>
          </w:tcPr>
          <w:p w14:paraId="3727E50E" w14:textId="7C4A8300" w:rsidR="001A2ADF" w:rsidRPr="001A2ADF" w:rsidRDefault="001A2ADF" w:rsidP="00EB4B0B">
            <w:pPr>
              <w:rPr>
                <w:sz w:val="16"/>
                <w:szCs w:val="16"/>
              </w:rPr>
            </w:pPr>
            <w:r w:rsidRPr="001A2ADF">
              <w:rPr>
                <w:sz w:val="16"/>
                <w:szCs w:val="16"/>
              </w:rPr>
              <w:t xml:space="preserve">The average weekly-income of the UK in real terms, indexed </w:t>
            </w:r>
            <w:proofErr w:type="gramStart"/>
            <w:r w:rsidRPr="001A2ADF">
              <w:rPr>
                <w:sz w:val="16"/>
                <w:szCs w:val="16"/>
              </w:rPr>
              <w:t>at</w:t>
            </w:r>
            <w:proofErr w:type="gramEnd"/>
            <w:r w:rsidRPr="001A2ADF">
              <w:rPr>
                <w:sz w:val="16"/>
                <w:szCs w:val="16"/>
              </w:rPr>
              <w:t xml:space="preserve"> 2005/Q2</w:t>
            </w:r>
          </w:p>
        </w:tc>
        <w:tc>
          <w:tcPr>
            <w:tcW w:w="2251" w:type="dxa"/>
          </w:tcPr>
          <w:p w14:paraId="108B2D98" w14:textId="31B806A4" w:rsidR="001A2ADF" w:rsidRPr="001A2ADF" w:rsidRDefault="001A2ADF" w:rsidP="00EB4B0B">
            <w:pPr>
              <w:rPr>
                <w:sz w:val="16"/>
                <w:szCs w:val="16"/>
              </w:rPr>
            </w:pPr>
            <w:r w:rsidRPr="001A2ADF">
              <w:rPr>
                <w:sz w:val="16"/>
                <w:szCs w:val="16"/>
              </w:rPr>
              <w:t>2013/Q1-2023/Q4</w:t>
            </w:r>
          </w:p>
        </w:tc>
        <w:tc>
          <w:tcPr>
            <w:tcW w:w="2261" w:type="dxa"/>
          </w:tcPr>
          <w:p w14:paraId="4660DC16" w14:textId="7BE38D41" w:rsidR="001A2ADF" w:rsidRPr="001A2ADF" w:rsidRDefault="001A2ADF" w:rsidP="00EB4B0B">
            <w:pPr>
              <w:rPr>
                <w:sz w:val="16"/>
                <w:szCs w:val="16"/>
              </w:rPr>
            </w:pPr>
            <w:hyperlink w:anchor="_Office_for_National_1" w:history="1">
              <w:r w:rsidRPr="001A2ADF">
                <w:rPr>
                  <w:rStyle w:val="Hyperlink"/>
                  <w:sz w:val="16"/>
                  <w:szCs w:val="16"/>
                </w:rPr>
                <w:t>5Office for National Statistics (2024)</w:t>
              </w:r>
            </w:hyperlink>
          </w:p>
        </w:tc>
      </w:tr>
      <w:tr w:rsidR="001A2ADF" w:rsidRPr="001A2ADF" w14:paraId="63D66613" w14:textId="77777777" w:rsidTr="00B52AEE">
        <w:tc>
          <w:tcPr>
            <w:tcW w:w="2246" w:type="dxa"/>
          </w:tcPr>
          <w:p w14:paraId="3EC18163" w14:textId="472065A0" w:rsidR="001A2ADF" w:rsidRPr="001A2ADF" w:rsidRDefault="001A2ADF" w:rsidP="00EB4B0B">
            <w:pPr>
              <w:rPr>
                <w:sz w:val="16"/>
                <w:szCs w:val="16"/>
              </w:rPr>
            </w:pPr>
            <w:r w:rsidRPr="001A2ADF">
              <w:rPr>
                <w:sz w:val="16"/>
                <w:szCs w:val="16"/>
              </w:rPr>
              <w:t>COST</w:t>
            </w:r>
          </w:p>
        </w:tc>
        <w:tc>
          <w:tcPr>
            <w:tcW w:w="2258" w:type="dxa"/>
          </w:tcPr>
          <w:p w14:paraId="208D84CA" w14:textId="0D15A735" w:rsidR="001A2ADF" w:rsidRPr="001A2ADF" w:rsidRDefault="001A2ADF" w:rsidP="00EB4B0B">
            <w:pPr>
              <w:rPr>
                <w:sz w:val="16"/>
                <w:szCs w:val="16"/>
              </w:rPr>
            </w:pPr>
            <w:r w:rsidRPr="001A2ADF">
              <w:rPr>
                <w:sz w:val="16"/>
                <w:szCs w:val="16"/>
              </w:rPr>
              <w:t>The total costs derived from the ECO policies in each quarter.</w:t>
            </w:r>
          </w:p>
        </w:tc>
        <w:tc>
          <w:tcPr>
            <w:tcW w:w="2251" w:type="dxa"/>
          </w:tcPr>
          <w:p w14:paraId="702BFA58" w14:textId="5E3A1FDF" w:rsidR="001A2ADF" w:rsidRPr="001A2ADF" w:rsidRDefault="001A2ADF" w:rsidP="00EB4B0B">
            <w:pPr>
              <w:rPr>
                <w:sz w:val="16"/>
                <w:szCs w:val="16"/>
              </w:rPr>
            </w:pPr>
            <w:r w:rsidRPr="001A2ADF">
              <w:rPr>
                <w:sz w:val="16"/>
                <w:szCs w:val="16"/>
              </w:rPr>
              <w:t>2013/Q1-2023/Q4</w:t>
            </w:r>
          </w:p>
        </w:tc>
        <w:tc>
          <w:tcPr>
            <w:tcW w:w="2261" w:type="dxa"/>
          </w:tcPr>
          <w:p w14:paraId="5F03E315" w14:textId="77777777" w:rsidR="001A2ADF" w:rsidRPr="001A2ADF" w:rsidRDefault="001A2ADF" w:rsidP="00A821C2">
            <w:pPr>
              <w:rPr>
                <w:sz w:val="16"/>
                <w:szCs w:val="16"/>
              </w:rPr>
            </w:pPr>
            <w:hyperlink w:anchor="_Department_For_Energy" w:history="1">
              <w:r w:rsidRPr="001A2ADF">
                <w:rPr>
                  <w:rStyle w:val="Hyperlink"/>
                  <w:sz w:val="16"/>
                  <w:szCs w:val="16"/>
                </w:rPr>
                <w:t>1Department for Energy Security and Net Zero</w:t>
              </w:r>
            </w:hyperlink>
          </w:p>
          <w:p w14:paraId="622FEE50" w14:textId="76E58A9F" w:rsidR="001A2ADF" w:rsidRPr="001A2ADF" w:rsidRDefault="001A2ADF" w:rsidP="00EB4B0B">
            <w:pPr>
              <w:rPr>
                <w:sz w:val="16"/>
                <w:szCs w:val="16"/>
              </w:rPr>
            </w:pPr>
          </w:p>
        </w:tc>
      </w:tr>
      <w:tr w:rsidR="001A2ADF" w:rsidRPr="001A2ADF" w14:paraId="1D749B6D" w14:textId="77777777" w:rsidTr="00B52AEE">
        <w:tc>
          <w:tcPr>
            <w:tcW w:w="2246" w:type="dxa"/>
          </w:tcPr>
          <w:p w14:paraId="3316E023" w14:textId="2583AA3C" w:rsidR="001A2ADF" w:rsidRPr="001A2ADF" w:rsidRDefault="001A2ADF" w:rsidP="00EB4B0B">
            <w:pPr>
              <w:rPr>
                <w:sz w:val="16"/>
                <w:szCs w:val="16"/>
              </w:rPr>
            </w:pPr>
            <w:r w:rsidRPr="001A2ADF">
              <w:rPr>
                <w:sz w:val="16"/>
                <w:szCs w:val="16"/>
              </w:rPr>
              <w:t>TEMP</w:t>
            </w:r>
          </w:p>
        </w:tc>
        <w:tc>
          <w:tcPr>
            <w:tcW w:w="2258" w:type="dxa"/>
          </w:tcPr>
          <w:p w14:paraId="0FA17483" w14:textId="29DECD91" w:rsidR="001A2ADF" w:rsidRPr="001A2ADF" w:rsidRDefault="001A2ADF" w:rsidP="00EB4B0B">
            <w:pPr>
              <w:rPr>
                <w:sz w:val="16"/>
                <w:szCs w:val="16"/>
              </w:rPr>
            </w:pPr>
            <w:r w:rsidRPr="001A2ADF">
              <w:rPr>
                <w:sz w:val="16"/>
                <w:szCs w:val="16"/>
              </w:rPr>
              <w:t>The average temperature of the UK every quarter.</w:t>
            </w:r>
          </w:p>
        </w:tc>
        <w:tc>
          <w:tcPr>
            <w:tcW w:w="2251" w:type="dxa"/>
          </w:tcPr>
          <w:p w14:paraId="3FFF783E" w14:textId="685AD959" w:rsidR="001A2ADF" w:rsidRPr="001A2ADF" w:rsidRDefault="001A2ADF" w:rsidP="00EB4B0B">
            <w:pPr>
              <w:rPr>
                <w:sz w:val="16"/>
                <w:szCs w:val="16"/>
              </w:rPr>
            </w:pPr>
            <w:r w:rsidRPr="001A2ADF">
              <w:rPr>
                <w:sz w:val="16"/>
                <w:szCs w:val="16"/>
              </w:rPr>
              <w:t>2013/Q1-2023/Q4</w:t>
            </w:r>
          </w:p>
        </w:tc>
        <w:tc>
          <w:tcPr>
            <w:tcW w:w="2261" w:type="dxa"/>
          </w:tcPr>
          <w:p w14:paraId="46B4B445" w14:textId="00511B34" w:rsidR="001A2ADF" w:rsidRPr="001A2ADF" w:rsidRDefault="001A2ADF" w:rsidP="00EB4B0B">
            <w:pPr>
              <w:rPr>
                <w:sz w:val="16"/>
                <w:szCs w:val="16"/>
              </w:rPr>
            </w:pPr>
            <w:hyperlink w:anchor="_7-_Statista._(2024)." w:history="1">
              <w:r w:rsidRPr="001A2ADF">
                <w:rPr>
                  <w:rStyle w:val="Hyperlink"/>
                  <w:sz w:val="16"/>
                  <w:szCs w:val="16"/>
                </w:rPr>
                <w:t>7Statista</w:t>
              </w:r>
            </w:hyperlink>
          </w:p>
        </w:tc>
      </w:tr>
      <w:tr w:rsidR="001A2ADF" w:rsidRPr="001A2ADF" w14:paraId="7814ECA5" w14:textId="77777777" w:rsidTr="00B52AEE">
        <w:tc>
          <w:tcPr>
            <w:tcW w:w="2246" w:type="dxa"/>
          </w:tcPr>
          <w:p w14:paraId="1D7B6EB4" w14:textId="42F4B447" w:rsidR="001A2ADF" w:rsidRPr="001A2ADF" w:rsidRDefault="001A2ADF" w:rsidP="00EB4B0B">
            <w:pPr>
              <w:rPr>
                <w:sz w:val="16"/>
                <w:szCs w:val="16"/>
              </w:rPr>
            </w:pPr>
            <w:r w:rsidRPr="001A2ADF">
              <w:rPr>
                <w:sz w:val="16"/>
                <w:szCs w:val="16"/>
              </w:rPr>
              <w:t>ECO1</w:t>
            </w:r>
          </w:p>
        </w:tc>
        <w:tc>
          <w:tcPr>
            <w:tcW w:w="2258" w:type="dxa"/>
          </w:tcPr>
          <w:p w14:paraId="2352BB85" w14:textId="75ED7945" w:rsidR="001A2ADF" w:rsidRPr="001A2ADF" w:rsidRDefault="001A2ADF" w:rsidP="00EB4B0B">
            <w:pPr>
              <w:rPr>
                <w:sz w:val="16"/>
                <w:szCs w:val="16"/>
              </w:rPr>
            </w:pPr>
            <w:r w:rsidRPr="001A2ADF">
              <w:rPr>
                <w:sz w:val="16"/>
                <w:szCs w:val="16"/>
              </w:rPr>
              <w:t>A dummy variable for if the ECO1 policy is active in each quarter. =1 if so, =0 if not.</w:t>
            </w:r>
          </w:p>
        </w:tc>
        <w:tc>
          <w:tcPr>
            <w:tcW w:w="2251" w:type="dxa"/>
          </w:tcPr>
          <w:p w14:paraId="37F0A5C6" w14:textId="1ADD1DE3" w:rsidR="001A2ADF" w:rsidRPr="001A2ADF" w:rsidRDefault="001A2ADF" w:rsidP="00EB4B0B">
            <w:pPr>
              <w:rPr>
                <w:sz w:val="16"/>
                <w:szCs w:val="16"/>
              </w:rPr>
            </w:pPr>
            <w:r w:rsidRPr="001A2ADF">
              <w:rPr>
                <w:sz w:val="16"/>
                <w:szCs w:val="16"/>
              </w:rPr>
              <w:t>2013/Q1-2023/Q4</w:t>
            </w:r>
          </w:p>
        </w:tc>
        <w:tc>
          <w:tcPr>
            <w:tcW w:w="2261" w:type="dxa"/>
          </w:tcPr>
          <w:p w14:paraId="650A3BB1" w14:textId="77777777" w:rsidR="001A2ADF" w:rsidRPr="001A2ADF" w:rsidRDefault="001A2ADF" w:rsidP="00E304ED">
            <w:pPr>
              <w:rPr>
                <w:sz w:val="16"/>
                <w:szCs w:val="16"/>
              </w:rPr>
            </w:pPr>
            <w:hyperlink w:anchor="_Department_For_Energy" w:history="1">
              <w:r w:rsidRPr="001A2ADF">
                <w:rPr>
                  <w:rStyle w:val="Hyperlink"/>
                  <w:sz w:val="16"/>
                  <w:szCs w:val="16"/>
                </w:rPr>
                <w:t>1Department for Energy Security and Net Zero</w:t>
              </w:r>
            </w:hyperlink>
          </w:p>
          <w:p w14:paraId="26146935" w14:textId="2FD04C42" w:rsidR="001A2ADF" w:rsidRPr="001A2ADF" w:rsidRDefault="001A2ADF" w:rsidP="00EB4B0B">
            <w:pPr>
              <w:rPr>
                <w:sz w:val="16"/>
                <w:szCs w:val="16"/>
              </w:rPr>
            </w:pPr>
          </w:p>
        </w:tc>
      </w:tr>
      <w:tr w:rsidR="001A2ADF" w:rsidRPr="001A2ADF" w14:paraId="2EFFD59A" w14:textId="77777777" w:rsidTr="00B52AEE">
        <w:tc>
          <w:tcPr>
            <w:tcW w:w="2246" w:type="dxa"/>
          </w:tcPr>
          <w:p w14:paraId="55C76057" w14:textId="3CA116ED" w:rsidR="001A2ADF" w:rsidRPr="001A2ADF" w:rsidRDefault="001A2ADF" w:rsidP="00EB4B0B">
            <w:pPr>
              <w:rPr>
                <w:sz w:val="16"/>
                <w:szCs w:val="16"/>
              </w:rPr>
            </w:pPr>
            <w:r w:rsidRPr="001A2ADF">
              <w:rPr>
                <w:sz w:val="16"/>
                <w:szCs w:val="16"/>
              </w:rPr>
              <w:t>HTH</w:t>
            </w:r>
          </w:p>
        </w:tc>
        <w:tc>
          <w:tcPr>
            <w:tcW w:w="2258" w:type="dxa"/>
          </w:tcPr>
          <w:p w14:paraId="5CC7C0BF" w14:textId="19F886FE" w:rsidR="001A2ADF" w:rsidRPr="001A2ADF" w:rsidRDefault="001A2ADF" w:rsidP="00EB4B0B">
            <w:pPr>
              <w:rPr>
                <w:sz w:val="16"/>
                <w:szCs w:val="16"/>
              </w:rPr>
            </w:pPr>
            <w:r w:rsidRPr="001A2ADF">
              <w:rPr>
                <w:sz w:val="16"/>
                <w:szCs w:val="16"/>
              </w:rPr>
              <w:t>A dummy variable for if the HTH policy is active in each quarter. =1 if so, =0 if not.</w:t>
            </w:r>
          </w:p>
        </w:tc>
        <w:tc>
          <w:tcPr>
            <w:tcW w:w="2251" w:type="dxa"/>
          </w:tcPr>
          <w:p w14:paraId="763A42BD" w14:textId="61CEDF90" w:rsidR="001A2ADF" w:rsidRPr="001A2ADF" w:rsidRDefault="001A2ADF" w:rsidP="00EB4B0B">
            <w:pPr>
              <w:rPr>
                <w:sz w:val="16"/>
                <w:szCs w:val="16"/>
              </w:rPr>
            </w:pPr>
            <w:r w:rsidRPr="001A2ADF">
              <w:rPr>
                <w:sz w:val="16"/>
                <w:szCs w:val="16"/>
              </w:rPr>
              <w:t>2013/Q1-2023/Q4</w:t>
            </w:r>
          </w:p>
        </w:tc>
        <w:tc>
          <w:tcPr>
            <w:tcW w:w="2261" w:type="dxa"/>
          </w:tcPr>
          <w:p w14:paraId="58637F89" w14:textId="77777777" w:rsidR="001A2ADF" w:rsidRPr="001A2ADF" w:rsidRDefault="001A2ADF" w:rsidP="00E304ED">
            <w:pPr>
              <w:rPr>
                <w:sz w:val="16"/>
                <w:szCs w:val="16"/>
              </w:rPr>
            </w:pPr>
            <w:hyperlink w:anchor="_Department_For_Energy" w:history="1">
              <w:r w:rsidRPr="001A2ADF">
                <w:rPr>
                  <w:rStyle w:val="Hyperlink"/>
                  <w:sz w:val="16"/>
                  <w:szCs w:val="16"/>
                </w:rPr>
                <w:t>1Department for Energy Security and Net Zero</w:t>
              </w:r>
            </w:hyperlink>
          </w:p>
          <w:p w14:paraId="341F4752" w14:textId="77777777" w:rsidR="001A2ADF" w:rsidRPr="001A2ADF" w:rsidRDefault="001A2ADF" w:rsidP="00EB4B0B">
            <w:pPr>
              <w:rPr>
                <w:sz w:val="16"/>
                <w:szCs w:val="16"/>
              </w:rPr>
            </w:pPr>
          </w:p>
        </w:tc>
      </w:tr>
      <w:tr w:rsidR="001A2ADF" w:rsidRPr="001A2ADF" w14:paraId="7092910B" w14:textId="77777777" w:rsidTr="00B52AEE">
        <w:tc>
          <w:tcPr>
            <w:tcW w:w="2246" w:type="dxa"/>
          </w:tcPr>
          <w:p w14:paraId="27B2535B" w14:textId="0A5A9A81" w:rsidR="001A2ADF" w:rsidRPr="001A2ADF" w:rsidRDefault="001A2ADF" w:rsidP="00EB4B0B">
            <w:pPr>
              <w:rPr>
                <w:sz w:val="16"/>
                <w:szCs w:val="16"/>
              </w:rPr>
            </w:pPr>
            <w:r w:rsidRPr="001A2ADF">
              <w:rPr>
                <w:sz w:val="16"/>
                <w:szCs w:val="16"/>
              </w:rPr>
              <w:t>ECO3</w:t>
            </w:r>
          </w:p>
        </w:tc>
        <w:tc>
          <w:tcPr>
            <w:tcW w:w="2258" w:type="dxa"/>
          </w:tcPr>
          <w:p w14:paraId="7F349ECD" w14:textId="250EC742" w:rsidR="001A2ADF" w:rsidRPr="001A2ADF" w:rsidRDefault="001A2ADF" w:rsidP="00EB4B0B">
            <w:pPr>
              <w:rPr>
                <w:sz w:val="16"/>
                <w:szCs w:val="16"/>
              </w:rPr>
            </w:pPr>
            <w:r w:rsidRPr="001A2ADF">
              <w:rPr>
                <w:sz w:val="16"/>
                <w:szCs w:val="16"/>
              </w:rPr>
              <w:t>A dummy variable for if the ECO3 policy is active in each quarter. =1 if so, =0 if not.</w:t>
            </w:r>
          </w:p>
        </w:tc>
        <w:tc>
          <w:tcPr>
            <w:tcW w:w="2251" w:type="dxa"/>
          </w:tcPr>
          <w:p w14:paraId="20BD0906" w14:textId="499832EA" w:rsidR="001A2ADF" w:rsidRPr="001A2ADF" w:rsidRDefault="001A2ADF" w:rsidP="00EB4B0B">
            <w:pPr>
              <w:rPr>
                <w:sz w:val="16"/>
                <w:szCs w:val="16"/>
              </w:rPr>
            </w:pPr>
            <w:r w:rsidRPr="001A2ADF">
              <w:rPr>
                <w:sz w:val="16"/>
                <w:szCs w:val="16"/>
              </w:rPr>
              <w:t>2013/Q1-2023/Q4</w:t>
            </w:r>
          </w:p>
        </w:tc>
        <w:tc>
          <w:tcPr>
            <w:tcW w:w="2261" w:type="dxa"/>
          </w:tcPr>
          <w:p w14:paraId="6EE60735" w14:textId="77777777" w:rsidR="001A2ADF" w:rsidRPr="001A2ADF" w:rsidRDefault="001A2ADF" w:rsidP="00E304ED">
            <w:pPr>
              <w:rPr>
                <w:sz w:val="16"/>
                <w:szCs w:val="16"/>
              </w:rPr>
            </w:pPr>
            <w:hyperlink w:anchor="_Department_For_Energy" w:history="1">
              <w:r w:rsidRPr="001A2ADF">
                <w:rPr>
                  <w:rStyle w:val="Hyperlink"/>
                  <w:sz w:val="16"/>
                  <w:szCs w:val="16"/>
                </w:rPr>
                <w:t>1Department for Energy Security and Net Zero</w:t>
              </w:r>
            </w:hyperlink>
          </w:p>
          <w:p w14:paraId="0F0FEA0C" w14:textId="77777777" w:rsidR="001A2ADF" w:rsidRPr="001A2ADF" w:rsidRDefault="001A2ADF" w:rsidP="00EB4B0B">
            <w:pPr>
              <w:rPr>
                <w:sz w:val="16"/>
                <w:szCs w:val="16"/>
              </w:rPr>
            </w:pPr>
          </w:p>
        </w:tc>
      </w:tr>
      <w:tr w:rsidR="001A2ADF" w:rsidRPr="001A2ADF" w14:paraId="2E2EAE55" w14:textId="77777777" w:rsidTr="00B52AEE">
        <w:tc>
          <w:tcPr>
            <w:tcW w:w="2246" w:type="dxa"/>
          </w:tcPr>
          <w:p w14:paraId="41D34629" w14:textId="2AB6D827" w:rsidR="001A2ADF" w:rsidRPr="001A2ADF" w:rsidRDefault="001A2ADF" w:rsidP="00EB4B0B">
            <w:pPr>
              <w:rPr>
                <w:sz w:val="16"/>
                <w:szCs w:val="16"/>
              </w:rPr>
            </w:pPr>
            <w:r w:rsidRPr="001A2ADF">
              <w:rPr>
                <w:sz w:val="16"/>
                <w:szCs w:val="16"/>
              </w:rPr>
              <w:t>ECO4</w:t>
            </w:r>
          </w:p>
        </w:tc>
        <w:tc>
          <w:tcPr>
            <w:tcW w:w="2258" w:type="dxa"/>
          </w:tcPr>
          <w:p w14:paraId="613773C6" w14:textId="65D585B3" w:rsidR="001A2ADF" w:rsidRPr="001A2ADF" w:rsidRDefault="001A2ADF" w:rsidP="00EB4B0B">
            <w:pPr>
              <w:rPr>
                <w:sz w:val="16"/>
                <w:szCs w:val="16"/>
              </w:rPr>
            </w:pPr>
            <w:r w:rsidRPr="001A2ADF">
              <w:rPr>
                <w:sz w:val="16"/>
                <w:szCs w:val="16"/>
              </w:rPr>
              <w:t>A dummy variable for if the ECO4 policy is active in each quarter. =1 if so, =0 if not.</w:t>
            </w:r>
          </w:p>
        </w:tc>
        <w:tc>
          <w:tcPr>
            <w:tcW w:w="2251" w:type="dxa"/>
          </w:tcPr>
          <w:p w14:paraId="27616DD0" w14:textId="3137C554" w:rsidR="001A2ADF" w:rsidRPr="001A2ADF" w:rsidRDefault="001A2ADF" w:rsidP="00EB4B0B">
            <w:pPr>
              <w:rPr>
                <w:sz w:val="16"/>
                <w:szCs w:val="16"/>
              </w:rPr>
            </w:pPr>
            <w:r w:rsidRPr="001A2ADF">
              <w:rPr>
                <w:sz w:val="16"/>
                <w:szCs w:val="16"/>
              </w:rPr>
              <w:t>2013/Q1-2023/Q4</w:t>
            </w:r>
          </w:p>
        </w:tc>
        <w:tc>
          <w:tcPr>
            <w:tcW w:w="2261" w:type="dxa"/>
          </w:tcPr>
          <w:p w14:paraId="4399EA34" w14:textId="77777777" w:rsidR="001A2ADF" w:rsidRPr="001A2ADF" w:rsidRDefault="001A2ADF" w:rsidP="00E304ED">
            <w:pPr>
              <w:rPr>
                <w:sz w:val="16"/>
                <w:szCs w:val="16"/>
              </w:rPr>
            </w:pPr>
            <w:hyperlink w:anchor="_Department_For_Energy" w:history="1">
              <w:r w:rsidRPr="001A2ADF">
                <w:rPr>
                  <w:rStyle w:val="Hyperlink"/>
                  <w:sz w:val="16"/>
                  <w:szCs w:val="16"/>
                </w:rPr>
                <w:t>1Department for Energy Security and Net Zero</w:t>
              </w:r>
            </w:hyperlink>
          </w:p>
          <w:p w14:paraId="5FBE9A34" w14:textId="77777777" w:rsidR="001A2ADF" w:rsidRPr="001A2ADF" w:rsidRDefault="001A2ADF" w:rsidP="00EB4B0B">
            <w:pPr>
              <w:rPr>
                <w:sz w:val="16"/>
                <w:szCs w:val="16"/>
              </w:rPr>
            </w:pPr>
          </w:p>
        </w:tc>
      </w:tr>
      <w:tr w:rsidR="001A2ADF" w:rsidRPr="001A2ADF" w14:paraId="591D27A7" w14:textId="77777777" w:rsidTr="00B52AEE">
        <w:tc>
          <w:tcPr>
            <w:tcW w:w="2246" w:type="dxa"/>
          </w:tcPr>
          <w:p w14:paraId="4FE2CCDE" w14:textId="4BA6FC1C" w:rsidR="001A2ADF" w:rsidRPr="001A2ADF" w:rsidRDefault="001A2ADF" w:rsidP="00EB4B0B">
            <w:pPr>
              <w:rPr>
                <w:sz w:val="16"/>
                <w:szCs w:val="16"/>
              </w:rPr>
            </w:pPr>
            <w:r w:rsidRPr="001A2ADF">
              <w:rPr>
                <w:sz w:val="16"/>
                <w:szCs w:val="16"/>
              </w:rPr>
              <w:t>AWM</w:t>
            </w:r>
          </w:p>
        </w:tc>
        <w:tc>
          <w:tcPr>
            <w:tcW w:w="2258" w:type="dxa"/>
          </w:tcPr>
          <w:p w14:paraId="4ADA4042" w14:textId="285728FA" w:rsidR="001A2ADF" w:rsidRPr="001A2ADF" w:rsidRDefault="001A2ADF" w:rsidP="00EB4B0B">
            <w:pPr>
              <w:rPr>
                <w:sz w:val="16"/>
                <w:szCs w:val="16"/>
              </w:rPr>
            </w:pPr>
            <w:r w:rsidRPr="001A2ADF">
              <w:rPr>
                <w:sz w:val="16"/>
                <w:szCs w:val="16"/>
              </w:rPr>
              <w:t>A dummy variable for if the AWM policy is active in each quarter. =1 if so, =0 if not.</w:t>
            </w:r>
          </w:p>
        </w:tc>
        <w:tc>
          <w:tcPr>
            <w:tcW w:w="2251" w:type="dxa"/>
          </w:tcPr>
          <w:p w14:paraId="31DFF520" w14:textId="4DA326D7" w:rsidR="001A2ADF" w:rsidRPr="001A2ADF" w:rsidRDefault="001A2ADF" w:rsidP="00EB4B0B">
            <w:pPr>
              <w:rPr>
                <w:sz w:val="16"/>
                <w:szCs w:val="16"/>
              </w:rPr>
            </w:pPr>
            <w:r w:rsidRPr="001A2ADF">
              <w:rPr>
                <w:sz w:val="16"/>
                <w:szCs w:val="16"/>
              </w:rPr>
              <w:t>2013/Q1-2023/Q4</w:t>
            </w:r>
          </w:p>
        </w:tc>
        <w:tc>
          <w:tcPr>
            <w:tcW w:w="2261" w:type="dxa"/>
          </w:tcPr>
          <w:p w14:paraId="0715D3E3" w14:textId="77777777" w:rsidR="001A2ADF" w:rsidRPr="001A2ADF" w:rsidRDefault="001A2ADF" w:rsidP="00E304ED">
            <w:pPr>
              <w:rPr>
                <w:sz w:val="16"/>
                <w:szCs w:val="16"/>
              </w:rPr>
            </w:pPr>
            <w:hyperlink w:anchor="_Department_For_Energy" w:history="1">
              <w:r w:rsidRPr="001A2ADF">
                <w:rPr>
                  <w:rStyle w:val="Hyperlink"/>
                  <w:sz w:val="16"/>
                  <w:szCs w:val="16"/>
                </w:rPr>
                <w:t>1Department for Energy Security and Net Zero</w:t>
              </w:r>
            </w:hyperlink>
          </w:p>
          <w:p w14:paraId="77CB9B99" w14:textId="77777777" w:rsidR="001A2ADF" w:rsidRPr="001A2ADF" w:rsidRDefault="001A2ADF" w:rsidP="00EB4B0B">
            <w:pPr>
              <w:rPr>
                <w:sz w:val="16"/>
                <w:szCs w:val="16"/>
              </w:rPr>
            </w:pPr>
          </w:p>
        </w:tc>
      </w:tr>
      <w:tr w:rsidR="001A2ADF" w:rsidRPr="001A2ADF" w14:paraId="3067A8D0" w14:textId="77777777" w:rsidTr="00B52AEE">
        <w:tc>
          <w:tcPr>
            <w:tcW w:w="2246" w:type="dxa"/>
          </w:tcPr>
          <w:p w14:paraId="730CF569" w14:textId="7184F026" w:rsidR="001A2ADF" w:rsidRPr="001A2ADF" w:rsidRDefault="001A2ADF" w:rsidP="00EB4B0B">
            <w:pPr>
              <w:rPr>
                <w:sz w:val="16"/>
                <w:szCs w:val="16"/>
              </w:rPr>
            </w:pPr>
          </w:p>
        </w:tc>
        <w:tc>
          <w:tcPr>
            <w:tcW w:w="2258" w:type="dxa"/>
          </w:tcPr>
          <w:p w14:paraId="532F9F4D" w14:textId="42E54B42" w:rsidR="001A2ADF" w:rsidRPr="001A2ADF" w:rsidRDefault="001A2ADF" w:rsidP="00EB4B0B">
            <w:pPr>
              <w:rPr>
                <w:sz w:val="16"/>
                <w:szCs w:val="16"/>
              </w:rPr>
            </w:pPr>
          </w:p>
        </w:tc>
        <w:tc>
          <w:tcPr>
            <w:tcW w:w="2251" w:type="dxa"/>
          </w:tcPr>
          <w:p w14:paraId="64FF2503" w14:textId="1E447265" w:rsidR="001A2ADF" w:rsidRPr="001A2ADF" w:rsidRDefault="001A2ADF" w:rsidP="00EB4B0B">
            <w:pPr>
              <w:rPr>
                <w:sz w:val="16"/>
                <w:szCs w:val="16"/>
              </w:rPr>
            </w:pPr>
          </w:p>
        </w:tc>
        <w:tc>
          <w:tcPr>
            <w:tcW w:w="2261" w:type="dxa"/>
          </w:tcPr>
          <w:p w14:paraId="2B3BCE57" w14:textId="77777777" w:rsidR="001A2ADF" w:rsidRPr="001A2ADF" w:rsidRDefault="001A2ADF" w:rsidP="00EB4B0B">
            <w:pPr>
              <w:rPr>
                <w:sz w:val="16"/>
                <w:szCs w:val="16"/>
              </w:rPr>
            </w:pPr>
          </w:p>
        </w:tc>
      </w:tr>
    </w:tbl>
    <w:p w14:paraId="4E87213C" w14:textId="77777777" w:rsidR="00473D12" w:rsidRDefault="00473D12" w:rsidP="00473D12"/>
    <w:p w14:paraId="07A6757F" w14:textId="77777777" w:rsidR="001A2ADF" w:rsidRDefault="001A2ADF" w:rsidP="00490671"/>
    <w:p w14:paraId="497A315D" w14:textId="17F63B6B" w:rsidR="006844ED" w:rsidRDefault="00AB23D2" w:rsidP="00490671">
      <w:r>
        <w:t xml:space="preserve">The 5 dummy variables used </w:t>
      </w:r>
      <w:r w:rsidR="00E37D71">
        <w:t xml:space="preserve">are included to analyse the impact of each ECO policy </w:t>
      </w:r>
      <w:r w:rsidR="003678E3">
        <w:t>to see whether they have achieved what was intended from them when they were active</w:t>
      </w:r>
      <w:r w:rsidR="006C70B5">
        <w:t xml:space="preserve">. </w:t>
      </w:r>
      <w:r w:rsidR="004008CC">
        <w:t xml:space="preserve">Energy prices are included as it is expected that as they increase, households should </w:t>
      </w:r>
      <w:r w:rsidR="00646ED8">
        <w:t>be aiming to increase their energy efficiency which would in turn increase their EPC rating.</w:t>
      </w:r>
      <w:r w:rsidR="00B92AE8">
        <w:t xml:space="preserve"> The number of ECO measures installed </w:t>
      </w:r>
      <w:r w:rsidR="00CD7966">
        <w:t xml:space="preserve">are included because they </w:t>
      </w:r>
      <w:r w:rsidR="00B92AE8">
        <w:t>should also be significant in increasing EPC ratings</w:t>
      </w:r>
      <w:r w:rsidR="00157B82">
        <w:t xml:space="preserve"> as</w:t>
      </w:r>
      <w:r w:rsidR="007956CE">
        <w:t xml:space="preserve"> </w:t>
      </w:r>
      <w:r w:rsidR="00B96EEC">
        <w:t>it is one of the reasons why ECO policies exist</w:t>
      </w:r>
      <w:r w:rsidR="000C5817">
        <w:t>, therefore we should see a positive correlation between the two variables.</w:t>
      </w:r>
      <w:r w:rsidR="00CE5B04">
        <w:t xml:space="preserve"> It is important that we include the COST variable</w:t>
      </w:r>
      <w:r w:rsidR="00E847CA">
        <w:t xml:space="preserve"> so that we can analyse whether the ECO policies were worth</w:t>
      </w:r>
      <w:r w:rsidR="00D07257">
        <w:t xml:space="preserve"> the millions of pounds invested in them, if not then different strategies must be undertaken by the UK government. We </w:t>
      </w:r>
      <w:r w:rsidR="006C7FB9">
        <w:t>expect this to have a positive relationship with the</w:t>
      </w:r>
      <w:r w:rsidR="00984A05">
        <w:t xml:space="preserve"> A, B and C dependent variables. Both Y and TEMP are</w:t>
      </w:r>
      <w:r w:rsidR="001A32D0">
        <w:t xml:space="preserve"> included in the models because they are</w:t>
      </w:r>
      <w:r w:rsidR="00984A05">
        <w:t xml:space="preserve"> characteristics</w:t>
      </w:r>
      <w:r w:rsidR="00AF4747">
        <w:t xml:space="preserve"> of the household and the country that we expect to influence EPC ratings</w:t>
      </w:r>
      <w:r w:rsidR="001A32D0">
        <w:t xml:space="preserve">, a higher income should correlated to investment in energy efficiency as the household </w:t>
      </w:r>
      <w:r w:rsidR="00C82357">
        <w:t>has more available income to invest in effici</w:t>
      </w:r>
      <w:r w:rsidR="00FB16EC">
        <w:t>ency measures, and if the country is colder then appliances such as the boiler will be used more frequently and for longer</w:t>
      </w:r>
      <w:r w:rsidR="006844ED">
        <w:t>, this may encourage investment in a more efficient boiler to lower costs.</w:t>
      </w:r>
    </w:p>
    <w:p w14:paraId="3138A350" w14:textId="77777777" w:rsidR="00036A18" w:rsidRPr="00490671" w:rsidRDefault="00036A18" w:rsidP="00490671"/>
    <w:p w14:paraId="3E306AD6" w14:textId="55FE6E1E" w:rsidR="00F06923" w:rsidRDefault="00752D5F" w:rsidP="008A015A">
      <w:pPr>
        <w:pStyle w:val="Heading3"/>
      </w:pPr>
      <w:bookmarkStart w:id="9" w:name="_Toc166593135"/>
      <w:r>
        <w:rPr>
          <w:noProof/>
        </w:rPr>
        <w:lastRenderedPageBreak/>
        <w:drawing>
          <wp:anchor distT="0" distB="0" distL="114300" distR="114300" simplePos="0" relativeHeight="251660288" behindDoc="0" locked="0" layoutInCell="1" allowOverlap="1" wp14:anchorId="521BD9CB" wp14:editId="0E72075F">
            <wp:simplePos x="0" y="0"/>
            <wp:positionH relativeFrom="column">
              <wp:posOffset>-202019</wp:posOffset>
            </wp:positionH>
            <wp:positionV relativeFrom="paragraph">
              <wp:posOffset>286990</wp:posOffset>
            </wp:positionV>
            <wp:extent cx="5731510" cy="3906520"/>
            <wp:effectExtent l="0" t="0" r="2540" b="0"/>
            <wp:wrapSquare wrapText="bothSides"/>
            <wp:docPr id="961743701" name="Picture 2" descr="A table of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743701" name="Picture 2" descr="A table of numbers and number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906520"/>
                    </a:xfrm>
                    <a:prstGeom prst="rect">
                      <a:avLst/>
                    </a:prstGeom>
                  </pic:spPr>
                </pic:pic>
              </a:graphicData>
            </a:graphic>
            <wp14:sizeRelH relativeFrom="page">
              <wp14:pctWidth>0</wp14:pctWidth>
            </wp14:sizeRelH>
            <wp14:sizeRelV relativeFrom="page">
              <wp14:pctHeight>0</wp14:pctHeight>
            </wp14:sizeRelV>
          </wp:anchor>
        </w:drawing>
      </w:r>
      <w:r w:rsidR="008A015A">
        <w:t xml:space="preserve">Table 3: </w:t>
      </w:r>
      <w:r w:rsidR="00800D4B">
        <w:t>Summary Statistics of Variables</w:t>
      </w:r>
      <w:bookmarkEnd w:id="9"/>
    </w:p>
    <w:p w14:paraId="4B17A2D6" w14:textId="0E5A4F58" w:rsidR="00752D5F" w:rsidRPr="00752D5F" w:rsidRDefault="00752D5F" w:rsidP="00752D5F"/>
    <w:p w14:paraId="315E21A6" w14:textId="318E06E6" w:rsidR="00800D4B" w:rsidRDefault="00800D4B" w:rsidP="00F06923">
      <w:r>
        <w:t xml:space="preserve">Table </w:t>
      </w:r>
      <w:r w:rsidR="009E5EA4">
        <w:t>3 shows the descriptive statistics of the data described above. We</w:t>
      </w:r>
      <w:r w:rsidR="00C738E3">
        <w:t xml:space="preserve"> can see that there are 43 observations per region included</w:t>
      </w:r>
      <w:r w:rsidR="00F75961">
        <w:t>.</w:t>
      </w:r>
      <w:r w:rsidR="00445C8F">
        <w:t xml:space="preserve"> One important observation to note is that is that the AWM dummy has a mean of 0.86</w:t>
      </w:r>
      <w:r w:rsidR="00780D87">
        <w:t>, this is because the Affordable Warmth Policy was active from the beginning of the data set up until the introduction of ECO4</w:t>
      </w:r>
      <w:r w:rsidR="009438FE">
        <w:t>. This mean that AWM may be correlated with</w:t>
      </w:r>
      <w:r w:rsidR="00475D62">
        <w:t xml:space="preserve"> the other dummy variables and will likely cause collinearity problems.</w:t>
      </w:r>
      <w:r w:rsidR="00752D5F">
        <w:t xml:space="preserve"> We can also see that the average cost of the ECO policies </w:t>
      </w:r>
      <w:r w:rsidR="00E3081F">
        <w:t>per quarter is £170m</w:t>
      </w:r>
      <w:r w:rsidR="00AC6FFA">
        <w:t xml:space="preserve"> </w:t>
      </w:r>
      <w:r w:rsidR="00A767E0">
        <w:t xml:space="preserve">for 88639 installations of efficiency measures. One more observation </w:t>
      </w:r>
      <w:r w:rsidR="00BE70C6">
        <w:t xml:space="preserve">more </w:t>
      </w:r>
      <w:r w:rsidR="008F0BD5">
        <w:t xml:space="preserve">D </w:t>
      </w:r>
      <w:proofErr w:type="gramStart"/>
      <w:r w:rsidR="008F0BD5">
        <w:t>ratings</w:t>
      </w:r>
      <w:proofErr w:type="gramEnd"/>
      <w:r w:rsidR="008F0BD5">
        <w:t xml:space="preserve"> are given across the UK on average, compared to the other ratings.</w:t>
      </w:r>
      <w:r w:rsidR="00606595">
        <w:t xml:space="preserve"> </w:t>
      </w:r>
      <w:r w:rsidR="00EF501E">
        <w:t>Also, there are more G ratings given out than A ratings over this time-period, on average.</w:t>
      </w:r>
    </w:p>
    <w:p w14:paraId="1F776583" w14:textId="70E1C961" w:rsidR="00F479B0" w:rsidRDefault="00036A18" w:rsidP="00F479B0">
      <w:r>
        <w:t>In the models described later, these variables will be included in log form to linearise the relationships in the model, and to interpret the coefficients as a percentage change in the explanatory variables on a percentage change in the dependent variables.</w:t>
      </w:r>
    </w:p>
    <w:p w14:paraId="35B76DAB" w14:textId="77777777" w:rsidR="00F479B0" w:rsidRDefault="00F479B0" w:rsidP="00F479B0">
      <w:pPr>
        <w:pStyle w:val="Heading2"/>
      </w:pPr>
    </w:p>
    <w:p w14:paraId="513C9859" w14:textId="50B0F4E6" w:rsidR="00C52AD0" w:rsidRDefault="00F479B0" w:rsidP="00F479B0">
      <w:pPr>
        <w:pStyle w:val="Heading2"/>
      </w:pPr>
      <w:bookmarkStart w:id="10" w:name="_Toc166593136"/>
      <w:r>
        <w:t>3.2</w:t>
      </w:r>
      <w:r w:rsidR="001A2ADF">
        <w:t>.</w:t>
      </w:r>
      <w:r>
        <w:t xml:space="preserve"> Method</w:t>
      </w:r>
      <w:bookmarkEnd w:id="10"/>
    </w:p>
    <w:p w14:paraId="1D091CA5" w14:textId="5C40D50A" w:rsidR="00F479B0" w:rsidRDefault="00651DDF" w:rsidP="00F479B0">
      <w:r>
        <w:t xml:space="preserve">The estimation method </w:t>
      </w:r>
      <w:r w:rsidR="00E3159E">
        <w:t>initially chosen for this analysis was that of a fixed effects model</w:t>
      </w:r>
      <w:r w:rsidR="00D32043">
        <w:t>s for each EPC band</w:t>
      </w:r>
      <w:r w:rsidR="00E3159E">
        <w:t xml:space="preserve">, to control for any unobserved heterogeneity and </w:t>
      </w:r>
      <w:r w:rsidR="009C7467">
        <w:t>time-invariant characteristics, such as factors that could influence a</w:t>
      </w:r>
      <w:r w:rsidR="00FF712B">
        <w:t xml:space="preserve"> household</w:t>
      </w:r>
      <w:r w:rsidR="004949F5">
        <w:t>’</w:t>
      </w:r>
      <w:r w:rsidR="00FF712B">
        <w:t>s decision</w:t>
      </w:r>
      <w:r w:rsidR="00E04D6F">
        <w:t xml:space="preserve"> in a specific region</w:t>
      </w:r>
      <w:r w:rsidR="00FF712B">
        <w:t xml:space="preserve"> to take advantage of any policies</w:t>
      </w:r>
      <w:r w:rsidR="00737F5E">
        <w:t xml:space="preserve"> or install their own efficiency measures. The </w:t>
      </w:r>
      <w:r w:rsidR="004949F5">
        <w:t>estimation</w:t>
      </w:r>
      <w:r w:rsidR="00737F5E">
        <w:t xml:space="preserve"> </w:t>
      </w:r>
      <w:r w:rsidR="007013C3">
        <w:t xml:space="preserve">is shown as: </w:t>
      </w:r>
    </w:p>
    <w:p w14:paraId="47B86A68" w14:textId="282F37EF" w:rsidR="007013C3" w:rsidRDefault="009E0609" w:rsidP="00F479B0">
      <m:oMathPara>
        <m:oMath>
          <m:sSub>
            <m:sSubPr>
              <m:ctrlPr>
                <w:rPr>
                  <w:rFonts w:ascii="Cambria Math" w:hAnsi="Cambria Math"/>
                  <w:i/>
                </w:rPr>
              </m:ctrlPr>
            </m:sSubPr>
            <m:e>
              <m:r>
                <w:rPr>
                  <w:rFonts w:ascii="Cambria Math" w:hAnsi="Cambria Math"/>
                </w:rPr>
                <m:t>LnEPC</m:t>
              </m:r>
            </m:e>
            <m:sub>
              <m:r>
                <w:rPr>
                  <w:rFonts w:ascii="Cambria Math" w:hAnsi="Cambria Math"/>
                </w:rPr>
                <m:t>k,i,t</m:t>
              </m:r>
              <m:r>
                <w:rPr>
                  <w:rFonts w:ascii="Cambria Math" w:hAnsi="Cambria Math"/>
                </w:rPr>
                <m:t xml:space="preserve"> </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p>
            <m:sSupPr>
              <m:ctrlPr>
                <w:rPr>
                  <w:rFonts w:ascii="Cambria Math" w:hAnsi="Cambria Math"/>
                  <w:i/>
                </w:rPr>
              </m:ctrlPr>
            </m:sSupPr>
            <m:e>
              <m:r>
                <w:rPr>
                  <w:rFonts w:ascii="Cambria Math" w:hAnsi="Cambria Math"/>
                </w:rPr>
                <m:t>β</m:t>
              </m:r>
            </m:e>
            <m:sup>
              <m:r>
                <w:rPr>
                  <w:rFonts w:ascii="Cambria Math" w:hAnsi="Cambria Math"/>
                </w:rPr>
                <m:t>k</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5</m:t>
              </m:r>
            </m:sup>
            <m:e>
              <m:sSub>
                <m:sSubPr>
                  <m:ctrlPr>
                    <w:rPr>
                      <w:rFonts w:ascii="Cambria Math" w:hAnsi="Cambria Math"/>
                      <w:i/>
                    </w:rPr>
                  </m:ctrlPr>
                </m:sSubPr>
                <m:e>
                  <m:r>
                    <w:rPr>
                      <w:rFonts w:ascii="Cambria Math" w:hAnsi="Cambria Math"/>
                    </w:rPr>
                    <m:t>γ</m:t>
                  </m:r>
                </m:e>
                <m:sub>
                  <m:r>
                    <w:rPr>
                      <w:rFonts w:ascii="Cambria Math" w:hAnsi="Cambria Math"/>
                    </w:rPr>
                    <m:t>j</m:t>
                  </m:r>
                </m:sub>
              </m:sSub>
              <m:sSub>
                <m:sSubPr>
                  <m:ctrlPr>
                    <w:rPr>
                      <w:rFonts w:ascii="Cambria Math" w:hAnsi="Cambria Math"/>
                      <w:i/>
                    </w:rPr>
                  </m:ctrlPr>
                </m:sSubPr>
                <m:e>
                  <m:r>
                    <w:rPr>
                      <w:rFonts w:ascii="Cambria Math" w:hAnsi="Cambria Math"/>
                    </w:rPr>
                    <m:t>P</m:t>
                  </m:r>
                </m:e>
                <m:sub>
                  <m:r>
                    <w:rPr>
                      <w:rFonts w:ascii="Cambria Math" w:hAnsi="Cambria Math"/>
                    </w:rPr>
                    <m:t>t</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10</m:t>
              </m:r>
            </m:sup>
            <m:e>
              <m:sSub>
                <m:sSubPr>
                  <m:ctrlPr>
                    <w:rPr>
                      <w:rFonts w:ascii="Cambria Math" w:hAnsi="Cambria Math"/>
                      <w:i/>
                    </w:rPr>
                  </m:ctrlPr>
                </m:sSubPr>
                <m:e>
                  <m:r>
                    <w:rPr>
                      <w:rFonts w:ascii="Cambria Math" w:hAnsi="Cambria Math"/>
                    </w:rPr>
                    <m:t>δ</m:t>
                  </m:r>
                </m:e>
                <m:sub>
                  <m:r>
                    <w:rPr>
                      <w:rFonts w:ascii="Cambria Math" w:hAnsi="Cambria Math"/>
                    </w:rPr>
                    <m:t>l</m:t>
                  </m:r>
                </m:sub>
              </m:sSub>
              <m:sSub>
                <m:sSubPr>
                  <m:ctrlPr>
                    <w:rPr>
                      <w:rFonts w:ascii="Cambria Math" w:hAnsi="Cambria Math"/>
                      <w:i/>
                    </w:rPr>
                  </m:ctrlPr>
                </m:sSubPr>
                <m:e>
                  <m:r>
                    <w:rPr>
                      <w:rFonts w:ascii="Cambria Math" w:hAnsi="Cambria Math"/>
                    </w:rPr>
                    <m:t>R</m:t>
                  </m:r>
                </m:e>
                <m:sub>
                  <m:r>
                    <w:rPr>
                      <w:rFonts w:ascii="Cambria Math" w:hAnsi="Cambria Math"/>
                    </w:rPr>
                    <m:t xml:space="preserve">i </m:t>
                  </m:r>
                </m:sub>
              </m:sSub>
              <m:r>
                <w:rPr>
                  <w:rFonts w:ascii="Cambria Math" w:hAnsi="Cambria Math"/>
                </w:rPr>
                <m:t>+μ</m:t>
              </m:r>
            </m:e>
          </m:nary>
        </m:oMath>
      </m:oMathPara>
    </w:p>
    <w:p w14:paraId="7EAE9127" w14:textId="438E1B41" w:rsidR="00D57719" w:rsidRDefault="00B06B76" w:rsidP="00D57719">
      <w:r>
        <w:lastRenderedPageBreak/>
        <w:t>Where</w:t>
      </w:r>
      <w:r w:rsidR="00DB1617">
        <w:t xml:space="preserve"> k (k = A, B, C, D, E, F, G)</w:t>
      </w:r>
      <w:r w:rsidR="00810F70">
        <w:t xml:space="preserve"> for every region i in each quarter t. X</w:t>
      </w:r>
      <w:r w:rsidR="00810F70" w:rsidRPr="00810F70">
        <w:rPr>
          <w:vertAlign w:val="subscript"/>
        </w:rPr>
        <w:t>t</w:t>
      </w:r>
      <w:r w:rsidR="00810F70">
        <w:rPr>
          <w:vertAlign w:val="subscript"/>
        </w:rPr>
        <w:t xml:space="preserve"> </w:t>
      </w:r>
      <w:r w:rsidR="008D04D6">
        <w:t>= (lnPrice, lnINS, lnY, lnTEMP, lnCOST)</w:t>
      </w:r>
      <w:r w:rsidR="00A00FE0">
        <w:t xml:space="preserve"> and P</w:t>
      </w:r>
      <w:r w:rsidR="00A00FE0" w:rsidRPr="00334E7D">
        <w:rPr>
          <w:vertAlign w:val="subscript"/>
        </w:rPr>
        <w:t>t</w:t>
      </w:r>
      <w:r w:rsidR="00A00FE0">
        <w:t xml:space="preserve"> represents the </w:t>
      </w:r>
      <w:r w:rsidR="00735CC4">
        <w:t>5 policy dummy variables, and R</w:t>
      </w:r>
      <w:r w:rsidR="00735CC4" w:rsidRPr="00334E7D">
        <w:rPr>
          <w:vertAlign w:val="subscript"/>
        </w:rPr>
        <w:t>i</w:t>
      </w:r>
      <w:r w:rsidR="00735CC4">
        <w:t xml:space="preserve"> represents each region in England</w:t>
      </w:r>
      <w:r w:rsidR="00334E7D">
        <w:t xml:space="preserve"> to capture the regional effects on</w:t>
      </w:r>
      <w:r w:rsidR="004949F5">
        <w:t xml:space="preserve"> each</w:t>
      </w:r>
      <w:r w:rsidR="00334E7D">
        <w:t xml:space="preserve"> EPC rating</w:t>
      </w:r>
      <w:r w:rsidR="006C11A6">
        <w:t xml:space="preserve"> and </w:t>
      </w:r>
      <m:oMath>
        <m:r>
          <w:rPr>
            <w:rFonts w:ascii="Cambria Math" w:hAnsi="Cambria Math"/>
          </w:rPr>
          <m:t>α</m:t>
        </m:r>
      </m:oMath>
      <w:r w:rsidR="006C11A6">
        <w:rPr>
          <w:rFonts w:eastAsiaTheme="minorEastAsia"/>
        </w:rPr>
        <w:t xml:space="preserve"> represents the </w:t>
      </w:r>
      <w:r w:rsidR="00686962">
        <w:rPr>
          <w:rFonts w:eastAsiaTheme="minorEastAsia"/>
        </w:rPr>
        <w:t xml:space="preserve">individual fixed effects for </w:t>
      </w:r>
      <w:r w:rsidR="00E04D6F">
        <w:rPr>
          <w:rFonts w:eastAsiaTheme="minorEastAsia"/>
        </w:rPr>
        <w:t>the region, i.</w:t>
      </w:r>
    </w:p>
    <w:p w14:paraId="62C1933C" w14:textId="2FAFEE47" w:rsidR="00D57719" w:rsidRDefault="00D57719" w:rsidP="00D57719">
      <w:pPr>
        <w:pStyle w:val="Heading2"/>
      </w:pPr>
      <w:bookmarkStart w:id="11" w:name="_Toc166593137"/>
      <w:r>
        <w:t>3.3</w:t>
      </w:r>
      <w:r w:rsidR="001A2ADF">
        <w:t>.</w:t>
      </w:r>
      <w:r>
        <w:t xml:space="preserve"> Robustness Tests</w:t>
      </w:r>
      <w:bookmarkEnd w:id="11"/>
    </w:p>
    <w:p w14:paraId="0A604CB1" w14:textId="5788D1EB" w:rsidR="00D57719" w:rsidRDefault="00B75B01" w:rsidP="00D57719">
      <w:r>
        <w:t>Before the model can be estimated, the data must undergo several robustness tests</w:t>
      </w:r>
      <w:r w:rsidR="001C22CF">
        <w:t xml:space="preserve"> to assess the statistical properties of this dataset</w:t>
      </w:r>
      <w:r w:rsidR="008D6DAC">
        <w:t xml:space="preserve"> and whether the correct model is being used.</w:t>
      </w:r>
    </w:p>
    <w:p w14:paraId="7D8BC86B" w14:textId="77777777" w:rsidR="00887037" w:rsidRDefault="00887037" w:rsidP="00D57719"/>
    <w:p w14:paraId="35591D86" w14:textId="0B54E1A7" w:rsidR="004949F5" w:rsidRDefault="00887037" w:rsidP="00887037">
      <w:pPr>
        <w:pStyle w:val="Heading3"/>
      </w:pPr>
      <w:bookmarkStart w:id="12" w:name="_Toc166593138"/>
      <w:r>
        <w:t>3.3.1</w:t>
      </w:r>
      <w:r w:rsidR="001A2ADF">
        <w:t>.</w:t>
      </w:r>
      <w:r>
        <w:t xml:space="preserve"> Normality</w:t>
      </w:r>
      <w:bookmarkEnd w:id="12"/>
    </w:p>
    <w:p w14:paraId="2E9300B0" w14:textId="5FB5C056" w:rsidR="00887037" w:rsidRDefault="00B57DCF" w:rsidP="00887037">
      <w:r>
        <w:t>The first test will be to check whether the data is normally distributed</w:t>
      </w:r>
      <w:r w:rsidR="00CB40D0">
        <w:t>, if this is violated then the estimates given from the model will be biased and inconsistent.</w:t>
      </w:r>
      <w:r w:rsidR="000B1319">
        <w:t xml:space="preserve"> The Shapiro-Wilk Test was used f</w:t>
      </w:r>
      <w:r w:rsidR="002A5263">
        <w:t xml:space="preserve">or this assumption, the test has a null hypothesis that the </w:t>
      </w:r>
      <w:r w:rsidR="00D46015">
        <w:t>variable data is normally distributed</w:t>
      </w:r>
      <w:r w:rsidR="00B2566E">
        <w:t>.</w:t>
      </w:r>
    </w:p>
    <w:p w14:paraId="7DF1B881" w14:textId="77777777" w:rsidR="000B1319" w:rsidRDefault="000B1319" w:rsidP="00571E32">
      <w:pPr>
        <w:pStyle w:val="Heading3"/>
      </w:pPr>
    </w:p>
    <w:p w14:paraId="41647446" w14:textId="18F73AED" w:rsidR="003D2EE9" w:rsidRDefault="00571E32" w:rsidP="003D441B">
      <w:pPr>
        <w:pStyle w:val="Heading4"/>
      </w:pPr>
      <w:r>
        <w:t xml:space="preserve">Table 4: </w:t>
      </w:r>
      <w:r w:rsidR="00A679C8">
        <w:t xml:space="preserve"> </w:t>
      </w:r>
      <w:r w:rsidR="000B1319">
        <w:t>Shapiro-Will Test for Normality Results</w:t>
      </w:r>
    </w:p>
    <w:p w14:paraId="2A4C00E7" w14:textId="5F9C5CC1" w:rsidR="00571E32" w:rsidRPr="00571E32" w:rsidRDefault="00E56CA3" w:rsidP="00571E32">
      <w:r>
        <w:rPr>
          <w:noProof/>
        </w:rPr>
        <w:drawing>
          <wp:anchor distT="0" distB="0" distL="114300" distR="114300" simplePos="0" relativeHeight="251661312" behindDoc="0" locked="0" layoutInCell="1" allowOverlap="1" wp14:anchorId="10091EE8" wp14:editId="1DE0F29A">
            <wp:simplePos x="0" y="0"/>
            <wp:positionH relativeFrom="margin">
              <wp:posOffset>956930</wp:posOffset>
            </wp:positionH>
            <wp:positionV relativeFrom="paragraph">
              <wp:posOffset>23170</wp:posOffset>
            </wp:positionV>
            <wp:extent cx="2912745" cy="3004820"/>
            <wp:effectExtent l="0" t="0" r="1905" b="5080"/>
            <wp:wrapSquare wrapText="bothSides"/>
            <wp:docPr id="339884794" name="Picture 6"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884794" name="Picture 6" descr="A screenshot of a tes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12745" cy="3004820"/>
                    </a:xfrm>
                    <a:prstGeom prst="rect">
                      <a:avLst/>
                    </a:prstGeom>
                  </pic:spPr>
                </pic:pic>
              </a:graphicData>
            </a:graphic>
            <wp14:sizeRelH relativeFrom="page">
              <wp14:pctWidth>0</wp14:pctWidth>
            </wp14:sizeRelH>
            <wp14:sizeRelV relativeFrom="page">
              <wp14:pctHeight>0</wp14:pctHeight>
            </wp14:sizeRelV>
          </wp:anchor>
        </w:drawing>
      </w:r>
    </w:p>
    <w:p w14:paraId="3C2ADE63" w14:textId="77777777" w:rsidR="00D57719" w:rsidRDefault="00D57719" w:rsidP="00D57719"/>
    <w:p w14:paraId="77EDBF21" w14:textId="77777777" w:rsidR="000B1319" w:rsidRDefault="000B1319" w:rsidP="00D57719"/>
    <w:p w14:paraId="491982A8" w14:textId="77777777" w:rsidR="000B1319" w:rsidRDefault="000B1319" w:rsidP="00D57719"/>
    <w:p w14:paraId="55567782" w14:textId="77777777" w:rsidR="000B1319" w:rsidRDefault="000B1319" w:rsidP="00D57719"/>
    <w:p w14:paraId="6629FFCE" w14:textId="77777777" w:rsidR="000B1319" w:rsidRDefault="000B1319" w:rsidP="00D57719"/>
    <w:p w14:paraId="74E49BDB" w14:textId="77777777" w:rsidR="000B1319" w:rsidRDefault="000B1319" w:rsidP="00D57719"/>
    <w:p w14:paraId="79463BA8" w14:textId="77777777" w:rsidR="000B1319" w:rsidRDefault="000B1319" w:rsidP="00D57719"/>
    <w:p w14:paraId="35985213" w14:textId="77777777" w:rsidR="000B1319" w:rsidRDefault="000B1319" w:rsidP="00D57719"/>
    <w:p w14:paraId="79E18869" w14:textId="77777777" w:rsidR="000B1319" w:rsidRDefault="000B1319" w:rsidP="00D57719"/>
    <w:p w14:paraId="623C2F88" w14:textId="77777777" w:rsidR="000B1319" w:rsidRDefault="000B1319" w:rsidP="00D57719"/>
    <w:p w14:paraId="07122AB9" w14:textId="3C2E1969" w:rsidR="000B1319" w:rsidRDefault="00B2566E" w:rsidP="00D57719">
      <w:r>
        <w:t>Table 4 shows the results of this test on each variable</w:t>
      </w:r>
      <w:r w:rsidR="0063477C">
        <w:t xml:space="preserve">, from this we can see that </w:t>
      </w:r>
      <w:r w:rsidR="00BF160B">
        <w:t>every variable with the exception of lnC, ECO1 and ECO3 has failed the test as the null hypothesis is rejected at a 1% significance level</w:t>
      </w:r>
      <w:r w:rsidR="000448CB">
        <w:t xml:space="preserve">. </w:t>
      </w:r>
      <w:r w:rsidR="000D4880">
        <w:t>However, the assumption may be relaxed if the sample size is sufficiently large.</w:t>
      </w:r>
    </w:p>
    <w:p w14:paraId="23730A8C" w14:textId="77777777" w:rsidR="000D4880" w:rsidRDefault="000D4880" w:rsidP="00D57719"/>
    <w:p w14:paraId="28BAC860" w14:textId="52617E90" w:rsidR="005C0513" w:rsidRDefault="002F3CBB" w:rsidP="002F3CBB">
      <w:pPr>
        <w:pStyle w:val="Heading3"/>
      </w:pPr>
      <w:bookmarkStart w:id="13" w:name="_Toc166593139"/>
      <w:r>
        <w:t>3.3.</w:t>
      </w:r>
      <w:r w:rsidR="00F617B7">
        <w:t>2</w:t>
      </w:r>
      <w:r w:rsidR="001A2ADF">
        <w:t>.</w:t>
      </w:r>
      <w:r>
        <w:t xml:space="preserve"> Multicollinearity</w:t>
      </w:r>
      <w:bookmarkEnd w:id="13"/>
    </w:p>
    <w:p w14:paraId="1E9DFD8F" w14:textId="3DFF907D" w:rsidR="002F3CBB" w:rsidRDefault="00C01FE4" w:rsidP="002F3CBB">
      <w:r>
        <w:t xml:space="preserve">Following the normality results, multicollinearity must be tested for. </w:t>
      </w:r>
      <w:r w:rsidR="00C429A2">
        <w:t xml:space="preserve">Multicollinearity is where </w:t>
      </w:r>
      <w:r w:rsidR="000961FF">
        <w:t>the explanatory variables</w:t>
      </w:r>
      <w:r w:rsidR="00F27823">
        <w:t xml:space="preserve"> are linearly dependent and can be predicted by each other with a large degree of accuracy. </w:t>
      </w:r>
      <w:r w:rsidR="00FE7849">
        <w:t xml:space="preserve">This can cause problems with the model </w:t>
      </w:r>
      <w:r w:rsidR="00CE2AAA">
        <w:t xml:space="preserve">providing uncertain estimates and inflated standard errors. </w:t>
      </w:r>
      <w:r w:rsidR="00BA2AB2">
        <w:t>Each model was examined for using the Variance Inflation Factor (VIF)</w:t>
      </w:r>
      <w:r w:rsidR="00EC3BC7">
        <w:t xml:space="preserve">. As expected, the AWM dummy variable had to be removed as it caused </w:t>
      </w:r>
      <w:r w:rsidR="00D76C96">
        <w:t xml:space="preserve">a very high mean VIF, the HTH variable also had to be removed </w:t>
      </w:r>
      <w:r w:rsidR="009209F7">
        <w:t>meaning that these can no longer be included in the model.</w:t>
      </w:r>
    </w:p>
    <w:p w14:paraId="034E2D88" w14:textId="77777777" w:rsidR="00FD03DE" w:rsidRDefault="00FD03DE" w:rsidP="009209F7">
      <w:pPr>
        <w:pStyle w:val="Heading3"/>
      </w:pPr>
    </w:p>
    <w:p w14:paraId="2897B108" w14:textId="1579F8E5" w:rsidR="009209F7" w:rsidRPr="002F3CBB" w:rsidRDefault="009209F7" w:rsidP="003D441B">
      <w:pPr>
        <w:pStyle w:val="Heading4"/>
      </w:pPr>
      <w:r>
        <w:t xml:space="preserve">Table 5: The </w:t>
      </w:r>
      <w:r w:rsidR="00FD03DE">
        <w:t>VIF Test Results</w:t>
      </w:r>
    </w:p>
    <w:p w14:paraId="47FA8087" w14:textId="63D60D07" w:rsidR="000B1319" w:rsidRDefault="009209F7" w:rsidP="00D57719">
      <w:r>
        <w:rPr>
          <w:noProof/>
        </w:rPr>
        <w:drawing>
          <wp:anchor distT="0" distB="0" distL="114300" distR="114300" simplePos="0" relativeHeight="251662336" behindDoc="0" locked="0" layoutInCell="1" allowOverlap="1" wp14:anchorId="10794C0F" wp14:editId="3AF3560D">
            <wp:simplePos x="0" y="0"/>
            <wp:positionH relativeFrom="column">
              <wp:posOffset>414508</wp:posOffset>
            </wp:positionH>
            <wp:positionV relativeFrom="paragraph">
              <wp:posOffset>8447</wp:posOffset>
            </wp:positionV>
            <wp:extent cx="3534268" cy="2276793"/>
            <wp:effectExtent l="0" t="0" r="0" b="9525"/>
            <wp:wrapSquare wrapText="bothSides"/>
            <wp:docPr id="544383524" name="Picture 7"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383524" name="Picture 7" descr="A screenshot of a tes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34268" cy="2276793"/>
                    </a:xfrm>
                    <a:prstGeom prst="rect">
                      <a:avLst/>
                    </a:prstGeom>
                  </pic:spPr>
                </pic:pic>
              </a:graphicData>
            </a:graphic>
            <wp14:sizeRelH relativeFrom="page">
              <wp14:pctWidth>0</wp14:pctWidth>
            </wp14:sizeRelH>
            <wp14:sizeRelV relativeFrom="page">
              <wp14:pctHeight>0</wp14:pctHeight>
            </wp14:sizeRelV>
          </wp:anchor>
        </w:drawing>
      </w:r>
    </w:p>
    <w:p w14:paraId="5242A051" w14:textId="77777777" w:rsidR="000B1319" w:rsidRDefault="000B1319" w:rsidP="00D57719"/>
    <w:p w14:paraId="39A21BA5" w14:textId="77777777" w:rsidR="00FD03DE" w:rsidRDefault="00FD03DE" w:rsidP="00D57719"/>
    <w:p w14:paraId="1AEB5198" w14:textId="77777777" w:rsidR="00FD03DE" w:rsidRDefault="00FD03DE" w:rsidP="00D57719"/>
    <w:p w14:paraId="0B14C28B" w14:textId="77777777" w:rsidR="00FD03DE" w:rsidRDefault="00FD03DE" w:rsidP="00D57719"/>
    <w:p w14:paraId="3391CEE8" w14:textId="77777777" w:rsidR="00FD03DE" w:rsidRDefault="00FD03DE" w:rsidP="00D57719"/>
    <w:p w14:paraId="61EC94B9" w14:textId="77777777" w:rsidR="00FD03DE" w:rsidRDefault="00FD03DE" w:rsidP="00D57719"/>
    <w:p w14:paraId="7B7081AD" w14:textId="77777777" w:rsidR="00FD03DE" w:rsidRDefault="00FD03DE" w:rsidP="00D57719"/>
    <w:p w14:paraId="28E6978F" w14:textId="77777777" w:rsidR="00FD03DE" w:rsidRDefault="00FD03DE" w:rsidP="00D57719"/>
    <w:p w14:paraId="71A9A0F5" w14:textId="5D88A979" w:rsidR="00FD03DE" w:rsidRDefault="00FD03DE" w:rsidP="00D57719">
      <w:r>
        <w:t>Table 5 shows the mean VIF for each model after the removal of AWM and HTH.</w:t>
      </w:r>
      <w:r w:rsidR="005F2DB6">
        <w:t xml:space="preserve"> A VIF factor of 1</w:t>
      </w:r>
      <w:r w:rsidR="003E6B2F">
        <w:t xml:space="preserve"> shows no correlation between the explanatory variables, and a factor below 4 indicates moderate correlation, but n</w:t>
      </w:r>
      <w:r w:rsidR="00464291">
        <w:t xml:space="preserve">ot severe where the model needs correcting. </w:t>
      </w:r>
    </w:p>
    <w:p w14:paraId="7257A664" w14:textId="77777777" w:rsidR="00C01FE4" w:rsidRDefault="00C01FE4" w:rsidP="00D57719"/>
    <w:p w14:paraId="70BD0477" w14:textId="01412B50" w:rsidR="00C01FE4" w:rsidRDefault="00C01FE4" w:rsidP="00C01FE4">
      <w:pPr>
        <w:pStyle w:val="Heading3"/>
      </w:pPr>
      <w:bookmarkStart w:id="14" w:name="_Toc166593140"/>
      <w:r>
        <w:t>3.3.</w:t>
      </w:r>
      <w:r w:rsidR="00F617B7">
        <w:t>3</w:t>
      </w:r>
      <w:r w:rsidR="001A2ADF">
        <w:t>.</w:t>
      </w:r>
      <w:r>
        <w:t xml:space="preserve"> </w:t>
      </w:r>
      <w:r w:rsidR="00A8527F">
        <w:t>Unit Roots</w:t>
      </w:r>
      <w:bookmarkEnd w:id="14"/>
    </w:p>
    <w:p w14:paraId="01E4FD4A" w14:textId="77777777" w:rsidR="000A239E" w:rsidRDefault="003474FC" w:rsidP="000A239E">
      <w:r>
        <w:t>Before running the model, each variable must be tested</w:t>
      </w:r>
      <w:r w:rsidR="00B145A3">
        <w:t xml:space="preserve"> for a unit root. If the variable is </w:t>
      </w:r>
      <w:r w:rsidR="00DF1AE1">
        <w:t>stationary,</w:t>
      </w:r>
      <w:r w:rsidR="00B145A3">
        <w:t xml:space="preserve"> then it’s variance and mean </w:t>
      </w:r>
      <w:r w:rsidR="007A58BB">
        <w:t xml:space="preserve">does not change over time. A non-stationary </w:t>
      </w:r>
      <w:r w:rsidR="0034589F">
        <w:t xml:space="preserve">variable could lead to a spurious regression where the estimates </w:t>
      </w:r>
      <w:r w:rsidR="00531215">
        <w:t xml:space="preserve">could be incorrect. </w:t>
      </w:r>
      <w:r w:rsidR="00713798">
        <w:t xml:space="preserve">A </w:t>
      </w:r>
      <w:r w:rsidR="003449C8">
        <w:t xml:space="preserve">Levin, Lu and Chu (LLC) test was Implemented for this data which carries a null hypothesis </w:t>
      </w:r>
      <w:r w:rsidR="00DF1AE1">
        <w:t>that the series contains a unit root.</w:t>
      </w:r>
      <w:r w:rsidR="0031687D">
        <w:t xml:space="preserve"> We aim to reject the null hypothesis.</w:t>
      </w:r>
      <w:r w:rsidR="00DF1AE1">
        <w:t xml:space="preserve"> The results are shown in Table 6.</w:t>
      </w:r>
    </w:p>
    <w:p w14:paraId="39F501F9" w14:textId="5EAD35C7" w:rsidR="000A239E" w:rsidRDefault="000A239E" w:rsidP="000A239E">
      <w:pPr>
        <w:pStyle w:val="Heading4"/>
      </w:pPr>
      <w:bookmarkStart w:id="15" w:name="_Toc166579601"/>
      <w:r>
        <w:rPr>
          <w:noProof/>
        </w:rPr>
        <w:drawing>
          <wp:anchor distT="0" distB="0" distL="114300" distR="114300" simplePos="0" relativeHeight="251663360" behindDoc="0" locked="0" layoutInCell="1" allowOverlap="1" wp14:anchorId="3805D8E1" wp14:editId="4B3A9B9B">
            <wp:simplePos x="0" y="0"/>
            <wp:positionH relativeFrom="column">
              <wp:posOffset>-202107</wp:posOffset>
            </wp:positionH>
            <wp:positionV relativeFrom="paragraph">
              <wp:posOffset>215427</wp:posOffset>
            </wp:positionV>
            <wp:extent cx="3189605" cy="2668905"/>
            <wp:effectExtent l="0" t="0" r="0" b="0"/>
            <wp:wrapSquare wrapText="bothSides"/>
            <wp:docPr id="17293519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351911" name="Picture 1729351911"/>
                    <pic:cNvPicPr/>
                  </pic:nvPicPr>
                  <pic:blipFill>
                    <a:blip r:embed="rId10">
                      <a:extLst>
                        <a:ext uri="{28A0092B-C50C-407E-A947-70E740481C1C}">
                          <a14:useLocalDpi xmlns:a14="http://schemas.microsoft.com/office/drawing/2010/main" val="0"/>
                        </a:ext>
                      </a:extLst>
                    </a:blip>
                    <a:stretch>
                      <a:fillRect/>
                    </a:stretch>
                  </pic:blipFill>
                  <pic:spPr>
                    <a:xfrm>
                      <a:off x="0" y="0"/>
                      <a:ext cx="3189605" cy="2668905"/>
                    </a:xfrm>
                    <a:prstGeom prst="rect">
                      <a:avLst/>
                    </a:prstGeom>
                  </pic:spPr>
                </pic:pic>
              </a:graphicData>
            </a:graphic>
            <wp14:sizeRelH relativeFrom="page">
              <wp14:pctWidth>0</wp14:pctWidth>
            </wp14:sizeRelH>
            <wp14:sizeRelV relativeFrom="page">
              <wp14:pctHeight>0</wp14:pctHeight>
            </wp14:sizeRelV>
          </wp:anchor>
        </w:drawing>
      </w:r>
      <w:bookmarkEnd w:id="15"/>
      <w:r>
        <w:t>Table 6: LLC Unit Root Test Results</w:t>
      </w:r>
    </w:p>
    <w:p w14:paraId="11A043E7" w14:textId="363F377F" w:rsidR="000A239E" w:rsidRDefault="000A239E" w:rsidP="000A239E"/>
    <w:p w14:paraId="11B9A889" w14:textId="7DE8951B" w:rsidR="00C52AD0" w:rsidRDefault="00C52AD0" w:rsidP="00F06923">
      <w:pPr>
        <w:pStyle w:val="Heading1"/>
      </w:pPr>
    </w:p>
    <w:p w14:paraId="3BD9957A" w14:textId="77777777" w:rsidR="00C52AD0" w:rsidRDefault="00C52AD0" w:rsidP="00F06923">
      <w:pPr>
        <w:pStyle w:val="Heading1"/>
      </w:pPr>
    </w:p>
    <w:p w14:paraId="605F2C67" w14:textId="77777777" w:rsidR="00C52AD0" w:rsidRDefault="00C52AD0" w:rsidP="00F06923">
      <w:pPr>
        <w:pStyle w:val="Heading1"/>
      </w:pPr>
    </w:p>
    <w:p w14:paraId="69886539" w14:textId="185A37E7" w:rsidR="00C52AD0" w:rsidRDefault="00C52AD0" w:rsidP="00F06923">
      <w:pPr>
        <w:pStyle w:val="Heading1"/>
      </w:pPr>
    </w:p>
    <w:p w14:paraId="0D0A9820" w14:textId="4663DA1E" w:rsidR="00C52AD0" w:rsidRDefault="00C52AD0" w:rsidP="00F06923">
      <w:pPr>
        <w:pStyle w:val="Heading1"/>
      </w:pPr>
    </w:p>
    <w:p w14:paraId="59A1995A" w14:textId="77777777" w:rsidR="000A239E" w:rsidRDefault="000A239E" w:rsidP="0031687D"/>
    <w:p w14:paraId="31247A41" w14:textId="77777777" w:rsidR="000A239E" w:rsidRDefault="000A239E" w:rsidP="0031687D"/>
    <w:p w14:paraId="08EBB35C" w14:textId="12AE7A51" w:rsidR="00C52AD0" w:rsidRDefault="0031687D" w:rsidP="0031687D">
      <w:r>
        <w:t>From Table 6, we</w:t>
      </w:r>
      <w:r w:rsidR="00075894">
        <w:t xml:space="preserve"> can see that the null hypothesis is rejected decisively for every variable except </w:t>
      </w:r>
      <w:r w:rsidR="008C584F">
        <w:t>lnPrice</w:t>
      </w:r>
      <w:r w:rsidR="00A661E5">
        <w:t xml:space="preserve"> which will need to be differenced</w:t>
      </w:r>
      <w:r w:rsidR="00B51934">
        <w:t xml:space="preserve">, this </w:t>
      </w:r>
      <w:r w:rsidR="006624CC">
        <w:t>mean</w:t>
      </w:r>
      <w:r w:rsidR="008032DA">
        <w:t>s</w:t>
      </w:r>
      <w:r w:rsidR="006624CC">
        <w:t xml:space="preserve"> that </w:t>
      </w:r>
      <w:r w:rsidR="00B72663">
        <w:t>interpretation on the model coefficient</w:t>
      </w:r>
      <w:r w:rsidR="00E07CBD">
        <w:t xml:space="preserve"> </w:t>
      </w:r>
      <w:r w:rsidR="0090777C">
        <w:t xml:space="preserve">for </w:t>
      </w:r>
      <w:r w:rsidR="0090777C">
        <w:lastRenderedPageBreak/>
        <w:t>ln</w:t>
      </w:r>
      <w:r w:rsidR="000A239E">
        <w:t>Price</w:t>
      </w:r>
      <w:r w:rsidR="00B72663">
        <w:t xml:space="preserve"> will need to be carefully interpreted</w:t>
      </w:r>
      <w:r w:rsidR="006624CC">
        <w:t xml:space="preserve"> as it will show the ch</w:t>
      </w:r>
      <w:r w:rsidR="0097328C">
        <w:t>ange in</w:t>
      </w:r>
      <w:r w:rsidR="00FA45EF">
        <w:t xml:space="preserve"> percentage points of</w:t>
      </w:r>
      <w:r w:rsidR="0097328C">
        <w:t xml:space="preserve"> the variable and not the </w:t>
      </w:r>
      <w:r w:rsidR="00FA45EF">
        <w:t>percentage change.</w:t>
      </w:r>
    </w:p>
    <w:p w14:paraId="48555F7B" w14:textId="120B8263" w:rsidR="00C52AD0" w:rsidRDefault="008018AC" w:rsidP="00621301">
      <w:r>
        <w:t>After plotting lnCOST, it was determined that the variable had no trend, therefore the ‘without trend’ result was taken.</w:t>
      </w:r>
    </w:p>
    <w:p w14:paraId="78C447FD" w14:textId="4A971F29" w:rsidR="008032DA" w:rsidRDefault="008032DA" w:rsidP="00621301">
      <w:r>
        <w:t>Following these 3 tests, the model and be estimated and post-estimation tests can be implemented</w:t>
      </w:r>
      <w:r w:rsidR="00FA45EF">
        <w:t>.</w:t>
      </w:r>
    </w:p>
    <w:p w14:paraId="33748C58" w14:textId="77777777" w:rsidR="00621301" w:rsidRDefault="00621301" w:rsidP="00621301"/>
    <w:p w14:paraId="2722AD5D" w14:textId="3C275D1A" w:rsidR="00F617B7" w:rsidRDefault="00F617B7" w:rsidP="00F617B7">
      <w:pPr>
        <w:pStyle w:val="Heading3"/>
      </w:pPr>
      <w:bookmarkStart w:id="16" w:name="_Toc166593141"/>
      <w:r>
        <w:t>3.3.2</w:t>
      </w:r>
      <w:r w:rsidR="001A2ADF">
        <w:t>.</w:t>
      </w:r>
      <w:r>
        <w:t xml:space="preserve"> Heteroskedasticity</w:t>
      </w:r>
      <w:bookmarkEnd w:id="16"/>
    </w:p>
    <w:p w14:paraId="78618121" w14:textId="33681140" w:rsidR="00F617B7" w:rsidRDefault="00F617B7" w:rsidP="00F617B7">
      <w:r>
        <w:t xml:space="preserve">Heteroskedasticity must be tested for to find out if the variance is constant across all levels of the explanatory variables and the estimates are efficient. A modified Wald test for groupwise heteroskedasticity was used for the estimation, which has a null hypothesis of </w:t>
      </w:r>
      <w:r>
        <w:rPr>
          <w:rFonts w:cstheme="minorHAnsi"/>
        </w:rPr>
        <w:t>σ</w:t>
      </w:r>
      <w:r w:rsidRPr="00D17351">
        <w:rPr>
          <w:vertAlign w:val="superscript"/>
        </w:rPr>
        <w:t>2</w:t>
      </w:r>
      <w:r w:rsidRPr="00D17351">
        <w:rPr>
          <w:vertAlign w:val="subscript"/>
        </w:rPr>
        <w:t>i</w:t>
      </w:r>
      <w:r>
        <w:rPr>
          <w:vertAlign w:val="subscript"/>
        </w:rPr>
        <w:t xml:space="preserve"> </w:t>
      </w:r>
      <w:r>
        <w:t xml:space="preserve">= </w:t>
      </w:r>
      <w:r>
        <w:rPr>
          <w:rFonts w:cstheme="minorHAnsi"/>
        </w:rPr>
        <w:t>σ</w:t>
      </w:r>
      <w:proofErr w:type="gramStart"/>
      <w:r w:rsidRPr="00D17351">
        <w:rPr>
          <w:vertAlign w:val="superscript"/>
        </w:rPr>
        <w:t>2</w:t>
      </w:r>
      <w:r>
        <w:rPr>
          <w:vertAlign w:val="superscript"/>
        </w:rPr>
        <w:t xml:space="preserve"> </w:t>
      </w:r>
      <w:r>
        <w:t>,</w:t>
      </w:r>
      <w:proofErr w:type="gramEnd"/>
      <w:r>
        <w:t xml:space="preserve"> indicating homoskedasticity. Using this test, every model rejected the null hypothesis at a 1% significance level</w:t>
      </w:r>
      <w:r w:rsidR="009A5007">
        <w:t xml:space="preserve"> except for where B was the </w:t>
      </w:r>
      <w:r w:rsidR="000C69B5">
        <w:t>dependent variable. The results are shown in Table 7.</w:t>
      </w:r>
    </w:p>
    <w:p w14:paraId="4FA3BF9B" w14:textId="77777777" w:rsidR="00F617B7" w:rsidRDefault="00F617B7" w:rsidP="00F617B7"/>
    <w:p w14:paraId="57FA7772" w14:textId="4D2B7B66" w:rsidR="00F617B7" w:rsidRDefault="00F617B7" w:rsidP="00F617B7">
      <w:pPr>
        <w:pStyle w:val="Heading3"/>
      </w:pPr>
      <w:bookmarkStart w:id="17" w:name="_Toc166593142"/>
      <w:r>
        <w:t>3.3.3</w:t>
      </w:r>
      <w:r w:rsidR="001A2ADF">
        <w:t>.</w:t>
      </w:r>
      <w:r>
        <w:t xml:space="preserve"> Autocorrelation</w:t>
      </w:r>
      <w:bookmarkEnd w:id="17"/>
    </w:p>
    <w:p w14:paraId="3EC53DF6" w14:textId="69D1B9E7" w:rsidR="00F617B7" w:rsidRDefault="00F617B7" w:rsidP="00F617B7">
      <w:r>
        <w:t>The model was then tested for autocorrelation, if the model’s errors are correlated with the previous observations, then the model will be biased and inconsistent. The Wooldridge test for autocorrelation in panel data was implemented here, the test carries a null hypothesis that there is no first order autocorrelation in the model. The null hypothesis was also rejected in every model at a 1% significance level.</w:t>
      </w:r>
      <w:r w:rsidR="00FA45EF">
        <w:t xml:space="preserve"> The results are also shown in Table 7.</w:t>
      </w:r>
    </w:p>
    <w:p w14:paraId="4BA0D923" w14:textId="1829CBE7" w:rsidR="00C52AD0" w:rsidRDefault="000C69B5" w:rsidP="000C69B5">
      <w:pPr>
        <w:pStyle w:val="Heading3"/>
      </w:pPr>
      <w:bookmarkStart w:id="18" w:name="_Toc166593143"/>
      <w:r>
        <w:t>3.3.4</w:t>
      </w:r>
      <w:r w:rsidR="001A2ADF">
        <w:t>.</w:t>
      </w:r>
      <w:r>
        <w:t xml:space="preserve"> Cross-Sectional Dependence</w:t>
      </w:r>
      <w:bookmarkEnd w:id="18"/>
    </w:p>
    <w:p w14:paraId="45925E25" w14:textId="028F6973" w:rsidR="008F0009" w:rsidRDefault="00DD6632" w:rsidP="008F0009">
      <w:r>
        <w:t xml:space="preserve">If the assumption of Cross-Sectional </w:t>
      </w:r>
      <w:r w:rsidR="00964615">
        <w:t xml:space="preserve">independence is </w:t>
      </w:r>
      <w:r w:rsidR="006311FC">
        <w:t>violated,</w:t>
      </w:r>
      <w:r w:rsidR="00964615">
        <w:t xml:space="preserve"> then the residuals could be correlated across units</w:t>
      </w:r>
      <w:r w:rsidR="006311FC">
        <w:t>. Pesaran’s test is employed to test for this</w:t>
      </w:r>
      <w:r w:rsidR="009F3E10">
        <w:t xml:space="preserve"> which carries a null hypothesis of no cr</w:t>
      </w:r>
      <w:r w:rsidR="007B6CCF">
        <w:t xml:space="preserve">oss-sectional dependence. As we can see in Table 7, the null hypothesis is </w:t>
      </w:r>
      <w:r w:rsidR="008F0009">
        <w:t>rejected at a 1% significance level in every model.</w:t>
      </w:r>
    </w:p>
    <w:p w14:paraId="4713AB3F" w14:textId="6B7F10CE" w:rsidR="00C52AD0" w:rsidRDefault="002F4DA8" w:rsidP="002F4DA8">
      <w:pPr>
        <w:pStyle w:val="Heading4"/>
      </w:pPr>
      <w:r>
        <w:t>Table 7: Post-Estimation Test Results</w:t>
      </w:r>
    </w:p>
    <w:p w14:paraId="60F0AC6F" w14:textId="799C4174" w:rsidR="00713610" w:rsidRPr="00713610" w:rsidRDefault="00713610" w:rsidP="00713610">
      <w:r>
        <w:rPr>
          <w:noProof/>
        </w:rPr>
        <w:drawing>
          <wp:anchor distT="0" distB="0" distL="114300" distR="114300" simplePos="0" relativeHeight="251664384" behindDoc="0" locked="0" layoutInCell="1" allowOverlap="1" wp14:anchorId="7A880855" wp14:editId="3FE0AE4E">
            <wp:simplePos x="0" y="0"/>
            <wp:positionH relativeFrom="column">
              <wp:posOffset>0</wp:posOffset>
            </wp:positionH>
            <wp:positionV relativeFrom="paragraph">
              <wp:posOffset>1595</wp:posOffset>
            </wp:positionV>
            <wp:extent cx="5582429" cy="2400635"/>
            <wp:effectExtent l="0" t="0" r="0" b="0"/>
            <wp:wrapSquare wrapText="bothSides"/>
            <wp:docPr id="1509838887" name="Picture 10" descr="A screenshot of a test resul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838887" name="Picture 10" descr="A screenshot of a test result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82429" cy="2400635"/>
                    </a:xfrm>
                    <a:prstGeom prst="rect">
                      <a:avLst/>
                    </a:prstGeom>
                  </pic:spPr>
                </pic:pic>
              </a:graphicData>
            </a:graphic>
            <wp14:sizeRelH relativeFrom="page">
              <wp14:pctWidth>0</wp14:pctWidth>
            </wp14:sizeRelH>
            <wp14:sizeRelV relativeFrom="page">
              <wp14:pctHeight>0</wp14:pctHeight>
            </wp14:sizeRelV>
          </wp:anchor>
        </w:drawing>
      </w:r>
    </w:p>
    <w:p w14:paraId="1E817449" w14:textId="39F55300" w:rsidR="002F4DA8" w:rsidRDefault="008F0009" w:rsidP="002F4DA8">
      <w:r>
        <w:t>Following the detec</w:t>
      </w:r>
      <w:r w:rsidR="003D740D">
        <w:t>tion of heteroskedasticity, autocorrelation and cross-sectional dependence, clustered standard errors</w:t>
      </w:r>
      <w:r w:rsidR="00041177">
        <w:t xml:space="preserve"> around the regions</w:t>
      </w:r>
      <w:r w:rsidR="003D740D">
        <w:t xml:space="preserve"> are implemented</w:t>
      </w:r>
      <w:r w:rsidR="00424D09">
        <w:t xml:space="preserve">. These </w:t>
      </w:r>
      <w:r w:rsidR="00041177">
        <w:t xml:space="preserve">alter the variance-covariance matrix of the estimator to be robust for </w:t>
      </w:r>
      <w:r w:rsidR="00F008F7">
        <w:t>these 3 violated assumptions.</w:t>
      </w:r>
    </w:p>
    <w:p w14:paraId="61079EF4" w14:textId="77777777" w:rsidR="00F008F7" w:rsidRDefault="00F008F7" w:rsidP="002F4DA8"/>
    <w:p w14:paraId="028F6EF0" w14:textId="77777777" w:rsidR="00F008F7" w:rsidRDefault="00F008F7" w:rsidP="002F4DA8"/>
    <w:p w14:paraId="2CC9B81C" w14:textId="16801A36" w:rsidR="00F008F7" w:rsidRDefault="00F008F7" w:rsidP="00F008F7">
      <w:pPr>
        <w:pStyle w:val="Heading3"/>
      </w:pPr>
      <w:bookmarkStart w:id="19" w:name="_Toc166593144"/>
      <w:r>
        <w:t>3.3.5</w:t>
      </w:r>
      <w:r w:rsidR="001A2ADF">
        <w:t>.</w:t>
      </w:r>
      <w:bookmarkEnd w:id="19"/>
    </w:p>
    <w:p w14:paraId="1F527248" w14:textId="1FC33472" w:rsidR="00F008F7" w:rsidRDefault="00F008F7" w:rsidP="00020BB6">
      <w:r>
        <w:t>The final test to be carried out is the Hausman Test</w:t>
      </w:r>
      <w:r w:rsidR="00336D44">
        <w:t xml:space="preserve">, which tests the assumptions </w:t>
      </w:r>
      <w:r w:rsidR="003C0437" w:rsidRPr="00020BB6">
        <w:t>behind choosing between a fixed effects and a random effects model</w:t>
      </w:r>
      <w:r w:rsidR="00A52EDC">
        <w:t>. The test involves</w:t>
      </w:r>
      <w:r w:rsidR="001A12C4">
        <w:t xml:space="preserve"> running both models and</w:t>
      </w:r>
      <w:r w:rsidR="00A52EDC">
        <w:t xml:space="preserve"> </w:t>
      </w:r>
      <w:r w:rsidR="001A12C4">
        <w:t>calculating the difference between</w:t>
      </w:r>
      <w:r w:rsidR="00B70C77">
        <w:t xml:space="preserve"> the</w:t>
      </w:r>
      <w:r w:rsidR="001A12C4">
        <w:t xml:space="preserve"> coefficients</w:t>
      </w:r>
      <w:r w:rsidR="00B70C77">
        <w:t xml:space="preserve">. Because our model </w:t>
      </w:r>
      <w:r w:rsidR="00670328">
        <w:t>has clustered standard errors</w:t>
      </w:r>
      <w:r w:rsidR="0077006B">
        <w:t>, a Cluster-Robust Hausman test must be undertaken</w:t>
      </w:r>
      <w:r w:rsidR="00FE6D42">
        <w:t>. The results from this test are shown in Table 8.</w:t>
      </w:r>
    </w:p>
    <w:p w14:paraId="2EB796E0" w14:textId="50A4CDC6" w:rsidR="00FE6D42" w:rsidRPr="00020BB6" w:rsidRDefault="00FE6D42" w:rsidP="00020BB6"/>
    <w:p w14:paraId="27A9305E" w14:textId="79E24D4F" w:rsidR="00C52AD0" w:rsidRDefault="000B5A82" w:rsidP="000B5A82">
      <w:pPr>
        <w:pStyle w:val="Heading4"/>
      </w:pPr>
      <w:r>
        <w:t>Table 8:</w:t>
      </w:r>
      <w:r w:rsidR="001A2ADF">
        <w:t xml:space="preserve"> </w:t>
      </w:r>
      <w:r w:rsidR="007755FC">
        <w:t>Cluster-Robust Hausman Test Results</w:t>
      </w:r>
    </w:p>
    <w:p w14:paraId="4DF05346" w14:textId="5CBB74EA" w:rsidR="00C52AD0" w:rsidRDefault="000B5A82" w:rsidP="00F06923">
      <w:pPr>
        <w:pStyle w:val="Heading1"/>
      </w:pPr>
      <w:bookmarkStart w:id="20" w:name="_Toc166593145"/>
      <w:r>
        <w:rPr>
          <w:noProof/>
        </w:rPr>
        <w:drawing>
          <wp:anchor distT="0" distB="0" distL="114300" distR="114300" simplePos="0" relativeHeight="251665408" behindDoc="0" locked="0" layoutInCell="1" allowOverlap="1" wp14:anchorId="13BDC363" wp14:editId="69D50BE0">
            <wp:simplePos x="0" y="0"/>
            <wp:positionH relativeFrom="column">
              <wp:posOffset>446405</wp:posOffset>
            </wp:positionH>
            <wp:positionV relativeFrom="paragraph">
              <wp:posOffset>40640</wp:posOffset>
            </wp:positionV>
            <wp:extent cx="4286250" cy="2571750"/>
            <wp:effectExtent l="0" t="0" r="0" b="0"/>
            <wp:wrapSquare wrapText="bothSides"/>
            <wp:docPr id="2030424898" name="Picture 11" descr="A table with black text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424898" name="Picture 11" descr="A table with black text and whit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86250" cy="2571750"/>
                    </a:xfrm>
                    <a:prstGeom prst="rect">
                      <a:avLst/>
                    </a:prstGeom>
                  </pic:spPr>
                </pic:pic>
              </a:graphicData>
            </a:graphic>
            <wp14:sizeRelH relativeFrom="page">
              <wp14:pctWidth>0</wp14:pctWidth>
            </wp14:sizeRelH>
            <wp14:sizeRelV relativeFrom="page">
              <wp14:pctHeight>0</wp14:pctHeight>
            </wp14:sizeRelV>
          </wp:anchor>
        </w:drawing>
      </w:r>
      <w:bookmarkEnd w:id="20"/>
    </w:p>
    <w:p w14:paraId="5E35B50F" w14:textId="77777777" w:rsidR="002F4DA8" w:rsidRDefault="002F4DA8" w:rsidP="00F06923">
      <w:pPr>
        <w:pStyle w:val="Heading1"/>
      </w:pPr>
    </w:p>
    <w:p w14:paraId="578355A4" w14:textId="77777777" w:rsidR="002F4DA8" w:rsidRDefault="002F4DA8" w:rsidP="00F06923">
      <w:pPr>
        <w:pStyle w:val="Heading1"/>
      </w:pPr>
    </w:p>
    <w:p w14:paraId="5834ABBA" w14:textId="77777777" w:rsidR="000B5A82" w:rsidRDefault="000B5A82" w:rsidP="000B5A82"/>
    <w:p w14:paraId="3EF0EF0E" w14:textId="77777777" w:rsidR="000B5A82" w:rsidRDefault="000B5A82" w:rsidP="000B5A82"/>
    <w:p w14:paraId="44A76114" w14:textId="77777777" w:rsidR="000B5A82" w:rsidRDefault="000B5A82" w:rsidP="000B5A82"/>
    <w:p w14:paraId="24920A27" w14:textId="77777777" w:rsidR="000B5A82" w:rsidRDefault="000B5A82" w:rsidP="000B5A82"/>
    <w:p w14:paraId="32F9BD4D" w14:textId="4DB5F70A" w:rsidR="000B5A82" w:rsidRDefault="000B5A82" w:rsidP="000B5A82"/>
    <w:p w14:paraId="77814576" w14:textId="4468143A" w:rsidR="000B5A82" w:rsidRDefault="007755FC" w:rsidP="000B5A82">
      <w:r>
        <w:t xml:space="preserve">We can see that every model failed to reject the null hypothesis, suggesting that a Random Effects Model should be used </w:t>
      </w:r>
      <w:r w:rsidR="001A2ADF">
        <w:t>for this data to provide more efficient estimates.</w:t>
      </w:r>
      <w:r w:rsidR="00B65A24">
        <w:t xml:space="preserve"> </w:t>
      </w:r>
      <w:r w:rsidR="005D4EE2">
        <w:t xml:space="preserve">This model assumes that the random effects are orthogonal to the </w:t>
      </w:r>
      <w:r w:rsidR="00B172F0">
        <w:t>set of explanatory variables included in the model.</w:t>
      </w:r>
    </w:p>
    <w:p w14:paraId="5B75232E" w14:textId="248E2210" w:rsidR="001A2ADF" w:rsidRDefault="001A2ADF" w:rsidP="000B5A82"/>
    <w:p w14:paraId="566CDD82" w14:textId="77777777" w:rsidR="00BF1CF4" w:rsidRDefault="00BF1CF4" w:rsidP="000B5A82"/>
    <w:p w14:paraId="5FC40735" w14:textId="77777777" w:rsidR="00BF1CF4" w:rsidRDefault="00BF1CF4" w:rsidP="000B5A82"/>
    <w:p w14:paraId="2F5274A9" w14:textId="77777777" w:rsidR="00BF1CF4" w:rsidRDefault="00BF1CF4" w:rsidP="000B5A82"/>
    <w:p w14:paraId="3625BAEB" w14:textId="77777777" w:rsidR="00BF1CF4" w:rsidRDefault="00BF1CF4" w:rsidP="000B5A82"/>
    <w:p w14:paraId="40477435" w14:textId="77777777" w:rsidR="00BF1CF4" w:rsidRDefault="00BF1CF4" w:rsidP="000B5A82"/>
    <w:p w14:paraId="49CC5C6E" w14:textId="77777777" w:rsidR="00BF1CF4" w:rsidRDefault="00BF1CF4" w:rsidP="000B5A82"/>
    <w:p w14:paraId="437E7668" w14:textId="77777777" w:rsidR="00BF1CF4" w:rsidRDefault="00BF1CF4" w:rsidP="000B5A82"/>
    <w:p w14:paraId="106D34AE" w14:textId="77777777" w:rsidR="00BF1CF4" w:rsidRDefault="00BF1CF4" w:rsidP="000B5A82"/>
    <w:p w14:paraId="0D6F14D5" w14:textId="77777777" w:rsidR="00BF1CF4" w:rsidRDefault="00BF1CF4" w:rsidP="000B5A82"/>
    <w:p w14:paraId="163EA14D" w14:textId="77777777" w:rsidR="00BF1CF4" w:rsidRDefault="00BF1CF4" w:rsidP="000B5A82"/>
    <w:p w14:paraId="57C73759" w14:textId="6983222C" w:rsidR="00F06923" w:rsidRDefault="00F06923" w:rsidP="001A2ADF">
      <w:pPr>
        <w:pStyle w:val="Heading1"/>
        <w:numPr>
          <w:ilvl w:val="0"/>
          <w:numId w:val="1"/>
        </w:numPr>
      </w:pPr>
      <w:bookmarkStart w:id="21" w:name="_Toc166593146"/>
      <w:r>
        <w:lastRenderedPageBreak/>
        <w:t>Results</w:t>
      </w:r>
      <w:r w:rsidR="00AB4950">
        <w:t xml:space="preserve"> and Discussion</w:t>
      </w:r>
      <w:bookmarkEnd w:id="21"/>
    </w:p>
    <w:p w14:paraId="2270F646" w14:textId="23AE1236" w:rsidR="00F06923" w:rsidRDefault="00B172F0" w:rsidP="00F06923">
      <w:r>
        <w:t>The results from the Random Effects model with clustered standard errors are shown in Table</w:t>
      </w:r>
      <w:r w:rsidR="00684281">
        <w:t>s</w:t>
      </w:r>
      <w:r>
        <w:t xml:space="preserve"> 9</w:t>
      </w:r>
      <w:r w:rsidR="00684281">
        <w:t xml:space="preserve"> and 10</w:t>
      </w:r>
      <w:r>
        <w:t>.</w:t>
      </w:r>
    </w:p>
    <w:p w14:paraId="5A103C47" w14:textId="084479E6" w:rsidR="001A2ADF" w:rsidRDefault="00D02043" w:rsidP="00D02043">
      <w:pPr>
        <w:pStyle w:val="Heading4"/>
      </w:pPr>
      <w:r>
        <w:t>Table 9: Results From Models</w:t>
      </w:r>
      <w:r w:rsidR="00684281">
        <w:t xml:space="preserve"> A-C</w:t>
      </w:r>
    </w:p>
    <w:p w14:paraId="5087A399" w14:textId="3E633F54" w:rsidR="00684281" w:rsidRPr="00684281" w:rsidRDefault="003C2962" w:rsidP="00684281">
      <w:r>
        <w:rPr>
          <w:noProof/>
        </w:rPr>
        <w:drawing>
          <wp:inline distT="0" distB="0" distL="0" distR="0" wp14:anchorId="00815B4D" wp14:editId="2CEE6E9F">
            <wp:extent cx="6110631" cy="3391786"/>
            <wp:effectExtent l="0" t="0" r="4445" b="0"/>
            <wp:docPr id="1126152291" name="Picture 17" descr="A table of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152291" name="Picture 17" descr="A table of numbers and symbol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6115069" cy="3394249"/>
                    </a:xfrm>
                    <a:prstGeom prst="rect">
                      <a:avLst/>
                    </a:prstGeom>
                  </pic:spPr>
                </pic:pic>
              </a:graphicData>
            </a:graphic>
          </wp:inline>
        </w:drawing>
      </w:r>
    </w:p>
    <w:p w14:paraId="4E948DAA" w14:textId="696185AF" w:rsidR="00684281" w:rsidRDefault="003E70E5" w:rsidP="00684281">
      <w:pPr>
        <w:pStyle w:val="Heading4"/>
      </w:pPr>
      <w:r>
        <w:rPr>
          <w:noProof/>
        </w:rPr>
        <w:drawing>
          <wp:anchor distT="0" distB="0" distL="114300" distR="114300" simplePos="0" relativeHeight="251666432" behindDoc="0" locked="0" layoutInCell="1" allowOverlap="1" wp14:anchorId="11C0AC65" wp14:editId="5D527379">
            <wp:simplePos x="0" y="0"/>
            <wp:positionH relativeFrom="margin">
              <wp:align>left</wp:align>
            </wp:positionH>
            <wp:positionV relativeFrom="paragraph">
              <wp:posOffset>186055</wp:posOffset>
            </wp:positionV>
            <wp:extent cx="6221730" cy="2732405"/>
            <wp:effectExtent l="0" t="0" r="7620" b="0"/>
            <wp:wrapSquare wrapText="bothSides"/>
            <wp:docPr id="915643297" name="Picture 18" descr="A table of number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643297" name="Picture 18" descr="A table of numbers with black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221730" cy="2732405"/>
                    </a:xfrm>
                    <a:prstGeom prst="rect">
                      <a:avLst/>
                    </a:prstGeom>
                  </pic:spPr>
                </pic:pic>
              </a:graphicData>
            </a:graphic>
            <wp14:sizeRelH relativeFrom="page">
              <wp14:pctWidth>0</wp14:pctWidth>
            </wp14:sizeRelH>
            <wp14:sizeRelV relativeFrom="page">
              <wp14:pctHeight>0</wp14:pctHeight>
            </wp14:sizeRelV>
          </wp:anchor>
        </w:drawing>
      </w:r>
      <w:r w:rsidR="00272A5A">
        <w:rPr>
          <w:noProof/>
        </w:rPr>
        <w:t xml:space="preserve"> </w:t>
      </w:r>
      <w:r w:rsidR="00684281">
        <w:t xml:space="preserve">Table </w:t>
      </w:r>
      <w:r w:rsidR="00684281">
        <w:t>10</w:t>
      </w:r>
      <w:r w:rsidR="00684281">
        <w:t xml:space="preserve">: Results From Models </w:t>
      </w:r>
      <w:r w:rsidR="00684281">
        <w:t>D</w:t>
      </w:r>
      <w:r w:rsidR="00684281">
        <w:t>-</w:t>
      </w:r>
      <w:r w:rsidR="00684281">
        <w:t>G</w:t>
      </w:r>
    </w:p>
    <w:p w14:paraId="70C707BA" w14:textId="3503AF1C" w:rsidR="00684281" w:rsidRPr="00684281" w:rsidRDefault="00684281" w:rsidP="00684281"/>
    <w:p w14:paraId="380D2C47" w14:textId="30D36862" w:rsidR="001A2ADF" w:rsidRDefault="00C104B7" w:rsidP="00F06923">
      <w:r>
        <w:t>From these results we can see that</w:t>
      </w:r>
      <w:r w:rsidR="009930CA">
        <w:t xml:space="preserve"> all polic</w:t>
      </w:r>
      <w:r w:rsidR="00C01074">
        <w:t>y dummies</w:t>
      </w:r>
      <w:r w:rsidR="009930CA">
        <w:t xml:space="preserve"> were significant</w:t>
      </w:r>
      <w:r w:rsidR="00F81208">
        <w:t xml:space="preserve"> at a 1% level</w:t>
      </w:r>
      <w:r w:rsidR="009930CA">
        <w:t xml:space="preserve"> in explaining</w:t>
      </w:r>
      <w:r w:rsidR="00DB235B">
        <w:t xml:space="preserve"> each EPC rating. However, ECO 1 and 3 </w:t>
      </w:r>
      <w:r w:rsidR="00BE19AB">
        <w:t xml:space="preserve">both have negative coefficients on </w:t>
      </w:r>
      <w:proofErr w:type="spellStart"/>
      <w:r w:rsidR="00BE19AB">
        <w:t>lnA</w:t>
      </w:r>
      <w:proofErr w:type="spellEnd"/>
      <w:r w:rsidR="00BE19AB">
        <w:t>, B and C</w:t>
      </w:r>
      <w:r w:rsidR="00002076">
        <w:t xml:space="preserve">. One reason could be because ECO policies were focused on </w:t>
      </w:r>
      <w:r w:rsidR="00597D87">
        <w:t xml:space="preserve">fuel-poor households with low EPC ratings, </w:t>
      </w:r>
      <w:r w:rsidR="005346A1">
        <w:t>higher rated and income-richer households would</w:t>
      </w:r>
      <w:r w:rsidR="00873CCA">
        <w:t xml:space="preserve"> not</w:t>
      </w:r>
      <w:r w:rsidR="005346A1">
        <w:t xml:space="preserve"> be able to take advantage of them</w:t>
      </w:r>
      <w:r w:rsidR="00873CCA">
        <w:t>, however this would mean that the policy should not be significant</w:t>
      </w:r>
      <w:r w:rsidR="00B97AEC">
        <w:t>,</w:t>
      </w:r>
      <w:r w:rsidR="00CB4890">
        <w:t xml:space="preserve"> and</w:t>
      </w:r>
      <w:r w:rsidR="00737DF9">
        <w:t xml:space="preserve"> this </w:t>
      </w:r>
      <w:r w:rsidR="00CB4890">
        <w:t>should only be with band A.</w:t>
      </w:r>
      <w:r w:rsidR="00737DF9">
        <w:t xml:space="preserve"> Bands B and C </w:t>
      </w:r>
      <w:r w:rsidR="00B97AEC">
        <w:t>are expected to have</w:t>
      </w:r>
      <w:r w:rsidR="0001369D">
        <w:t xml:space="preserve"> the highest coefficients</w:t>
      </w:r>
      <w:r w:rsidR="00BD675D">
        <w:t xml:space="preserve"> on Installations and the ECO policies</w:t>
      </w:r>
      <w:r w:rsidR="00FC448E">
        <w:t xml:space="preserve">, </w:t>
      </w:r>
      <w:r w:rsidR="00442FE1">
        <w:t xml:space="preserve">but we find </w:t>
      </w:r>
      <w:r w:rsidR="00442FE1">
        <w:lastRenderedPageBreak/>
        <w:t>statistically significant</w:t>
      </w:r>
      <w:r w:rsidR="00E12F51">
        <w:t>, negative</w:t>
      </w:r>
      <w:r w:rsidR="00442FE1">
        <w:t xml:space="preserve"> coefficients on all of these variables except ECO4.</w:t>
      </w:r>
      <w:r w:rsidR="00481BA2">
        <w:t xml:space="preserve"> For </w:t>
      </w:r>
      <w:r w:rsidR="00AB4950">
        <w:t>example,</w:t>
      </w:r>
      <w:r w:rsidR="00231005">
        <w:t xml:space="preserve"> </w:t>
      </w:r>
      <w:r w:rsidR="009E7D5B">
        <w:t>when ECO1 was active</w:t>
      </w:r>
      <w:r w:rsidR="002D5B76">
        <w:t xml:space="preserve">, </w:t>
      </w:r>
      <w:r w:rsidR="00674268">
        <w:t>t</w:t>
      </w:r>
      <w:r w:rsidR="002D5B76">
        <w:t>he number of</w:t>
      </w:r>
      <w:r w:rsidR="00646218">
        <w:t xml:space="preserve"> new</w:t>
      </w:r>
      <w:r w:rsidR="002D5B76">
        <w:t xml:space="preserve"> Band C ratings </w:t>
      </w:r>
      <w:r w:rsidR="00CB728D">
        <w:t>fell</w:t>
      </w:r>
      <w:r w:rsidR="00A4169F">
        <w:t xml:space="preserve"> by</w:t>
      </w:r>
      <w:r w:rsidR="00646218">
        <w:t xml:space="preserve"> 15%.</w:t>
      </w:r>
      <w:r w:rsidR="00A4169F">
        <w:t xml:space="preserve"> </w:t>
      </w:r>
      <w:r w:rsidR="00F616C2">
        <w:t>(</w:t>
      </w:r>
      <w:r w:rsidR="00A4169F">
        <w:t>e</w:t>
      </w:r>
      <w:r w:rsidR="00A4169F" w:rsidRPr="00A4169F">
        <w:rPr>
          <w:vertAlign w:val="superscript"/>
        </w:rPr>
        <w:t>-0.16</w:t>
      </w:r>
      <w:r w:rsidR="00646218">
        <w:rPr>
          <w:vertAlign w:val="superscript"/>
        </w:rPr>
        <w:t xml:space="preserve"> </w:t>
      </w:r>
      <w:r w:rsidR="00523C8E">
        <w:t>=</w:t>
      </w:r>
      <w:r w:rsidR="00646218">
        <w:t xml:space="preserve"> </w:t>
      </w:r>
      <w:r w:rsidR="00F616C2">
        <w:t>0.85, 1</w:t>
      </w:r>
      <w:r w:rsidR="00646218">
        <w:t xml:space="preserve"> </w:t>
      </w:r>
      <w:r w:rsidR="00F616C2">
        <w:t>-</w:t>
      </w:r>
      <w:r w:rsidR="00646218">
        <w:t xml:space="preserve"> </w:t>
      </w:r>
      <w:r w:rsidR="00F616C2">
        <w:t>0.85</w:t>
      </w:r>
      <w:r w:rsidR="00646218">
        <w:t xml:space="preserve"> </w:t>
      </w:r>
      <w:r w:rsidR="00F616C2">
        <w:t>=</w:t>
      </w:r>
      <w:r w:rsidR="00646218">
        <w:t xml:space="preserve"> </w:t>
      </w:r>
      <w:r w:rsidR="00CB728D">
        <w:t>0.15)</w:t>
      </w:r>
      <w:r w:rsidR="000200C7">
        <w:t>, on average, ceteris paribus.</w:t>
      </w:r>
    </w:p>
    <w:p w14:paraId="258B5CC9" w14:textId="77777777" w:rsidR="001A2ADF" w:rsidRDefault="001A2ADF" w:rsidP="00F06923"/>
    <w:p w14:paraId="70D4D008" w14:textId="04191F9D" w:rsidR="001A2ADF" w:rsidRDefault="009876E8" w:rsidP="00F06923">
      <w:r>
        <w:t>Suggesting a lack of information about energy efficiency</w:t>
      </w:r>
    </w:p>
    <w:p w14:paraId="3A1D97CF" w14:textId="52F8F24B" w:rsidR="009876E8" w:rsidRDefault="009876E8" w:rsidP="00F06923">
      <w:r>
        <w:t>Inappropriate pricing of policies</w:t>
      </w:r>
    </w:p>
    <w:p w14:paraId="0DBC7A1E" w14:textId="63931FD4" w:rsidR="007A338A" w:rsidRDefault="007A338A" w:rsidP="00F06923">
      <w:r>
        <w:t xml:space="preserve">Barriers are still too </w:t>
      </w:r>
      <w:proofErr w:type="gramStart"/>
      <w:r>
        <w:t>high?</w:t>
      </w:r>
      <w:proofErr w:type="gramEnd"/>
    </w:p>
    <w:p w14:paraId="7CC89DAC" w14:textId="26AE535B" w:rsidR="001A2ADF" w:rsidRDefault="0068128B" w:rsidP="00F06923">
      <w:r>
        <w:t>Inappropriate regional targeting in the past</w:t>
      </w:r>
    </w:p>
    <w:p w14:paraId="39DA05E0" w14:textId="77777777" w:rsidR="001902E9" w:rsidRDefault="001902E9" w:rsidP="00AB4950">
      <w:pPr>
        <w:pStyle w:val="Heading2"/>
      </w:pPr>
    </w:p>
    <w:p w14:paraId="71A337A9" w14:textId="5760DBB8" w:rsidR="001A2ADF" w:rsidRDefault="00AB4950" w:rsidP="00AB4950">
      <w:pPr>
        <w:pStyle w:val="Heading2"/>
      </w:pPr>
      <w:bookmarkStart w:id="22" w:name="_Toc166593147"/>
      <w:r>
        <w:t>4.1 Caveats</w:t>
      </w:r>
      <w:bookmarkEnd w:id="22"/>
    </w:p>
    <w:p w14:paraId="601C7C87" w14:textId="775B3626" w:rsidR="00AB4950" w:rsidRDefault="00674268" w:rsidP="00AB4950">
      <w:r>
        <w:t xml:space="preserve">One major caveat with this </w:t>
      </w:r>
      <w:r w:rsidR="00F97B4D">
        <w:t>analysis is the very strong assumption of the random effects estimator</w:t>
      </w:r>
      <w:r w:rsidR="00FA1688">
        <w:t xml:space="preserve"> that the random effects are</w:t>
      </w:r>
      <w:r w:rsidR="005B674B">
        <w:t xml:space="preserve"> independent of the explanatory variables, theoretically, a fixed effects estimator suits this data set</w:t>
      </w:r>
      <w:r w:rsidR="007A338A">
        <w:t>ting</w:t>
      </w:r>
      <w:r w:rsidR="005B674B">
        <w:t xml:space="preserve"> more</w:t>
      </w:r>
      <w:r w:rsidR="002F26D4">
        <w:t xml:space="preserve"> to control for </w:t>
      </w:r>
      <w:r w:rsidR="00A7766F">
        <w:t xml:space="preserve">household and landlord characteristics, </w:t>
      </w:r>
      <w:r w:rsidR="009876E8">
        <w:t xml:space="preserve">and any </w:t>
      </w:r>
      <w:r w:rsidR="007A338A">
        <w:t>information asymmetry.</w:t>
      </w:r>
    </w:p>
    <w:p w14:paraId="0C481D2B" w14:textId="7FB6AE95" w:rsidR="007A338A" w:rsidRDefault="007A338A" w:rsidP="00AB4950">
      <w:r>
        <w:t>Another Caveat to be mentioned is</w:t>
      </w:r>
      <w:r w:rsidR="008B17CB">
        <w:t xml:space="preserve"> the assumption of normality, it is possible that the sample size of 430 may not be high enough to relax this assumption, which could be skewing our results.</w:t>
      </w:r>
      <w:r w:rsidR="00F26537">
        <w:t xml:space="preserve"> This analysis would have benefitted from more available </w:t>
      </w:r>
      <w:r w:rsidR="009975A7">
        <w:t>data, also</w:t>
      </w:r>
      <w:r w:rsidR="00152D0B">
        <w:t xml:space="preserve"> if the actual scores were available in each region</w:t>
      </w:r>
      <w:r w:rsidR="00060F86">
        <w:t xml:space="preserve"> rather than number of bands awarded then</w:t>
      </w:r>
      <w:r w:rsidR="000C069E">
        <w:t xml:space="preserve"> the models will have been less complex, allowing for better interpretation of results.</w:t>
      </w:r>
    </w:p>
    <w:p w14:paraId="3BA23796" w14:textId="651E88E4" w:rsidR="0038564A" w:rsidRPr="00AB4950" w:rsidRDefault="00A1159B" w:rsidP="00AB4950">
      <w:r>
        <w:t xml:space="preserve">Also, whilst clustered standard errors were used </w:t>
      </w:r>
      <w:r w:rsidR="0016426D">
        <w:t>for the model to be robust to cross-sectional dependence</w:t>
      </w:r>
      <w:r w:rsidR="0050124C">
        <w:t>,</w:t>
      </w:r>
      <w:r w:rsidR="0016426D">
        <w:t xml:space="preserve"> cross-cluster </w:t>
      </w:r>
      <w:r w:rsidR="003A578A">
        <w:t>correlation should also be tested for</w:t>
      </w:r>
      <w:r w:rsidR="0050124C">
        <w:t xml:space="preserve"> because this could</w:t>
      </w:r>
      <w:r w:rsidR="004D0E86">
        <w:t xml:space="preserve"> violate the assumption</w:t>
      </w:r>
      <w:r w:rsidR="00314549">
        <w:t xml:space="preserve"> of the randoms effect estimator, which could lead to biased and inconsistent results.</w:t>
      </w:r>
      <w:r w:rsidR="007210FE">
        <w:t xml:space="preserve"> </w:t>
      </w:r>
      <w:r w:rsidR="00191210">
        <w:t>The intra-class coefficient, rho</w:t>
      </w:r>
      <w:r w:rsidR="00C82E63">
        <w:t>,</w:t>
      </w:r>
      <w:r w:rsidR="00191210">
        <w:t xml:space="preserve"> is also very high</w:t>
      </w:r>
      <w:r w:rsidR="00C82E63">
        <w:t xml:space="preserve"> in these models</w:t>
      </w:r>
      <w:r w:rsidR="00A13130">
        <w:t xml:space="preserve">, </w:t>
      </w:r>
      <w:r w:rsidR="00CC1E7C">
        <w:t xml:space="preserve">meaning that a </w:t>
      </w:r>
      <w:r w:rsidR="005217E4">
        <w:t>large proportion of variances in the date is due to differences between the clusters</w:t>
      </w:r>
      <w:r w:rsidR="00EA3C79">
        <w:t>, rather than within them.</w:t>
      </w:r>
    </w:p>
    <w:p w14:paraId="26F40254" w14:textId="77777777" w:rsidR="001A2ADF" w:rsidRDefault="001A2ADF" w:rsidP="00F06923"/>
    <w:p w14:paraId="19C877DD" w14:textId="4D3431AA" w:rsidR="002636F3" w:rsidRDefault="002636F3" w:rsidP="00F06923"/>
    <w:p w14:paraId="27E47F48" w14:textId="77777777" w:rsidR="001A2ADF" w:rsidRDefault="001A2ADF" w:rsidP="00F06923"/>
    <w:p w14:paraId="31C8BF1A" w14:textId="77777777" w:rsidR="001A2ADF" w:rsidRDefault="001A2ADF" w:rsidP="00F06923"/>
    <w:p w14:paraId="6ED103FE" w14:textId="77777777" w:rsidR="001A2ADF" w:rsidRDefault="001A2ADF" w:rsidP="00F06923"/>
    <w:p w14:paraId="7841319E" w14:textId="77777777" w:rsidR="001A2ADF" w:rsidRDefault="001A2ADF" w:rsidP="00F06923"/>
    <w:p w14:paraId="5873F59E" w14:textId="77777777" w:rsidR="001A2ADF" w:rsidRDefault="001A2ADF" w:rsidP="00F06923"/>
    <w:p w14:paraId="5DAA2C6B" w14:textId="77777777" w:rsidR="001A2ADF" w:rsidRDefault="001A2ADF" w:rsidP="00F06923"/>
    <w:p w14:paraId="10767301" w14:textId="77777777" w:rsidR="001A2ADF" w:rsidRDefault="001A2ADF" w:rsidP="00F06923"/>
    <w:p w14:paraId="54EA3DB6" w14:textId="77777777" w:rsidR="001A2ADF" w:rsidRDefault="001A2ADF" w:rsidP="00F06923"/>
    <w:p w14:paraId="72CAC3F7" w14:textId="77777777" w:rsidR="001A2ADF" w:rsidRDefault="001A2ADF" w:rsidP="00F06923"/>
    <w:p w14:paraId="1A8342BB" w14:textId="77777777" w:rsidR="001A2ADF" w:rsidRDefault="001A2ADF" w:rsidP="00F06923"/>
    <w:p w14:paraId="4021860F" w14:textId="77777777" w:rsidR="001A2ADF" w:rsidRDefault="001A2ADF" w:rsidP="00F06923"/>
    <w:p w14:paraId="62409BFC" w14:textId="77777777" w:rsidR="001A2ADF" w:rsidRDefault="001A2ADF" w:rsidP="00F06923"/>
    <w:p w14:paraId="0D1FE876" w14:textId="77777777" w:rsidR="001A2ADF" w:rsidRDefault="001A2ADF" w:rsidP="00F06923"/>
    <w:p w14:paraId="7662373C" w14:textId="77777777" w:rsidR="001A2ADF" w:rsidRDefault="001A2ADF" w:rsidP="00F06923"/>
    <w:p w14:paraId="0608D338" w14:textId="77777777" w:rsidR="001A2ADF" w:rsidRDefault="001A2ADF" w:rsidP="00F06923"/>
    <w:p w14:paraId="3ED0BAC9" w14:textId="77777777" w:rsidR="001A2ADF" w:rsidRDefault="001A2ADF" w:rsidP="00F06923"/>
    <w:p w14:paraId="3A7191D9" w14:textId="77777777" w:rsidR="001A2ADF" w:rsidRDefault="001A2ADF" w:rsidP="00F06923"/>
    <w:p w14:paraId="4B0009DF" w14:textId="77777777" w:rsidR="001A2ADF" w:rsidRDefault="001A2ADF" w:rsidP="00F06923"/>
    <w:p w14:paraId="4C02B5A8" w14:textId="77777777" w:rsidR="001A2ADF" w:rsidRDefault="001A2ADF" w:rsidP="00F06923"/>
    <w:p w14:paraId="2A9ED28E" w14:textId="77777777" w:rsidR="001A2ADF" w:rsidRDefault="001A2ADF" w:rsidP="00F06923"/>
    <w:p w14:paraId="751F59EA" w14:textId="77777777" w:rsidR="001A2ADF" w:rsidRDefault="001A2ADF" w:rsidP="00F06923"/>
    <w:p w14:paraId="5269F3B0" w14:textId="77777777" w:rsidR="001A2ADF" w:rsidRDefault="001A2ADF" w:rsidP="00F06923"/>
    <w:p w14:paraId="677BA9A3" w14:textId="48B067CF" w:rsidR="00F06923" w:rsidRDefault="00F06923" w:rsidP="00F06923">
      <w:pPr>
        <w:pStyle w:val="Heading1"/>
      </w:pPr>
      <w:bookmarkStart w:id="23" w:name="_Toc166593148"/>
      <w:r>
        <w:t>Conclusion</w:t>
      </w:r>
      <w:bookmarkEnd w:id="23"/>
    </w:p>
    <w:p w14:paraId="2259D927" w14:textId="77777777" w:rsidR="00F06923" w:rsidRDefault="00F06923" w:rsidP="00F06923"/>
    <w:p w14:paraId="6A40DDB3" w14:textId="77777777" w:rsidR="00F06923" w:rsidRDefault="00F06923" w:rsidP="00F06923"/>
    <w:p w14:paraId="14211EAE" w14:textId="60A5163E" w:rsidR="00F06923" w:rsidRDefault="00F06923" w:rsidP="00F06923"/>
    <w:p w14:paraId="5C6BB1BF" w14:textId="1FBE87C1" w:rsidR="00F06923" w:rsidRDefault="00F06923" w:rsidP="00F06923">
      <w:pPr>
        <w:pStyle w:val="Heading1"/>
      </w:pPr>
      <w:bookmarkStart w:id="24" w:name="_Toc166593149"/>
      <w:r>
        <w:t>Recommendations</w:t>
      </w:r>
      <w:bookmarkEnd w:id="24"/>
    </w:p>
    <w:p w14:paraId="7AAB6026" w14:textId="77777777" w:rsidR="00F06923" w:rsidRDefault="00F06923" w:rsidP="00F06923"/>
    <w:p w14:paraId="2ABB4A9E" w14:textId="77777777" w:rsidR="00F06923" w:rsidRDefault="00F06923" w:rsidP="00F06923"/>
    <w:p w14:paraId="695F59FF" w14:textId="77777777" w:rsidR="00F06923" w:rsidRDefault="00F06923" w:rsidP="00F06923"/>
    <w:p w14:paraId="1DAB50CC" w14:textId="23B5D0E3" w:rsidR="00F06923" w:rsidRDefault="00F06923" w:rsidP="00F06923"/>
    <w:p w14:paraId="5F65823A" w14:textId="7343F625" w:rsidR="00F06923" w:rsidRDefault="00F06923" w:rsidP="00F06923">
      <w:pPr>
        <w:pStyle w:val="Heading1"/>
      </w:pPr>
      <w:bookmarkStart w:id="25" w:name="_Toc166593150"/>
      <w:r>
        <w:t>Appendix</w:t>
      </w:r>
      <w:bookmarkEnd w:id="25"/>
    </w:p>
    <w:p w14:paraId="68F9CB33" w14:textId="71D912D8" w:rsidR="00F06923" w:rsidRDefault="00F06923" w:rsidP="00F06923"/>
    <w:p w14:paraId="4C760053" w14:textId="7FE77C94" w:rsidR="00F06923" w:rsidRDefault="00036A18" w:rsidP="005B4765">
      <w:pPr>
        <w:pStyle w:val="Heading5"/>
      </w:pPr>
      <w:r>
        <w:lastRenderedPageBreak/>
        <w:t xml:space="preserve"> Table 6: </w:t>
      </w:r>
      <w:r w:rsidR="005B4765">
        <w:t>Summary Statistics</w:t>
      </w:r>
      <w:r>
        <w:t xml:space="preserve"> in Log Form</w:t>
      </w:r>
    </w:p>
    <w:p w14:paraId="592C5A79" w14:textId="16D0246A" w:rsidR="00F06923" w:rsidRDefault="005B4765" w:rsidP="00F06923">
      <w:r>
        <w:rPr>
          <w:noProof/>
        </w:rPr>
        <w:drawing>
          <wp:anchor distT="0" distB="0" distL="114300" distR="114300" simplePos="0" relativeHeight="251659264" behindDoc="0" locked="0" layoutInCell="1" allowOverlap="1" wp14:anchorId="4D3FAF24" wp14:editId="1CF4102B">
            <wp:simplePos x="0" y="0"/>
            <wp:positionH relativeFrom="column">
              <wp:posOffset>-161925</wp:posOffset>
            </wp:positionH>
            <wp:positionV relativeFrom="paragraph">
              <wp:posOffset>191135</wp:posOffset>
            </wp:positionV>
            <wp:extent cx="4391025" cy="3423285"/>
            <wp:effectExtent l="0" t="0" r="9525" b="5715"/>
            <wp:wrapSquare wrapText="bothSides"/>
            <wp:docPr id="238828250" name="Picture 3" descr="A table of statistic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828250" name="Picture 3" descr="A table of statistics with number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91025" cy="3423285"/>
                    </a:xfrm>
                    <a:prstGeom prst="rect">
                      <a:avLst/>
                    </a:prstGeom>
                  </pic:spPr>
                </pic:pic>
              </a:graphicData>
            </a:graphic>
            <wp14:sizeRelH relativeFrom="page">
              <wp14:pctWidth>0</wp14:pctWidth>
            </wp14:sizeRelH>
            <wp14:sizeRelV relativeFrom="page">
              <wp14:pctHeight>0</wp14:pctHeight>
            </wp14:sizeRelV>
          </wp:anchor>
        </w:drawing>
      </w:r>
    </w:p>
    <w:p w14:paraId="7826CEF1" w14:textId="3B878C57" w:rsidR="00F06923" w:rsidRDefault="00F06923" w:rsidP="00F06923"/>
    <w:p w14:paraId="71F48647" w14:textId="3825A24D" w:rsidR="00F06923" w:rsidRDefault="00F06923" w:rsidP="00F06923"/>
    <w:p w14:paraId="2CE4CAB8" w14:textId="77777777" w:rsidR="00F63B3A" w:rsidRDefault="00F63B3A" w:rsidP="00F06923"/>
    <w:p w14:paraId="573E45C5" w14:textId="77777777" w:rsidR="00F63B3A" w:rsidRDefault="00F63B3A" w:rsidP="00F06923"/>
    <w:p w14:paraId="0B4321EF" w14:textId="77777777" w:rsidR="00F63B3A" w:rsidRDefault="00F63B3A" w:rsidP="00F06923"/>
    <w:p w14:paraId="6BCCE189" w14:textId="77777777" w:rsidR="00F63B3A" w:rsidRDefault="00F63B3A" w:rsidP="00F06923"/>
    <w:p w14:paraId="6DA6D535" w14:textId="77777777" w:rsidR="00F63B3A" w:rsidRDefault="00F63B3A" w:rsidP="00F06923"/>
    <w:p w14:paraId="660B2258" w14:textId="77777777" w:rsidR="00F63B3A" w:rsidRDefault="00F63B3A" w:rsidP="00F06923"/>
    <w:p w14:paraId="20B7FCFF" w14:textId="77777777" w:rsidR="00F63B3A" w:rsidRDefault="00F63B3A" w:rsidP="00F06923"/>
    <w:p w14:paraId="70F9A0B3" w14:textId="77777777" w:rsidR="00F63B3A" w:rsidRDefault="00F63B3A" w:rsidP="00F06923"/>
    <w:p w14:paraId="31674E7D" w14:textId="77777777" w:rsidR="00F63B3A" w:rsidRDefault="00F63B3A" w:rsidP="00F06923"/>
    <w:p w14:paraId="143A4219" w14:textId="77777777" w:rsidR="00F63B3A" w:rsidRDefault="00F63B3A" w:rsidP="00F06923"/>
    <w:p w14:paraId="4896EF95" w14:textId="77777777" w:rsidR="00F63B3A" w:rsidRDefault="00F63B3A" w:rsidP="00F06923"/>
    <w:p w14:paraId="7D4F7FBA" w14:textId="77777777" w:rsidR="00F63B3A" w:rsidRDefault="00F63B3A" w:rsidP="00F06923"/>
    <w:p w14:paraId="7F226CD5" w14:textId="77777777" w:rsidR="00F63B3A" w:rsidRDefault="00F63B3A" w:rsidP="00F06923"/>
    <w:p w14:paraId="526624E6" w14:textId="77777777" w:rsidR="00F63B3A" w:rsidRDefault="00F63B3A" w:rsidP="00F06923"/>
    <w:p w14:paraId="56529CC4" w14:textId="77777777" w:rsidR="00F63B3A" w:rsidRDefault="00F63B3A" w:rsidP="00F06923"/>
    <w:p w14:paraId="40A3BEE7" w14:textId="77777777" w:rsidR="00F63B3A" w:rsidRDefault="00F63B3A" w:rsidP="00F06923"/>
    <w:p w14:paraId="1A6E1FC5" w14:textId="77777777" w:rsidR="00F63B3A" w:rsidRDefault="00F63B3A" w:rsidP="00F06923"/>
    <w:p w14:paraId="41CA6C20" w14:textId="77777777" w:rsidR="00F63B3A" w:rsidRDefault="00F63B3A" w:rsidP="00F06923"/>
    <w:p w14:paraId="28CF524D" w14:textId="77777777" w:rsidR="00F63B3A" w:rsidRDefault="00F63B3A" w:rsidP="00F06923"/>
    <w:p w14:paraId="55D0038D" w14:textId="77777777" w:rsidR="00F63B3A" w:rsidRDefault="00F63B3A" w:rsidP="00F06923"/>
    <w:p w14:paraId="05CB8A79" w14:textId="77777777" w:rsidR="00F63B3A" w:rsidRDefault="00F63B3A" w:rsidP="00F06923"/>
    <w:p w14:paraId="0E24C065" w14:textId="77777777" w:rsidR="00F63B3A" w:rsidRDefault="00F63B3A" w:rsidP="00F06923"/>
    <w:p w14:paraId="4E2EF8F7" w14:textId="77777777" w:rsidR="00F63B3A" w:rsidRDefault="00F63B3A" w:rsidP="00F06923"/>
    <w:p w14:paraId="508D86D1" w14:textId="77777777" w:rsidR="00F63B3A" w:rsidRDefault="00F63B3A" w:rsidP="00F06923"/>
    <w:p w14:paraId="14F20FE3" w14:textId="77777777" w:rsidR="00F63B3A" w:rsidRDefault="00F63B3A" w:rsidP="00F06923"/>
    <w:p w14:paraId="273C201A" w14:textId="77777777" w:rsidR="00F63B3A" w:rsidRDefault="00F63B3A" w:rsidP="00F06923"/>
    <w:p w14:paraId="6CABE9BF" w14:textId="77777777" w:rsidR="00F63B3A" w:rsidRDefault="00F63B3A" w:rsidP="00F06923"/>
    <w:p w14:paraId="38A07E1B" w14:textId="77777777" w:rsidR="00F63B3A" w:rsidRDefault="00F63B3A" w:rsidP="00F06923"/>
    <w:p w14:paraId="7026D899" w14:textId="77777777" w:rsidR="00F63B3A" w:rsidRDefault="00F63B3A" w:rsidP="00F06923"/>
    <w:p w14:paraId="51E8D0A5" w14:textId="77777777" w:rsidR="00F63B3A" w:rsidRDefault="00F63B3A" w:rsidP="00F06923"/>
    <w:p w14:paraId="7DEDF9FD" w14:textId="77777777" w:rsidR="00F63B3A" w:rsidRDefault="00F63B3A" w:rsidP="00F06923"/>
    <w:p w14:paraId="77D74BC2" w14:textId="77777777" w:rsidR="00F63B3A" w:rsidRDefault="00F63B3A" w:rsidP="00F06923"/>
    <w:p w14:paraId="18A94ABC" w14:textId="77777777" w:rsidR="00F63B3A" w:rsidRDefault="00F63B3A" w:rsidP="00F06923"/>
    <w:p w14:paraId="2871FFB7" w14:textId="77777777" w:rsidR="00F63B3A" w:rsidRDefault="00F63B3A" w:rsidP="00F06923"/>
    <w:p w14:paraId="1629C3AC" w14:textId="77777777" w:rsidR="00F63B3A" w:rsidRDefault="00F63B3A" w:rsidP="00F06923"/>
    <w:p w14:paraId="7050D6F1" w14:textId="77777777" w:rsidR="00F63B3A" w:rsidRDefault="00F63B3A" w:rsidP="00F06923"/>
    <w:p w14:paraId="5F2C107F" w14:textId="77777777" w:rsidR="00F63B3A" w:rsidRDefault="00F63B3A" w:rsidP="00F06923"/>
    <w:p w14:paraId="6DCFA200" w14:textId="77071809" w:rsidR="00F06923" w:rsidRDefault="00F06923" w:rsidP="00F06923">
      <w:pPr>
        <w:pStyle w:val="Heading1"/>
      </w:pPr>
      <w:bookmarkStart w:id="26" w:name="_Toc166593151"/>
      <w:r>
        <w:lastRenderedPageBreak/>
        <w:t>References</w:t>
      </w:r>
      <w:bookmarkEnd w:id="26"/>
    </w:p>
    <w:p w14:paraId="1E882E1F" w14:textId="42A673C1" w:rsidR="00BF3DE5" w:rsidRDefault="00BF3DE5" w:rsidP="004A2EBD">
      <w:pPr>
        <w:pStyle w:val="Heading4"/>
        <w:numPr>
          <w:ilvl w:val="0"/>
          <w:numId w:val="6"/>
        </w:numPr>
      </w:pPr>
      <w:bookmarkStart w:id="27" w:name="_Department_For_Energy"/>
      <w:bookmarkEnd w:id="27"/>
      <w:r w:rsidRPr="00BF3DE5">
        <w:t>Department For Energy Security and Net Zero. (2024). </w:t>
      </w:r>
      <w:r w:rsidRPr="005F1A8B">
        <w:t>Household Energy Efficiency Statistics, headline release January 2024</w:t>
      </w:r>
      <w:r w:rsidRPr="00BF3DE5">
        <w:t xml:space="preserve">. [online] Available at: </w:t>
      </w:r>
      <w:hyperlink r:id="rId16" w:history="1">
        <w:r w:rsidRPr="00BF3DE5">
          <w:rPr>
            <w:rStyle w:val="Hyperlink"/>
          </w:rPr>
          <w:t>https://www.gov.uk/government/statistics/household-energy-efficiency-statistics-headline-release-january-2024</w:t>
        </w:r>
      </w:hyperlink>
      <w:r w:rsidRPr="00BF3DE5">
        <w:t>. (Accessed 10 Mar 2024)</w:t>
      </w:r>
    </w:p>
    <w:p w14:paraId="048C1243" w14:textId="68B86580" w:rsidR="00DD058B" w:rsidRPr="00DD058B" w:rsidRDefault="00DE285D" w:rsidP="00DE285D">
      <w:pPr>
        <w:pStyle w:val="Heading4"/>
        <w:numPr>
          <w:ilvl w:val="0"/>
          <w:numId w:val="6"/>
        </w:numPr>
      </w:pPr>
      <w:bookmarkStart w:id="28" w:name="_Fawcett,_T.,_Rosenow,"/>
      <w:bookmarkEnd w:id="28"/>
      <w:r w:rsidRPr="00DE285D">
        <w:t xml:space="preserve">Fawcett, T., Rosenow, J. and Bertoldi, P. (2018). Energy efficiency obligation schemes: their future in the EU. Energy Efficiency, 12(1), pp.57–71. </w:t>
      </w:r>
      <w:hyperlink r:id="rId17" w:history="1">
        <w:proofErr w:type="spellStart"/>
        <w:proofErr w:type="gramStart"/>
        <w:r w:rsidRPr="00DE285D">
          <w:rPr>
            <w:rStyle w:val="Hyperlink"/>
          </w:rPr>
          <w:t>doi:https</w:t>
        </w:r>
        <w:proofErr w:type="spellEnd"/>
        <w:r w:rsidRPr="00DE285D">
          <w:rPr>
            <w:rStyle w:val="Hyperlink"/>
          </w:rPr>
          <w:t>://doi.org/10.1007/s12053-018-9657-1</w:t>
        </w:r>
        <w:proofErr w:type="gramEnd"/>
        <w:r w:rsidRPr="00DE285D">
          <w:rPr>
            <w:rStyle w:val="Hyperlink"/>
          </w:rPr>
          <w:t>.</w:t>
        </w:r>
      </w:hyperlink>
    </w:p>
    <w:p w14:paraId="18C4E5ED" w14:textId="2C8ABF79" w:rsidR="002A4D8F" w:rsidRDefault="005F1A8B" w:rsidP="00AB4D51">
      <w:pPr>
        <w:pStyle w:val="Heading4"/>
        <w:numPr>
          <w:ilvl w:val="0"/>
          <w:numId w:val="6"/>
        </w:numPr>
      </w:pPr>
      <w:bookmarkStart w:id="29" w:name="_GOV.UK._(2024)._A"/>
      <w:bookmarkEnd w:id="29"/>
      <w:r>
        <w:t xml:space="preserve">GOV.UK. (2024). A guide to Energy Performance Certificates for the construction, sale and let of non-dwellings. [online] </w:t>
      </w:r>
      <w:hyperlink r:id="rId18" w:history="1">
        <w:r w:rsidRPr="005F1A8B">
          <w:rPr>
            <w:rStyle w:val="Hyperlink"/>
          </w:rPr>
          <w:t>Available at: https://www.gov.uk/government/publications/energy-performance-certificates-for-the-construction-sale-and-let-of-non-dwellings--2/a-guide-to-energy-performance-certificates-for-the-construction-sale-and-let-of-non-dwellings#obtaining-an-epc</w:t>
        </w:r>
      </w:hyperlink>
      <w:r>
        <w:t xml:space="preserve"> [Accessed 11 March  2024].</w:t>
      </w:r>
    </w:p>
    <w:p w14:paraId="511A42D0" w14:textId="7CED3647" w:rsidR="002A4D8F" w:rsidRDefault="002A4D8F" w:rsidP="004A2EBD">
      <w:pPr>
        <w:pStyle w:val="Heading4"/>
        <w:numPr>
          <w:ilvl w:val="0"/>
          <w:numId w:val="6"/>
        </w:numPr>
      </w:pPr>
      <w:bookmarkStart w:id="30" w:name="_GOV.UK._(2024)._Energy"/>
      <w:bookmarkEnd w:id="30"/>
      <w:r w:rsidRPr="002A4D8F">
        <w:t>GOV.UK. (</w:t>
      </w:r>
      <w:r>
        <w:t>2024</w:t>
      </w:r>
      <w:r w:rsidRPr="002A4D8F">
        <w:t xml:space="preserve">). </w:t>
      </w:r>
      <w:r w:rsidRPr="005F1A8B">
        <w:t>Energy Performance of Buildings Certificates: Data dashboard</w:t>
      </w:r>
      <w:r w:rsidRPr="002A4D8F">
        <w:t xml:space="preserve">. [online] Available at: </w:t>
      </w:r>
      <w:hyperlink r:id="rId19" w:history="1">
        <w:r w:rsidR="00241A99" w:rsidRPr="00EE2678">
          <w:rPr>
            <w:rStyle w:val="Hyperlink"/>
          </w:rPr>
          <w:t>https://www.gov.uk/government/statistics/energy-performance-of-buildings-certificates-data-dashboard</w:t>
        </w:r>
      </w:hyperlink>
      <w:r w:rsidR="00241A99">
        <w:t xml:space="preserve"> </w:t>
      </w:r>
      <w:r w:rsidR="003A197A">
        <w:t xml:space="preserve">[Accessed </w:t>
      </w:r>
      <w:r w:rsidR="00F63B3A">
        <w:t>16 March</w:t>
      </w:r>
      <w:r w:rsidR="003A197A">
        <w:t xml:space="preserve"> 2024].</w:t>
      </w:r>
    </w:p>
    <w:p w14:paraId="279828A3" w14:textId="207811CC" w:rsidR="00B047A0" w:rsidRDefault="00B40FCA" w:rsidP="004A2EBD">
      <w:pPr>
        <w:pStyle w:val="Heading5"/>
        <w:numPr>
          <w:ilvl w:val="0"/>
          <w:numId w:val="6"/>
        </w:numPr>
      </w:pPr>
      <w:bookmarkStart w:id="31" w:name="_Katris,_A._and"/>
      <w:bookmarkEnd w:id="31"/>
      <w:r w:rsidRPr="00B40FCA">
        <w:t>Katris, A. and Turner, K. (2021). Can different approaches to funding household energy efficiency deliver on economic and social policy objectives? ECO and alternatives in the UK. </w:t>
      </w:r>
      <w:r w:rsidRPr="00B40FCA">
        <w:rPr>
          <w:i/>
          <w:iCs/>
        </w:rPr>
        <w:t>Energy Policy</w:t>
      </w:r>
      <w:r w:rsidRPr="00B40FCA">
        <w:t>, 155, p.112375</w:t>
      </w:r>
      <w:hyperlink r:id="rId20" w:history="1">
        <w:r w:rsidRPr="00B40FCA">
          <w:rPr>
            <w:rStyle w:val="Hyperlink"/>
          </w:rPr>
          <w:t xml:space="preserve">. </w:t>
        </w:r>
        <w:proofErr w:type="spellStart"/>
        <w:proofErr w:type="gramStart"/>
        <w:r w:rsidRPr="00B40FCA">
          <w:rPr>
            <w:rStyle w:val="Hyperlink"/>
          </w:rPr>
          <w:t>doi:https</w:t>
        </w:r>
        <w:proofErr w:type="spellEnd"/>
        <w:r w:rsidRPr="00B40FCA">
          <w:rPr>
            <w:rStyle w:val="Hyperlink"/>
          </w:rPr>
          <w:t>://doi.org/10.1016/j.enpol.2021.112375</w:t>
        </w:r>
        <w:proofErr w:type="gramEnd"/>
      </w:hyperlink>
      <w:r w:rsidRPr="00B40FCA">
        <w:t>.</w:t>
      </w:r>
      <w:r>
        <w:t xml:space="preserve"> </w:t>
      </w:r>
    </w:p>
    <w:p w14:paraId="70039B46" w14:textId="6EF076F0" w:rsidR="00BF3DE5" w:rsidRDefault="00B047A0" w:rsidP="004A2EBD">
      <w:pPr>
        <w:pStyle w:val="Heading4"/>
        <w:numPr>
          <w:ilvl w:val="0"/>
          <w:numId w:val="6"/>
        </w:numPr>
      </w:pPr>
      <w:r>
        <w:t xml:space="preserve">Kedia, N. (2017). Regional UK map in Tableau. [online] Analytics Tuts. Available at: </w:t>
      </w:r>
      <w:hyperlink r:id="rId21" w:history="1">
        <w:r w:rsidRPr="003A197A">
          <w:rPr>
            <w:rStyle w:val="Hyperlink"/>
          </w:rPr>
          <w:t>https://www.analytics-tuts.com/regional-uk-map-tableau/</w:t>
        </w:r>
      </w:hyperlink>
      <w:r>
        <w:t xml:space="preserve"> [Accessed 13</w:t>
      </w:r>
      <w:r w:rsidR="003A197A">
        <w:t xml:space="preserve"> April</w:t>
      </w:r>
      <w:r>
        <w:t xml:space="preserve"> 2024].</w:t>
      </w:r>
    </w:p>
    <w:p w14:paraId="68F85B97" w14:textId="1F1B7F3E" w:rsidR="00AB4D51" w:rsidRDefault="00AB4D51" w:rsidP="00AB4D51">
      <w:pPr>
        <w:pStyle w:val="Heading4"/>
        <w:numPr>
          <w:ilvl w:val="0"/>
          <w:numId w:val="6"/>
        </w:numPr>
        <w:rPr>
          <w:rStyle w:val="Heading4Char"/>
        </w:rPr>
      </w:pPr>
      <w:bookmarkStart w:id="32" w:name="_Miu,_L.M.,_Wisniewska,"/>
      <w:bookmarkEnd w:id="32"/>
      <w:r w:rsidRPr="00F50384">
        <w:rPr>
          <w:rStyle w:val="Heading4Char"/>
        </w:rPr>
        <w:t xml:space="preserve">Miu, L.M., Wisniewska, N., Mazur, C., Hardy, J. and Hawkes, A. (2018). A Simple Assessment of Housing Retrofit Policies for the UK: What Should Succeed the Energy Company Obligation? Energies, [online] 11(8), p.2070. </w:t>
      </w:r>
      <w:hyperlink r:id="rId22" w:history="1">
        <w:proofErr w:type="spellStart"/>
        <w:proofErr w:type="gramStart"/>
        <w:r w:rsidRPr="00AB4D51">
          <w:rPr>
            <w:rStyle w:val="Hyperlink"/>
          </w:rPr>
          <w:t>doi:https</w:t>
        </w:r>
        <w:proofErr w:type="spellEnd"/>
        <w:r w:rsidRPr="00AB4D51">
          <w:rPr>
            <w:rStyle w:val="Hyperlink"/>
          </w:rPr>
          <w:t>://doi.org/10.3390/en11082070</w:t>
        </w:r>
        <w:proofErr w:type="gramEnd"/>
      </w:hyperlink>
    </w:p>
    <w:p w14:paraId="2224A900" w14:textId="741E39AF" w:rsidR="000968F2" w:rsidRPr="000968F2" w:rsidRDefault="004F4AEF" w:rsidP="004F4AEF">
      <w:pPr>
        <w:pStyle w:val="Heading4"/>
        <w:numPr>
          <w:ilvl w:val="0"/>
          <w:numId w:val="6"/>
        </w:numPr>
      </w:pPr>
      <w:bookmarkStart w:id="33" w:name="_Olaussen,_J.O.,_Oust,"/>
      <w:bookmarkEnd w:id="33"/>
      <w:r w:rsidRPr="004F4AEF">
        <w:t xml:space="preserve">Olaussen, J.O., Oust, A. and Solstad, J.T. (2017). Energy performance certificates – Informing the informed or the indifferent? Energy Policy, 111, pp.246–254. </w:t>
      </w:r>
      <w:hyperlink r:id="rId23" w:history="1">
        <w:proofErr w:type="spellStart"/>
        <w:proofErr w:type="gramStart"/>
        <w:r w:rsidRPr="004F4AEF">
          <w:rPr>
            <w:rStyle w:val="Hyperlink"/>
          </w:rPr>
          <w:t>doi:https</w:t>
        </w:r>
        <w:proofErr w:type="spellEnd"/>
        <w:r w:rsidRPr="004F4AEF">
          <w:rPr>
            <w:rStyle w:val="Hyperlink"/>
          </w:rPr>
          <w:t>://doi.org/10.1016/j.enpol.2017.09.029</w:t>
        </w:r>
        <w:proofErr w:type="gramEnd"/>
      </w:hyperlink>
      <w:r w:rsidRPr="004F4AEF">
        <w:t>.</w:t>
      </w:r>
    </w:p>
    <w:p w14:paraId="2AE9F2C0" w14:textId="0188923F" w:rsidR="00B047A0" w:rsidRDefault="00BF3DE5" w:rsidP="004A2EBD">
      <w:pPr>
        <w:pStyle w:val="Heading4"/>
        <w:numPr>
          <w:ilvl w:val="0"/>
          <w:numId w:val="6"/>
        </w:numPr>
      </w:pPr>
      <w:bookmarkStart w:id="34" w:name="_Office_for_National_1"/>
      <w:bookmarkEnd w:id="34"/>
      <w:r w:rsidRPr="00BF3DE5">
        <w:t>Office for National Statistics. (2024). </w:t>
      </w:r>
      <w:r w:rsidRPr="005F1A8B">
        <w:t>Average weekly earnings time series - Office for National Statistics</w:t>
      </w:r>
      <w:r w:rsidRPr="00BF3DE5">
        <w:t xml:space="preserve">. [online] Available at: </w:t>
      </w:r>
      <w:hyperlink r:id="rId24" w:history="1">
        <w:r w:rsidRPr="00BF3DE5">
          <w:rPr>
            <w:rStyle w:val="Hyperlink"/>
          </w:rPr>
          <w:t>https://www.ons.gov.uk/employmentandlabourmarket/peopleinwork/earningsandworkinghours/datasets/averageweeklyearnings</w:t>
        </w:r>
      </w:hyperlink>
      <w:r w:rsidRPr="00BF3DE5">
        <w:t>. (Accessed 12 Mar 2024)</w:t>
      </w:r>
    </w:p>
    <w:p w14:paraId="5C204240" w14:textId="11546FD5" w:rsidR="003A197A" w:rsidRDefault="003A197A" w:rsidP="004A2EBD">
      <w:pPr>
        <w:pStyle w:val="Heading4"/>
        <w:numPr>
          <w:ilvl w:val="0"/>
          <w:numId w:val="6"/>
        </w:numPr>
      </w:pPr>
      <w:bookmarkStart w:id="35" w:name="_Office_for_National"/>
      <w:bookmarkEnd w:id="35"/>
      <w:r>
        <w:t xml:space="preserve">Office for National Statistics (2024). Fuel and Energy for the Domestic Market - Office for National Statistics. [online] Available at: </w:t>
      </w:r>
      <w:hyperlink r:id="rId25" w:history="1">
        <w:r w:rsidRPr="003A197A">
          <w:rPr>
            <w:rStyle w:val="Hyperlink"/>
          </w:rPr>
          <w:t>https://www.ons.gov.uk/economy/inflationandpriceindices/timeseries/gb7p/ppi</w:t>
        </w:r>
      </w:hyperlink>
      <w:r>
        <w:t xml:space="preserve"> [Accessed 13 April 2024]. </w:t>
      </w:r>
    </w:p>
    <w:p w14:paraId="0490244F" w14:textId="77777777" w:rsidR="003A197A" w:rsidRDefault="003A197A" w:rsidP="004A2EBD">
      <w:pPr>
        <w:pStyle w:val="Heading4"/>
      </w:pPr>
    </w:p>
    <w:p w14:paraId="5C9A7D5F" w14:textId="77777777" w:rsidR="003A197A" w:rsidRDefault="003A197A" w:rsidP="004A2EBD">
      <w:pPr>
        <w:pStyle w:val="Heading4"/>
      </w:pPr>
    </w:p>
    <w:p w14:paraId="4020478D" w14:textId="573B6DC7" w:rsidR="00116032" w:rsidRDefault="003A197A" w:rsidP="004A2EBD">
      <w:pPr>
        <w:pStyle w:val="Heading4"/>
        <w:ind w:left="360"/>
      </w:pPr>
      <w:bookmarkStart w:id="36" w:name="_7-_Statista._(2024)."/>
      <w:bookmarkEnd w:id="36"/>
      <w:r>
        <w:t>‌</w:t>
      </w:r>
      <w:r w:rsidR="00116032" w:rsidRPr="00116032">
        <w:t xml:space="preserve"> </w:t>
      </w:r>
      <w:r w:rsidR="004A2EBD">
        <w:t xml:space="preserve">7- </w:t>
      </w:r>
      <w:r w:rsidR="00116032">
        <w:t xml:space="preserve">Statista. (2024). UK: quarterly average temperatures and deviation 2023. [online] Available at: </w:t>
      </w:r>
      <w:hyperlink r:id="rId26" w:history="1">
        <w:r w:rsidR="00116032" w:rsidRPr="00116032">
          <w:rPr>
            <w:rStyle w:val="Hyperlink"/>
          </w:rPr>
          <w:t>https://internal.statista.com/statistics/422848/quarterly-average-of-daily-temperatures-uk-compared-to-mean/</w:t>
        </w:r>
      </w:hyperlink>
      <w:r w:rsidR="00116032">
        <w:t xml:space="preserve"> [Accessed 13 April 2024].</w:t>
      </w:r>
    </w:p>
    <w:p w14:paraId="74097F8D" w14:textId="77777777" w:rsidR="00116032" w:rsidRDefault="00116032" w:rsidP="004A2EBD">
      <w:pPr>
        <w:pStyle w:val="Heading4"/>
      </w:pPr>
    </w:p>
    <w:p w14:paraId="3165D38D" w14:textId="77777777" w:rsidR="00116032" w:rsidRDefault="00116032" w:rsidP="004A2EBD">
      <w:pPr>
        <w:pStyle w:val="Heading4"/>
      </w:pPr>
    </w:p>
    <w:p w14:paraId="429F0F38" w14:textId="2A718E35" w:rsidR="00B047A0" w:rsidRPr="002A4D8F" w:rsidRDefault="00116032" w:rsidP="00116032">
      <w:r>
        <w:t>‌</w:t>
      </w:r>
    </w:p>
    <w:sectPr w:rsidR="00B047A0" w:rsidRPr="002A4D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54F97"/>
    <w:multiLevelType w:val="multilevel"/>
    <w:tmpl w:val="9EE89E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B1316B1"/>
    <w:multiLevelType w:val="hybridMultilevel"/>
    <w:tmpl w:val="3B9C2F98"/>
    <w:lvl w:ilvl="0" w:tplc="408CA6D8">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215FD2"/>
    <w:multiLevelType w:val="multilevel"/>
    <w:tmpl w:val="9EE89E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5EA38FF"/>
    <w:multiLevelType w:val="hybridMultilevel"/>
    <w:tmpl w:val="7DE0932A"/>
    <w:lvl w:ilvl="0" w:tplc="203AD0AE">
      <w:start w:val="1"/>
      <w:numFmt w:val="decimal"/>
      <w:lvlText w:val="%1."/>
      <w:lvlJc w:val="left"/>
      <w:pPr>
        <w:tabs>
          <w:tab w:val="num" w:pos="720"/>
        </w:tabs>
        <w:ind w:left="720" w:hanging="360"/>
      </w:pPr>
    </w:lvl>
    <w:lvl w:ilvl="1" w:tplc="1BCEFEF2" w:tentative="1">
      <w:start w:val="1"/>
      <w:numFmt w:val="decimal"/>
      <w:lvlText w:val="%2."/>
      <w:lvlJc w:val="left"/>
      <w:pPr>
        <w:tabs>
          <w:tab w:val="num" w:pos="1440"/>
        </w:tabs>
        <w:ind w:left="1440" w:hanging="360"/>
      </w:pPr>
    </w:lvl>
    <w:lvl w:ilvl="2" w:tplc="24728304" w:tentative="1">
      <w:start w:val="1"/>
      <w:numFmt w:val="decimal"/>
      <w:lvlText w:val="%3."/>
      <w:lvlJc w:val="left"/>
      <w:pPr>
        <w:tabs>
          <w:tab w:val="num" w:pos="2160"/>
        </w:tabs>
        <w:ind w:left="2160" w:hanging="360"/>
      </w:pPr>
    </w:lvl>
    <w:lvl w:ilvl="3" w:tplc="BE5EAF6E" w:tentative="1">
      <w:start w:val="1"/>
      <w:numFmt w:val="decimal"/>
      <w:lvlText w:val="%4."/>
      <w:lvlJc w:val="left"/>
      <w:pPr>
        <w:tabs>
          <w:tab w:val="num" w:pos="2880"/>
        </w:tabs>
        <w:ind w:left="2880" w:hanging="360"/>
      </w:pPr>
    </w:lvl>
    <w:lvl w:ilvl="4" w:tplc="B4A0002A" w:tentative="1">
      <w:start w:val="1"/>
      <w:numFmt w:val="decimal"/>
      <w:lvlText w:val="%5."/>
      <w:lvlJc w:val="left"/>
      <w:pPr>
        <w:tabs>
          <w:tab w:val="num" w:pos="3600"/>
        </w:tabs>
        <w:ind w:left="3600" w:hanging="360"/>
      </w:pPr>
    </w:lvl>
    <w:lvl w:ilvl="5" w:tplc="C24E9DDA" w:tentative="1">
      <w:start w:val="1"/>
      <w:numFmt w:val="decimal"/>
      <w:lvlText w:val="%6."/>
      <w:lvlJc w:val="left"/>
      <w:pPr>
        <w:tabs>
          <w:tab w:val="num" w:pos="4320"/>
        </w:tabs>
        <w:ind w:left="4320" w:hanging="360"/>
      </w:pPr>
    </w:lvl>
    <w:lvl w:ilvl="6" w:tplc="1CB806CC" w:tentative="1">
      <w:start w:val="1"/>
      <w:numFmt w:val="decimal"/>
      <w:lvlText w:val="%7."/>
      <w:lvlJc w:val="left"/>
      <w:pPr>
        <w:tabs>
          <w:tab w:val="num" w:pos="5040"/>
        </w:tabs>
        <w:ind w:left="5040" w:hanging="360"/>
      </w:pPr>
    </w:lvl>
    <w:lvl w:ilvl="7" w:tplc="0A58559A" w:tentative="1">
      <w:start w:val="1"/>
      <w:numFmt w:val="decimal"/>
      <w:lvlText w:val="%8."/>
      <w:lvlJc w:val="left"/>
      <w:pPr>
        <w:tabs>
          <w:tab w:val="num" w:pos="5760"/>
        </w:tabs>
        <w:ind w:left="5760" w:hanging="360"/>
      </w:pPr>
    </w:lvl>
    <w:lvl w:ilvl="8" w:tplc="46300D24" w:tentative="1">
      <w:start w:val="1"/>
      <w:numFmt w:val="decimal"/>
      <w:lvlText w:val="%9."/>
      <w:lvlJc w:val="left"/>
      <w:pPr>
        <w:tabs>
          <w:tab w:val="num" w:pos="6480"/>
        </w:tabs>
        <w:ind w:left="6480" w:hanging="360"/>
      </w:pPr>
    </w:lvl>
  </w:abstractNum>
  <w:abstractNum w:abstractNumId="4" w15:restartNumberingAfterBreak="0">
    <w:nsid w:val="591D6BA9"/>
    <w:multiLevelType w:val="multilevel"/>
    <w:tmpl w:val="9EE89E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1187834"/>
    <w:multiLevelType w:val="hybridMultilevel"/>
    <w:tmpl w:val="7A0A6B88"/>
    <w:lvl w:ilvl="0" w:tplc="C2E45054">
      <w:start w:val="1"/>
      <w:numFmt w:val="decimal"/>
      <w:lvlText w:val="%1."/>
      <w:lvlJc w:val="left"/>
      <w:pPr>
        <w:tabs>
          <w:tab w:val="num" w:pos="720"/>
        </w:tabs>
        <w:ind w:left="720" w:hanging="360"/>
      </w:pPr>
    </w:lvl>
    <w:lvl w:ilvl="1" w:tplc="2C74BD4C" w:tentative="1">
      <w:start w:val="1"/>
      <w:numFmt w:val="decimal"/>
      <w:lvlText w:val="%2."/>
      <w:lvlJc w:val="left"/>
      <w:pPr>
        <w:tabs>
          <w:tab w:val="num" w:pos="1440"/>
        </w:tabs>
        <w:ind w:left="1440" w:hanging="360"/>
      </w:pPr>
    </w:lvl>
    <w:lvl w:ilvl="2" w:tplc="BED6D16A" w:tentative="1">
      <w:start w:val="1"/>
      <w:numFmt w:val="decimal"/>
      <w:lvlText w:val="%3."/>
      <w:lvlJc w:val="left"/>
      <w:pPr>
        <w:tabs>
          <w:tab w:val="num" w:pos="2160"/>
        </w:tabs>
        <w:ind w:left="2160" w:hanging="360"/>
      </w:pPr>
    </w:lvl>
    <w:lvl w:ilvl="3" w:tplc="854C37AE" w:tentative="1">
      <w:start w:val="1"/>
      <w:numFmt w:val="decimal"/>
      <w:lvlText w:val="%4."/>
      <w:lvlJc w:val="left"/>
      <w:pPr>
        <w:tabs>
          <w:tab w:val="num" w:pos="2880"/>
        </w:tabs>
        <w:ind w:left="2880" w:hanging="360"/>
      </w:pPr>
    </w:lvl>
    <w:lvl w:ilvl="4" w:tplc="717E522E" w:tentative="1">
      <w:start w:val="1"/>
      <w:numFmt w:val="decimal"/>
      <w:lvlText w:val="%5."/>
      <w:lvlJc w:val="left"/>
      <w:pPr>
        <w:tabs>
          <w:tab w:val="num" w:pos="3600"/>
        </w:tabs>
        <w:ind w:left="3600" w:hanging="360"/>
      </w:pPr>
    </w:lvl>
    <w:lvl w:ilvl="5" w:tplc="479A4296" w:tentative="1">
      <w:start w:val="1"/>
      <w:numFmt w:val="decimal"/>
      <w:lvlText w:val="%6."/>
      <w:lvlJc w:val="left"/>
      <w:pPr>
        <w:tabs>
          <w:tab w:val="num" w:pos="4320"/>
        </w:tabs>
        <w:ind w:left="4320" w:hanging="360"/>
      </w:pPr>
    </w:lvl>
    <w:lvl w:ilvl="6" w:tplc="0AB067F2" w:tentative="1">
      <w:start w:val="1"/>
      <w:numFmt w:val="decimal"/>
      <w:lvlText w:val="%7."/>
      <w:lvlJc w:val="left"/>
      <w:pPr>
        <w:tabs>
          <w:tab w:val="num" w:pos="5040"/>
        </w:tabs>
        <w:ind w:left="5040" w:hanging="360"/>
      </w:pPr>
    </w:lvl>
    <w:lvl w:ilvl="7" w:tplc="0510AD3E" w:tentative="1">
      <w:start w:val="1"/>
      <w:numFmt w:val="decimal"/>
      <w:lvlText w:val="%8."/>
      <w:lvlJc w:val="left"/>
      <w:pPr>
        <w:tabs>
          <w:tab w:val="num" w:pos="5760"/>
        </w:tabs>
        <w:ind w:left="5760" w:hanging="360"/>
      </w:pPr>
    </w:lvl>
    <w:lvl w:ilvl="8" w:tplc="CD4C9276" w:tentative="1">
      <w:start w:val="1"/>
      <w:numFmt w:val="decimal"/>
      <w:lvlText w:val="%9."/>
      <w:lvlJc w:val="left"/>
      <w:pPr>
        <w:tabs>
          <w:tab w:val="num" w:pos="6480"/>
        </w:tabs>
        <w:ind w:left="6480" w:hanging="360"/>
      </w:pPr>
    </w:lvl>
  </w:abstractNum>
  <w:abstractNum w:abstractNumId="6" w15:restartNumberingAfterBreak="0">
    <w:nsid w:val="7C604E73"/>
    <w:multiLevelType w:val="hybridMultilevel"/>
    <w:tmpl w:val="B024C54E"/>
    <w:lvl w:ilvl="0" w:tplc="ED5A2654">
      <w:start w:val="1"/>
      <w:numFmt w:val="decimal"/>
      <w:lvlText w:val="%1."/>
      <w:lvlJc w:val="left"/>
      <w:pPr>
        <w:tabs>
          <w:tab w:val="num" w:pos="720"/>
        </w:tabs>
        <w:ind w:left="720" w:hanging="360"/>
      </w:pPr>
    </w:lvl>
    <w:lvl w:ilvl="1" w:tplc="DE0AD958" w:tentative="1">
      <w:start w:val="1"/>
      <w:numFmt w:val="decimal"/>
      <w:lvlText w:val="%2."/>
      <w:lvlJc w:val="left"/>
      <w:pPr>
        <w:tabs>
          <w:tab w:val="num" w:pos="1440"/>
        </w:tabs>
        <w:ind w:left="1440" w:hanging="360"/>
      </w:pPr>
    </w:lvl>
    <w:lvl w:ilvl="2" w:tplc="83C45686" w:tentative="1">
      <w:start w:val="1"/>
      <w:numFmt w:val="decimal"/>
      <w:lvlText w:val="%3."/>
      <w:lvlJc w:val="left"/>
      <w:pPr>
        <w:tabs>
          <w:tab w:val="num" w:pos="2160"/>
        </w:tabs>
        <w:ind w:left="2160" w:hanging="360"/>
      </w:pPr>
    </w:lvl>
    <w:lvl w:ilvl="3" w:tplc="EABCE17C" w:tentative="1">
      <w:start w:val="1"/>
      <w:numFmt w:val="decimal"/>
      <w:lvlText w:val="%4."/>
      <w:lvlJc w:val="left"/>
      <w:pPr>
        <w:tabs>
          <w:tab w:val="num" w:pos="2880"/>
        </w:tabs>
        <w:ind w:left="2880" w:hanging="360"/>
      </w:pPr>
    </w:lvl>
    <w:lvl w:ilvl="4" w:tplc="F3220C02" w:tentative="1">
      <w:start w:val="1"/>
      <w:numFmt w:val="decimal"/>
      <w:lvlText w:val="%5."/>
      <w:lvlJc w:val="left"/>
      <w:pPr>
        <w:tabs>
          <w:tab w:val="num" w:pos="3600"/>
        </w:tabs>
        <w:ind w:left="3600" w:hanging="360"/>
      </w:pPr>
    </w:lvl>
    <w:lvl w:ilvl="5" w:tplc="252089F4" w:tentative="1">
      <w:start w:val="1"/>
      <w:numFmt w:val="decimal"/>
      <w:lvlText w:val="%6."/>
      <w:lvlJc w:val="left"/>
      <w:pPr>
        <w:tabs>
          <w:tab w:val="num" w:pos="4320"/>
        </w:tabs>
        <w:ind w:left="4320" w:hanging="360"/>
      </w:pPr>
    </w:lvl>
    <w:lvl w:ilvl="6" w:tplc="F21CB612" w:tentative="1">
      <w:start w:val="1"/>
      <w:numFmt w:val="decimal"/>
      <w:lvlText w:val="%7."/>
      <w:lvlJc w:val="left"/>
      <w:pPr>
        <w:tabs>
          <w:tab w:val="num" w:pos="5040"/>
        </w:tabs>
        <w:ind w:left="5040" w:hanging="360"/>
      </w:pPr>
    </w:lvl>
    <w:lvl w:ilvl="7" w:tplc="5EF430D6" w:tentative="1">
      <w:start w:val="1"/>
      <w:numFmt w:val="decimal"/>
      <w:lvlText w:val="%8."/>
      <w:lvlJc w:val="left"/>
      <w:pPr>
        <w:tabs>
          <w:tab w:val="num" w:pos="5760"/>
        </w:tabs>
        <w:ind w:left="5760" w:hanging="360"/>
      </w:pPr>
    </w:lvl>
    <w:lvl w:ilvl="8" w:tplc="D8D2AA66" w:tentative="1">
      <w:start w:val="1"/>
      <w:numFmt w:val="decimal"/>
      <w:lvlText w:val="%9."/>
      <w:lvlJc w:val="left"/>
      <w:pPr>
        <w:tabs>
          <w:tab w:val="num" w:pos="6480"/>
        </w:tabs>
        <w:ind w:left="6480" w:hanging="360"/>
      </w:pPr>
    </w:lvl>
  </w:abstractNum>
  <w:num w:numId="1" w16cid:durableId="1628270812">
    <w:abstractNumId w:val="4"/>
  </w:num>
  <w:num w:numId="2" w16cid:durableId="1168865609">
    <w:abstractNumId w:val="6"/>
  </w:num>
  <w:num w:numId="3" w16cid:durableId="415247509">
    <w:abstractNumId w:val="5"/>
  </w:num>
  <w:num w:numId="4" w16cid:durableId="1334603973">
    <w:abstractNumId w:val="0"/>
  </w:num>
  <w:num w:numId="5" w16cid:durableId="2066563904">
    <w:abstractNumId w:val="2"/>
  </w:num>
  <w:num w:numId="6" w16cid:durableId="829445372">
    <w:abstractNumId w:val="1"/>
  </w:num>
  <w:num w:numId="7" w16cid:durableId="9502111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923"/>
    <w:rsid w:val="00002076"/>
    <w:rsid w:val="0001369D"/>
    <w:rsid w:val="00016FEA"/>
    <w:rsid w:val="000200C7"/>
    <w:rsid w:val="000201BF"/>
    <w:rsid w:val="00020BB6"/>
    <w:rsid w:val="00020C7A"/>
    <w:rsid w:val="00036A18"/>
    <w:rsid w:val="00041177"/>
    <w:rsid w:val="00043493"/>
    <w:rsid w:val="000448CB"/>
    <w:rsid w:val="000563F8"/>
    <w:rsid w:val="00060F86"/>
    <w:rsid w:val="00061ADE"/>
    <w:rsid w:val="00067DB0"/>
    <w:rsid w:val="00075894"/>
    <w:rsid w:val="00095A88"/>
    <w:rsid w:val="000961FF"/>
    <w:rsid w:val="000968F2"/>
    <w:rsid w:val="000A239E"/>
    <w:rsid w:val="000B1319"/>
    <w:rsid w:val="000B5A82"/>
    <w:rsid w:val="000C069E"/>
    <w:rsid w:val="000C5817"/>
    <w:rsid w:val="000C69B5"/>
    <w:rsid w:val="000D4880"/>
    <w:rsid w:val="000E72E5"/>
    <w:rsid w:val="00110DB6"/>
    <w:rsid w:val="00116032"/>
    <w:rsid w:val="00125AB5"/>
    <w:rsid w:val="00127FB9"/>
    <w:rsid w:val="00142B2B"/>
    <w:rsid w:val="00152D0B"/>
    <w:rsid w:val="00157B82"/>
    <w:rsid w:val="0016426D"/>
    <w:rsid w:val="001902E9"/>
    <w:rsid w:val="00191210"/>
    <w:rsid w:val="001A12C4"/>
    <w:rsid w:val="001A2ADF"/>
    <w:rsid w:val="001A32D0"/>
    <w:rsid w:val="001C22CF"/>
    <w:rsid w:val="001F6C4C"/>
    <w:rsid w:val="001F6E20"/>
    <w:rsid w:val="00206A7D"/>
    <w:rsid w:val="00230434"/>
    <w:rsid w:val="00231005"/>
    <w:rsid w:val="002355BD"/>
    <w:rsid w:val="00241A99"/>
    <w:rsid w:val="00244969"/>
    <w:rsid w:val="0024525A"/>
    <w:rsid w:val="00256C22"/>
    <w:rsid w:val="002636F3"/>
    <w:rsid w:val="00272A5A"/>
    <w:rsid w:val="002A4D8F"/>
    <w:rsid w:val="002A5263"/>
    <w:rsid w:val="002C060F"/>
    <w:rsid w:val="002C4B0F"/>
    <w:rsid w:val="002C4C94"/>
    <w:rsid w:val="002C4DA8"/>
    <w:rsid w:val="002D5B76"/>
    <w:rsid w:val="002E5037"/>
    <w:rsid w:val="002F1DBC"/>
    <w:rsid w:val="002F26D4"/>
    <w:rsid w:val="002F3CBB"/>
    <w:rsid w:val="002F4DA8"/>
    <w:rsid w:val="00314549"/>
    <w:rsid w:val="0031687D"/>
    <w:rsid w:val="00322279"/>
    <w:rsid w:val="00334E7D"/>
    <w:rsid w:val="00336D44"/>
    <w:rsid w:val="003414FA"/>
    <w:rsid w:val="003449C8"/>
    <w:rsid w:val="0034589F"/>
    <w:rsid w:val="003474FC"/>
    <w:rsid w:val="00356415"/>
    <w:rsid w:val="003678E3"/>
    <w:rsid w:val="00367A3B"/>
    <w:rsid w:val="0038276D"/>
    <w:rsid w:val="0038564A"/>
    <w:rsid w:val="003A197A"/>
    <w:rsid w:val="003A578A"/>
    <w:rsid w:val="003A6B40"/>
    <w:rsid w:val="003C0437"/>
    <w:rsid w:val="003C2962"/>
    <w:rsid w:val="003D2EE9"/>
    <w:rsid w:val="003D441B"/>
    <w:rsid w:val="003D740D"/>
    <w:rsid w:val="003E2EFC"/>
    <w:rsid w:val="003E6B2F"/>
    <w:rsid w:val="003E70E5"/>
    <w:rsid w:val="004008CC"/>
    <w:rsid w:val="0041776F"/>
    <w:rsid w:val="00421268"/>
    <w:rsid w:val="00424D09"/>
    <w:rsid w:val="004312A1"/>
    <w:rsid w:val="004417B6"/>
    <w:rsid w:val="00442FE1"/>
    <w:rsid w:val="00445C8F"/>
    <w:rsid w:val="00464291"/>
    <w:rsid w:val="00471CE7"/>
    <w:rsid w:val="00473D12"/>
    <w:rsid w:val="00475832"/>
    <w:rsid w:val="00475D62"/>
    <w:rsid w:val="00481BA2"/>
    <w:rsid w:val="00481FF4"/>
    <w:rsid w:val="00490671"/>
    <w:rsid w:val="004949F5"/>
    <w:rsid w:val="004A2EBD"/>
    <w:rsid w:val="004D0E86"/>
    <w:rsid w:val="004E22F8"/>
    <w:rsid w:val="004F2524"/>
    <w:rsid w:val="004F3966"/>
    <w:rsid w:val="004F4AEF"/>
    <w:rsid w:val="0050124C"/>
    <w:rsid w:val="005068D0"/>
    <w:rsid w:val="005217E4"/>
    <w:rsid w:val="00523C8E"/>
    <w:rsid w:val="00531106"/>
    <w:rsid w:val="00531215"/>
    <w:rsid w:val="005323E8"/>
    <w:rsid w:val="005346A1"/>
    <w:rsid w:val="00535960"/>
    <w:rsid w:val="00535F9D"/>
    <w:rsid w:val="00540796"/>
    <w:rsid w:val="00563186"/>
    <w:rsid w:val="00564824"/>
    <w:rsid w:val="00571E32"/>
    <w:rsid w:val="0058218B"/>
    <w:rsid w:val="00597D87"/>
    <w:rsid w:val="005B4765"/>
    <w:rsid w:val="005B674B"/>
    <w:rsid w:val="005C0513"/>
    <w:rsid w:val="005D4EE2"/>
    <w:rsid w:val="005D7DEA"/>
    <w:rsid w:val="005F01AC"/>
    <w:rsid w:val="005F1A8B"/>
    <w:rsid w:val="005F2DB6"/>
    <w:rsid w:val="005F4AE9"/>
    <w:rsid w:val="00606595"/>
    <w:rsid w:val="006133B5"/>
    <w:rsid w:val="00621301"/>
    <w:rsid w:val="0062470C"/>
    <w:rsid w:val="006311FC"/>
    <w:rsid w:val="0063477C"/>
    <w:rsid w:val="00646218"/>
    <w:rsid w:val="00646ED8"/>
    <w:rsid w:val="00651DDF"/>
    <w:rsid w:val="006624CC"/>
    <w:rsid w:val="00670328"/>
    <w:rsid w:val="00674268"/>
    <w:rsid w:val="0068128B"/>
    <w:rsid w:val="00684281"/>
    <w:rsid w:val="006844ED"/>
    <w:rsid w:val="00686962"/>
    <w:rsid w:val="0069610D"/>
    <w:rsid w:val="00697DDC"/>
    <w:rsid w:val="006B2767"/>
    <w:rsid w:val="006C11A6"/>
    <w:rsid w:val="006C70B5"/>
    <w:rsid w:val="006C7FB9"/>
    <w:rsid w:val="006F2872"/>
    <w:rsid w:val="007013C3"/>
    <w:rsid w:val="00713610"/>
    <w:rsid w:val="00713798"/>
    <w:rsid w:val="007210FE"/>
    <w:rsid w:val="00723041"/>
    <w:rsid w:val="00735CC4"/>
    <w:rsid w:val="00737DF9"/>
    <w:rsid w:val="00737F5E"/>
    <w:rsid w:val="0074325C"/>
    <w:rsid w:val="00751918"/>
    <w:rsid w:val="00752D5F"/>
    <w:rsid w:val="00754C87"/>
    <w:rsid w:val="00767C94"/>
    <w:rsid w:val="0077006B"/>
    <w:rsid w:val="0077008B"/>
    <w:rsid w:val="007755FC"/>
    <w:rsid w:val="00780D87"/>
    <w:rsid w:val="0078649A"/>
    <w:rsid w:val="007956CE"/>
    <w:rsid w:val="00795F0A"/>
    <w:rsid w:val="0079657A"/>
    <w:rsid w:val="00796F40"/>
    <w:rsid w:val="007A338A"/>
    <w:rsid w:val="007A424B"/>
    <w:rsid w:val="007A58BB"/>
    <w:rsid w:val="007B6CCF"/>
    <w:rsid w:val="007C01B6"/>
    <w:rsid w:val="007D4A64"/>
    <w:rsid w:val="00800D4B"/>
    <w:rsid w:val="008018AC"/>
    <w:rsid w:val="008032DA"/>
    <w:rsid w:val="00804CD9"/>
    <w:rsid w:val="00810F70"/>
    <w:rsid w:val="00822868"/>
    <w:rsid w:val="0083456F"/>
    <w:rsid w:val="00845882"/>
    <w:rsid w:val="00865748"/>
    <w:rsid w:val="00873CCA"/>
    <w:rsid w:val="00887037"/>
    <w:rsid w:val="0089286E"/>
    <w:rsid w:val="008A015A"/>
    <w:rsid w:val="008B17CB"/>
    <w:rsid w:val="008C584F"/>
    <w:rsid w:val="008D04D6"/>
    <w:rsid w:val="008D184D"/>
    <w:rsid w:val="008D6DAC"/>
    <w:rsid w:val="008E77DD"/>
    <w:rsid w:val="008F0009"/>
    <w:rsid w:val="008F0BD5"/>
    <w:rsid w:val="0090064F"/>
    <w:rsid w:val="0090777C"/>
    <w:rsid w:val="0091325A"/>
    <w:rsid w:val="009209F7"/>
    <w:rsid w:val="00942222"/>
    <w:rsid w:val="009438FE"/>
    <w:rsid w:val="0094782A"/>
    <w:rsid w:val="00964615"/>
    <w:rsid w:val="009649F0"/>
    <w:rsid w:val="0097328C"/>
    <w:rsid w:val="00984A05"/>
    <w:rsid w:val="009876E8"/>
    <w:rsid w:val="009930CA"/>
    <w:rsid w:val="009975A7"/>
    <w:rsid w:val="009A5007"/>
    <w:rsid w:val="009C6813"/>
    <w:rsid w:val="009C7467"/>
    <w:rsid w:val="009D7A1B"/>
    <w:rsid w:val="009E0609"/>
    <w:rsid w:val="009E5EA4"/>
    <w:rsid w:val="009E5F18"/>
    <w:rsid w:val="009E7D5B"/>
    <w:rsid w:val="009F3E10"/>
    <w:rsid w:val="00A00FE0"/>
    <w:rsid w:val="00A1159B"/>
    <w:rsid w:val="00A13130"/>
    <w:rsid w:val="00A201CA"/>
    <w:rsid w:val="00A216F3"/>
    <w:rsid w:val="00A328D8"/>
    <w:rsid w:val="00A4169F"/>
    <w:rsid w:val="00A52EDC"/>
    <w:rsid w:val="00A5721C"/>
    <w:rsid w:val="00A661E5"/>
    <w:rsid w:val="00A679C8"/>
    <w:rsid w:val="00A767E0"/>
    <w:rsid w:val="00A7766F"/>
    <w:rsid w:val="00A821C2"/>
    <w:rsid w:val="00A835F2"/>
    <w:rsid w:val="00A8527F"/>
    <w:rsid w:val="00AB23D2"/>
    <w:rsid w:val="00AB4950"/>
    <w:rsid w:val="00AB4D51"/>
    <w:rsid w:val="00AB5A6F"/>
    <w:rsid w:val="00AC6FFA"/>
    <w:rsid w:val="00AD28E5"/>
    <w:rsid w:val="00AF4747"/>
    <w:rsid w:val="00AF7414"/>
    <w:rsid w:val="00B047A0"/>
    <w:rsid w:val="00B06B76"/>
    <w:rsid w:val="00B10170"/>
    <w:rsid w:val="00B145A3"/>
    <w:rsid w:val="00B172F0"/>
    <w:rsid w:val="00B2566E"/>
    <w:rsid w:val="00B36A63"/>
    <w:rsid w:val="00B40FCA"/>
    <w:rsid w:val="00B47FD5"/>
    <w:rsid w:val="00B51934"/>
    <w:rsid w:val="00B57DCF"/>
    <w:rsid w:val="00B605AE"/>
    <w:rsid w:val="00B65A24"/>
    <w:rsid w:val="00B70C77"/>
    <w:rsid w:val="00B72663"/>
    <w:rsid w:val="00B72D74"/>
    <w:rsid w:val="00B75B01"/>
    <w:rsid w:val="00B80CBC"/>
    <w:rsid w:val="00B87DFE"/>
    <w:rsid w:val="00B92AE8"/>
    <w:rsid w:val="00B96EEC"/>
    <w:rsid w:val="00B97AEC"/>
    <w:rsid w:val="00BA0B48"/>
    <w:rsid w:val="00BA2AB2"/>
    <w:rsid w:val="00BC5B1D"/>
    <w:rsid w:val="00BC6512"/>
    <w:rsid w:val="00BD5F04"/>
    <w:rsid w:val="00BD675D"/>
    <w:rsid w:val="00BE06E8"/>
    <w:rsid w:val="00BE19AB"/>
    <w:rsid w:val="00BE70C6"/>
    <w:rsid w:val="00BF160B"/>
    <w:rsid w:val="00BF1CF4"/>
    <w:rsid w:val="00BF3DE5"/>
    <w:rsid w:val="00C01074"/>
    <w:rsid w:val="00C01FE4"/>
    <w:rsid w:val="00C02472"/>
    <w:rsid w:val="00C104B7"/>
    <w:rsid w:val="00C27D89"/>
    <w:rsid w:val="00C429A2"/>
    <w:rsid w:val="00C52AD0"/>
    <w:rsid w:val="00C64C18"/>
    <w:rsid w:val="00C738E3"/>
    <w:rsid w:val="00C82357"/>
    <w:rsid w:val="00C82E63"/>
    <w:rsid w:val="00C9544B"/>
    <w:rsid w:val="00CA2E88"/>
    <w:rsid w:val="00CA3732"/>
    <w:rsid w:val="00CB40D0"/>
    <w:rsid w:val="00CB4890"/>
    <w:rsid w:val="00CB728D"/>
    <w:rsid w:val="00CC1E7C"/>
    <w:rsid w:val="00CD05E8"/>
    <w:rsid w:val="00CD7966"/>
    <w:rsid w:val="00CE2AAA"/>
    <w:rsid w:val="00CE5B04"/>
    <w:rsid w:val="00CF1AD8"/>
    <w:rsid w:val="00CF4455"/>
    <w:rsid w:val="00D02043"/>
    <w:rsid w:val="00D07257"/>
    <w:rsid w:val="00D119DC"/>
    <w:rsid w:val="00D15C70"/>
    <w:rsid w:val="00D17351"/>
    <w:rsid w:val="00D220B4"/>
    <w:rsid w:val="00D245DE"/>
    <w:rsid w:val="00D32043"/>
    <w:rsid w:val="00D36859"/>
    <w:rsid w:val="00D46015"/>
    <w:rsid w:val="00D57719"/>
    <w:rsid w:val="00D67779"/>
    <w:rsid w:val="00D76C96"/>
    <w:rsid w:val="00D972C5"/>
    <w:rsid w:val="00DB1617"/>
    <w:rsid w:val="00DB235B"/>
    <w:rsid w:val="00DD058B"/>
    <w:rsid w:val="00DD209B"/>
    <w:rsid w:val="00DD4778"/>
    <w:rsid w:val="00DD6632"/>
    <w:rsid w:val="00DE285D"/>
    <w:rsid w:val="00DF1AE1"/>
    <w:rsid w:val="00E03D7E"/>
    <w:rsid w:val="00E04D6F"/>
    <w:rsid w:val="00E05D1F"/>
    <w:rsid w:val="00E07CBD"/>
    <w:rsid w:val="00E10863"/>
    <w:rsid w:val="00E12F51"/>
    <w:rsid w:val="00E221C0"/>
    <w:rsid w:val="00E237D1"/>
    <w:rsid w:val="00E304ED"/>
    <w:rsid w:val="00E3081F"/>
    <w:rsid w:val="00E31527"/>
    <w:rsid w:val="00E3159E"/>
    <w:rsid w:val="00E37D71"/>
    <w:rsid w:val="00E56CA3"/>
    <w:rsid w:val="00E576F3"/>
    <w:rsid w:val="00E730F6"/>
    <w:rsid w:val="00E8357F"/>
    <w:rsid w:val="00E847CA"/>
    <w:rsid w:val="00EA3C79"/>
    <w:rsid w:val="00EC3BC7"/>
    <w:rsid w:val="00EC4128"/>
    <w:rsid w:val="00ED3910"/>
    <w:rsid w:val="00ED5AA1"/>
    <w:rsid w:val="00ED7D79"/>
    <w:rsid w:val="00EF138C"/>
    <w:rsid w:val="00EF501E"/>
    <w:rsid w:val="00F008F7"/>
    <w:rsid w:val="00F03F02"/>
    <w:rsid w:val="00F06923"/>
    <w:rsid w:val="00F10A2B"/>
    <w:rsid w:val="00F17B9E"/>
    <w:rsid w:val="00F214DE"/>
    <w:rsid w:val="00F26537"/>
    <w:rsid w:val="00F27823"/>
    <w:rsid w:val="00F479B0"/>
    <w:rsid w:val="00F50384"/>
    <w:rsid w:val="00F61004"/>
    <w:rsid w:val="00F616C2"/>
    <w:rsid w:val="00F617B7"/>
    <w:rsid w:val="00F63B3A"/>
    <w:rsid w:val="00F75961"/>
    <w:rsid w:val="00F81208"/>
    <w:rsid w:val="00F83D93"/>
    <w:rsid w:val="00F90133"/>
    <w:rsid w:val="00F90236"/>
    <w:rsid w:val="00F97B4D"/>
    <w:rsid w:val="00FA1688"/>
    <w:rsid w:val="00FA45EF"/>
    <w:rsid w:val="00FB16EC"/>
    <w:rsid w:val="00FB3EF8"/>
    <w:rsid w:val="00FC448E"/>
    <w:rsid w:val="00FD03DE"/>
    <w:rsid w:val="00FE6D42"/>
    <w:rsid w:val="00FE7310"/>
    <w:rsid w:val="00FE7849"/>
    <w:rsid w:val="00FF71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68AA6"/>
  <w15:chartTrackingRefBased/>
  <w15:docId w15:val="{C838EDE7-225D-41E2-B77D-0E1F5169D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9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4C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1C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A2EB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B476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69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92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0692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06923"/>
    <w:pPr>
      <w:outlineLvl w:val="9"/>
    </w:pPr>
    <w:rPr>
      <w:kern w:val="0"/>
      <w:lang w:val="en-US"/>
      <w14:ligatures w14:val="none"/>
    </w:rPr>
  </w:style>
  <w:style w:type="paragraph" w:styleId="TOC1">
    <w:name w:val="toc 1"/>
    <w:basedOn w:val="Normal"/>
    <w:next w:val="Normal"/>
    <w:autoRedefine/>
    <w:uiPriority w:val="39"/>
    <w:unhideWhenUsed/>
    <w:rsid w:val="00F06923"/>
    <w:pPr>
      <w:spacing w:after="100"/>
    </w:pPr>
  </w:style>
  <w:style w:type="character" w:styleId="Hyperlink">
    <w:name w:val="Hyperlink"/>
    <w:basedOn w:val="DefaultParagraphFont"/>
    <w:uiPriority w:val="99"/>
    <w:unhideWhenUsed/>
    <w:rsid w:val="00F06923"/>
    <w:rPr>
      <w:color w:val="0563C1" w:themeColor="hyperlink"/>
      <w:u w:val="single"/>
    </w:rPr>
  </w:style>
  <w:style w:type="character" w:customStyle="1" w:styleId="Heading2Char">
    <w:name w:val="Heading 2 Char"/>
    <w:basedOn w:val="DefaultParagraphFont"/>
    <w:link w:val="Heading2"/>
    <w:uiPriority w:val="9"/>
    <w:rsid w:val="00754C8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54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41A99"/>
    <w:rPr>
      <w:color w:val="605E5C"/>
      <w:shd w:val="clear" w:color="auto" w:fill="E1DFDD"/>
    </w:rPr>
  </w:style>
  <w:style w:type="paragraph" w:styleId="TOC2">
    <w:name w:val="toc 2"/>
    <w:basedOn w:val="Normal"/>
    <w:next w:val="Normal"/>
    <w:autoRedefine/>
    <w:uiPriority w:val="39"/>
    <w:unhideWhenUsed/>
    <w:rsid w:val="009D7A1B"/>
    <w:pPr>
      <w:spacing w:after="100"/>
      <w:ind w:left="220"/>
    </w:pPr>
  </w:style>
  <w:style w:type="character" w:customStyle="1" w:styleId="Heading3Char">
    <w:name w:val="Heading 3 Char"/>
    <w:basedOn w:val="DefaultParagraphFont"/>
    <w:link w:val="Heading3"/>
    <w:uiPriority w:val="9"/>
    <w:rsid w:val="00471CE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F1A8B"/>
    <w:pPr>
      <w:ind w:left="720"/>
      <w:contextualSpacing/>
    </w:pPr>
  </w:style>
  <w:style w:type="character" w:customStyle="1" w:styleId="Heading4Char">
    <w:name w:val="Heading 4 Char"/>
    <w:basedOn w:val="DefaultParagraphFont"/>
    <w:link w:val="Heading4"/>
    <w:uiPriority w:val="9"/>
    <w:rsid w:val="004A2EBD"/>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F75961"/>
    <w:rPr>
      <w:color w:val="954F72" w:themeColor="followedHyperlink"/>
      <w:u w:val="single"/>
    </w:rPr>
  </w:style>
  <w:style w:type="character" w:customStyle="1" w:styleId="Heading5Char">
    <w:name w:val="Heading 5 Char"/>
    <w:basedOn w:val="DefaultParagraphFont"/>
    <w:link w:val="Heading5"/>
    <w:uiPriority w:val="9"/>
    <w:rsid w:val="005B4765"/>
    <w:rPr>
      <w:rFonts w:asciiTheme="majorHAnsi" w:eastAsiaTheme="majorEastAsia" w:hAnsiTheme="majorHAnsi" w:cstheme="majorBidi"/>
      <w:color w:val="2F5496" w:themeColor="accent1" w:themeShade="BF"/>
    </w:rPr>
  </w:style>
  <w:style w:type="character" w:styleId="PlaceholderText">
    <w:name w:val="Placeholder Text"/>
    <w:basedOn w:val="DefaultParagraphFont"/>
    <w:uiPriority w:val="99"/>
    <w:semiHidden/>
    <w:rsid w:val="007013C3"/>
    <w:rPr>
      <w:color w:val="666666"/>
    </w:rPr>
  </w:style>
  <w:style w:type="paragraph" w:styleId="TOC3">
    <w:name w:val="toc 3"/>
    <w:basedOn w:val="Normal"/>
    <w:next w:val="Normal"/>
    <w:autoRedefine/>
    <w:uiPriority w:val="39"/>
    <w:unhideWhenUsed/>
    <w:rsid w:val="00F17B9E"/>
    <w:pPr>
      <w:spacing w:after="100"/>
      <w:ind w:left="440"/>
    </w:pPr>
  </w:style>
  <w:style w:type="paragraph" w:styleId="NormalWeb">
    <w:name w:val="Normal (Web)"/>
    <w:basedOn w:val="Normal"/>
    <w:uiPriority w:val="99"/>
    <w:unhideWhenUsed/>
    <w:rsid w:val="00F5038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691952">
      <w:bodyDiv w:val="1"/>
      <w:marLeft w:val="0"/>
      <w:marRight w:val="0"/>
      <w:marTop w:val="0"/>
      <w:marBottom w:val="0"/>
      <w:divBdr>
        <w:top w:val="none" w:sz="0" w:space="0" w:color="auto"/>
        <w:left w:val="none" w:sz="0" w:space="0" w:color="auto"/>
        <w:bottom w:val="none" w:sz="0" w:space="0" w:color="auto"/>
        <w:right w:val="none" w:sz="0" w:space="0" w:color="auto"/>
      </w:divBdr>
    </w:div>
    <w:div w:id="332025635">
      <w:bodyDiv w:val="1"/>
      <w:marLeft w:val="0"/>
      <w:marRight w:val="0"/>
      <w:marTop w:val="0"/>
      <w:marBottom w:val="0"/>
      <w:divBdr>
        <w:top w:val="none" w:sz="0" w:space="0" w:color="auto"/>
        <w:left w:val="none" w:sz="0" w:space="0" w:color="auto"/>
        <w:bottom w:val="none" w:sz="0" w:space="0" w:color="auto"/>
        <w:right w:val="none" w:sz="0" w:space="0" w:color="auto"/>
      </w:divBdr>
      <w:divsChild>
        <w:div w:id="280497267">
          <w:marLeft w:val="1440"/>
          <w:marRight w:val="0"/>
          <w:marTop w:val="200"/>
          <w:marBottom w:val="0"/>
          <w:divBdr>
            <w:top w:val="none" w:sz="0" w:space="0" w:color="auto"/>
            <w:left w:val="none" w:sz="0" w:space="0" w:color="auto"/>
            <w:bottom w:val="none" w:sz="0" w:space="0" w:color="auto"/>
            <w:right w:val="none" w:sz="0" w:space="0" w:color="auto"/>
          </w:divBdr>
        </w:div>
      </w:divsChild>
    </w:div>
    <w:div w:id="411390210">
      <w:bodyDiv w:val="1"/>
      <w:marLeft w:val="0"/>
      <w:marRight w:val="0"/>
      <w:marTop w:val="0"/>
      <w:marBottom w:val="0"/>
      <w:divBdr>
        <w:top w:val="none" w:sz="0" w:space="0" w:color="auto"/>
        <w:left w:val="none" w:sz="0" w:space="0" w:color="auto"/>
        <w:bottom w:val="none" w:sz="0" w:space="0" w:color="auto"/>
        <w:right w:val="none" w:sz="0" w:space="0" w:color="auto"/>
      </w:divBdr>
    </w:div>
    <w:div w:id="716317587">
      <w:bodyDiv w:val="1"/>
      <w:marLeft w:val="0"/>
      <w:marRight w:val="0"/>
      <w:marTop w:val="0"/>
      <w:marBottom w:val="0"/>
      <w:divBdr>
        <w:top w:val="none" w:sz="0" w:space="0" w:color="auto"/>
        <w:left w:val="none" w:sz="0" w:space="0" w:color="auto"/>
        <w:bottom w:val="none" w:sz="0" w:space="0" w:color="auto"/>
        <w:right w:val="none" w:sz="0" w:space="0" w:color="auto"/>
      </w:divBdr>
    </w:div>
    <w:div w:id="973870301">
      <w:bodyDiv w:val="1"/>
      <w:marLeft w:val="0"/>
      <w:marRight w:val="0"/>
      <w:marTop w:val="0"/>
      <w:marBottom w:val="0"/>
      <w:divBdr>
        <w:top w:val="none" w:sz="0" w:space="0" w:color="auto"/>
        <w:left w:val="none" w:sz="0" w:space="0" w:color="auto"/>
        <w:bottom w:val="none" w:sz="0" w:space="0" w:color="auto"/>
        <w:right w:val="none" w:sz="0" w:space="0" w:color="auto"/>
      </w:divBdr>
      <w:divsChild>
        <w:div w:id="700059420">
          <w:marLeft w:val="1440"/>
          <w:marRight w:val="0"/>
          <w:marTop w:val="200"/>
          <w:marBottom w:val="0"/>
          <w:divBdr>
            <w:top w:val="none" w:sz="0" w:space="0" w:color="auto"/>
            <w:left w:val="none" w:sz="0" w:space="0" w:color="auto"/>
            <w:bottom w:val="none" w:sz="0" w:space="0" w:color="auto"/>
            <w:right w:val="none" w:sz="0" w:space="0" w:color="auto"/>
          </w:divBdr>
        </w:div>
      </w:divsChild>
    </w:div>
    <w:div w:id="1152138444">
      <w:bodyDiv w:val="1"/>
      <w:marLeft w:val="0"/>
      <w:marRight w:val="0"/>
      <w:marTop w:val="0"/>
      <w:marBottom w:val="0"/>
      <w:divBdr>
        <w:top w:val="none" w:sz="0" w:space="0" w:color="auto"/>
        <w:left w:val="none" w:sz="0" w:space="0" w:color="auto"/>
        <w:bottom w:val="none" w:sz="0" w:space="0" w:color="auto"/>
        <w:right w:val="none" w:sz="0" w:space="0" w:color="auto"/>
      </w:divBdr>
    </w:div>
    <w:div w:id="1216887686">
      <w:bodyDiv w:val="1"/>
      <w:marLeft w:val="0"/>
      <w:marRight w:val="0"/>
      <w:marTop w:val="0"/>
      <w:marBottom w:val="0"/>
      <w:divBdr>
        <w:top w:val="none" w:sz="0" w:space="0" w:color="auto"/>
        <w:left w:val="none" w:sz="0" w:space="0" w:color="auto"/>
        <w:bottom w:val="none" w:sz="0" w:space="0" w:color="auto"/>
        <w:right w:val="none" w:sz="0" w:space="0" w:color="auto"/>
      </w:divBdr>
    </w:div>
    <w:div w:id="1769033496">
      <w:bodyDiv w:val="1"/>
      <w:marLeft w:val="0"/>
      <w:marRight w:val="0"/>
      <w:marTop w:val="0"/>
      <w:marBottom w:val="0"/>
      <w:divBdr>
        <w:top w:val="none" w:sz="0" w:space="0" w:color="auto"/>
        <w:left w:val="none" w:sz="0" w:space="0" w:color="auto"/>
        <w:bottom w:val="none" w:sz="0" w:space="0" w:color="auto"/>
        <w:right w:val="none" w:sz="0" w:space="0" w:color="auto"/>
      </w:divBdr>
    </w:div>
    <w:div w:id="1927033235">
      <w:bodyDiv w:val="1"/>
      <w:marLeft w:val="0"/>
      <w:marRight w:val="0"/>
      <w:marTop w:val="0"/>
      <w:marBottom w:val="0"/>
      <w:divBdr>
        <w:top w:val="none" w:sz="0" w:space="0" w:color="auto"/>
        <w:left w:val="none" w:sz="0" w:space="0" w:color="auto"/>
        <w:bottom w:val="none" w:sz="0" w:space="0" w:color="auto"/>
        <w:right w:val="none" w:sz="0" w:space="0" w:color="auto"/>
      </w:divBdr>
    </w:div>
    <w:div w:id="1949044069">
      <w:bodyDiv w:val="1"/>
      <w:marLeft w:val="0"/>
      <w:marRight w:val="0"/>
      <w:marTop w:val="0"/>
      <w:marBottom w:val="0"/>
      <w:divBdr>
        <w:top w:val="none" w:sz="0" w:space="0" w:color="auto"/>
        <w:left w:val="none" w:sz="0" w:space="0" w:color="auto"/>
        <w:bottom w:val="none" w:sz="0" w:space="0" w:color="auto"/>
        <w:right w:val="none" w:sz="0" w:space="0" w:color="auto"/>
      </w:divBdr>
      <w:divsChild>
        <w:div w:id="1192067070">
          <w:marLeft w:val="144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Available%20at:%20https:/www.gov.uk/government/publications/energy-performance-certificates-for-the-construction-sale-and-let-of-non-dwellings--2/a-guide-to-energy-performance-certificates-for-the-construction-sale-and-let-of-non-dwellings%23obtaining-an-epc%20" TargetMode="External"/><Relationship Id="rId26" Type="http://schemas.openxmlformats.org/officeDocument/2006/relationships/hyperlink" Target="https://internal.statista.com/statistics/422848/quarterly-average-of-daily-temperatures-uk-compared-to-mean/%20" TargetMode="External"/><Relationship Id="rId3" Type="http://schemas.openxmlformats.org/officeDocument/2006/relationships/styles" Target="styles.xml"/><Relationship Id="rId21" Type="http://schemas.openxmlformats.org/officeDocument/2006/relationships/hyperlink" Target="https://www.analytics-tuts.com/regional-uk-map-tableau/%20"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doi:https://doi.org/10.1007/s12053-018-9657-1" TargetMode="External"/><Relationship Id="rId25" Type="http://schemas.openxmlformats.org/officeDocument/2006/relationships/hyperlink" Target="https://www.ons.gov.uk/economy/inflationandpriceindices/timeseries/gb7p/ppi" TargetMode="External"/><Relationship Id="rId2" Type="http://schemas.openxmlformats.org/officeDocument/2006/relationships/numbering" Target="numbering.xml"/><Relationship Id="rId16" Type="http://schemas.openxmlformats.org/officeDocument/2006/relationships/hyperlink" Target="https://www.gov.uk/government/statistics/household-energy-efficiency-statistics-headline-release-january-2024" TargetMode="External"/><Relationship Id="rId20" Type="http://schemas.openxmlformats.org/officeDocument/2006/relationships/hyperlink" Target=".%20doi:https:/doi.org/10.1016/j.enpol.2021.112375"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ons.gov.uk/employmentandlabourmarket/peopleinwork/earningsandworkinghours/datasets/averageweeklyearnings"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doi:https://doi.org/10.1016/j.enpol.2017.09.029"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www.gov.uk/government/statistics/energy-performance-of-buildings-certificates-data-dashboard"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doi:https://doi.org/10.3390/en1108207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C6132-5986-4A80-95B8-15FC3B373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18</Pages>
  <Words>3605</Words>
  <Characters>20553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Pearce</dc:creator>
  <cp:keywords/>
  <dc:description/>
  <cp:lastModifiedBy>Pearce, Craig (PG/T - Economics)</cp:lastModifiedBy>
  <cp:revision>393</cp:revision>
  <dcterms:created xsi:type="dcterms:W3CDTF">2024-05-07T10:33:00Z</dcterms:created>
  <dcterms:modified xsi:type="dcterms:W3CDTF">2024-05-14T15:51:00Z</dcterms:modified>
</cp:coreProperties>
</file>