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F01177" w14:textId="77777777" w:rsidR="005375C0" w:rsidRDefault="00000000">
      <w:pPr>
        <w:pStyle w:val="Title"/>
      </w:pPr>
      <w:r>
        <w:t>CompTIA CySA+ (CS0-003) Study Guide: Domain 1.5</w:t>
      </w:r>
    </w:p>
    <w:p w14:paraId="6EDABB8C" w14:textId="77777777" w:rsidR="005375C0" w:rsidRDefault="00000000">
      <w:pPr>
        <w:pStyle w:val="Heading1"/>
      </w:pPr>
      <w:r>
        <w:t>Explain the Importance of Efficiency and Process Improvement in Security Operations</w:t>
      </w:r>
    </w:p>
    <w:p w14:paraId="5859E856" w14:textId="77777777" w:rsidR="005375C0" w:rsidRDefault="00000000">
      <w:r>
        <w:t>Efficiency and process improvement in security operations focus on optimizing workflows, reducing manual effort, minimizing errors, and enabling faster, more reliable responses to threats. By standardizing processes, streamlining operations, integrating tools, and using unified interfaces, cybersecurity analysts can handle high volumes of data and alerts effectively. This domain emphasizes automation to shift from reactive to proactive security, conserving resources while enhancing detection, response, and overall posture.</w:t>
      </w:r>
    </w:p>
    <w:p w14:paraId="0C331C76" w14:textId="77777777" w:rsidR="005375C0" w:rsidRDefault="00000000">
      <w:pPr>
        <w:pStyle w:val="Heading2"/>
      </w:pPr>
      <w:r>
        <w:t>Standardize Processes</w:t>
      </w:r>
    </w:p>
    <w:p w14:paraId="1FD79FF4" w14:textId="77777777" w:rsidR="005375C0" w:rsidRDefault="00000000">
      <w:r>
        <w:t>Standardizing processes creates consistent, repeatable methods for security tasks, ensuring reliability and scalability. It reduces variability, errors from ad-hoc approaches, and training time for new team members.</w:t>
      </w:r>
    </w:p>
    <w:p w14:paraId="2E201940" w14:textId="77777777" w:rsidR="005375C0" w:rsidRDefault="00000000">
      <w:pPr>
        <w:pStyle w:val="ListParagraph"/>
        <w:numPr>
          <w:ilvl w:val="0"/>
          <w:numId w:val="1"/>
        </w:numPr>
      </w:pPr>
      <w:r>
        <w:rPr>
          <w:b/>
          <w:bCs/>
        </w:rPr>
        <w:t>Identification of Tasks Suitable for Automation</w:t>
      </w:r>
      <w:r>
        <w:t>:</w:t>
      </w:r>
    </w:p>
    <w:p w14:paraId="20757C47" w14:textId="77777777" w:rsidR="005375C0" w:rsidRDefault="00000000">
      <w:pPr>
        <w:pStyle w:val="ListParagraph"/>
        <w:numPr>
          <w:ilvl w:val="1"/>
          <w:numId w:val="1"/>
        </w:numPr>
      </w:pPr>
      <w:r>
        <w:t xml:space="preserve">Focus on tasks that are </w:t>
      </w:r>
      <w:r>
        <w:rPr>
          <w:b/>
          <w:bCs/>
        </w:rPr>
        <w:t>repeatable</w:t>
      </w:r>
      <w:r>
        <w:t xml:space="preserve"> (occur frequently with predictable steps) and </w:t>
      </w:r>
      <w:r>
        <w:rPr>
          <w:b/>
          <w:bCs/>
        </w:rPr>
        <w:t>do not require human interaction</w:t>
      </w:r>
      <w:r>
        <w:t xml:space="preserve"> (no judgment calls, creativity, or real-time decisions needed).</w:t>
      </w:r>
    </w:p>
    <w:p w14:paraId="562D62F8" w14:textId="77777777" w:rsidR="005375C0" w:rsidRDefault="00000000">
      <w:pPr>
        <w:pStyle w:val="ListParagraph"/>
        <w:numPr>
          <w:ilvl w:val="1"/>
          <w:numId w:val="1"/>
        </w:numPr>
      </w:pPr>
      <w:r>
        <w:t>Examples:</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83"/>
        <w:gridCol w:w="3332"/>
        <w:gridCol w:w="3501"/>
      </w:tblGrid>
      <w:tr w:rsidR="005375C0" w14:paraId="26EFBF8E" w14:textId="77777777">
        <w:tblPrEx>
          <w:tblCellMar>
            <w:top w:w="0" w:type="dxa"/>
            <w:bottom w:w="0" w:type="dxa"/>
          </w:tblCellMar>
        </w:tblPrEx>
        <w:tc>
          <w:tcPr>
            <w:tcW w:w="0" w:type="auto"/>
          </w:tcPr>
          <w:p w14:paraId="263AA042" w14:textId="77777777" w:rsidR="005375C0" w:rsidRDefault="00000000">
            <w:r>
              <w:t>Task Type</w:t>
            </w:r>
          </w:p>
        </w:tc>
        <w:tc>
          <w:tcPr>
            <w:tcW w:w="0" w:type="auto"/>
          </w:tcPr>
          <w:p w14:paraId="3222C77D" w14:textId="77777777" w:rsidR="005375C0" w:rsidRDefault="00000000">
            <w:r>
              <w:t>Why Suitable for Automation</w:t>
            </w:r>
          </w:p>
        </w:tc>
        <w:tc>
          <w:tcPr>
            <w:tcW w:w="0" w:type="auto"/>
          </w:tcPr>
          <w:p w14:paraId="7B4BD322" w14:textId="77777777" w:rsidR="005375C0" w:rsidRDefault="00000000">
            <w:r>
              <w:t>Benefits</w:t>
            </w:r>
          </w:p>
        </w:tc>
      </w:tr>
      <w:tr w:rsidR="005375C0" w14:paraId="6C2E23D4" w14:textId="77777777">
        <w:tblPrEx>
          <w:tblCellMar>
            <w:top w:w="0" w:type="dxa"/>
            <w:bottom w:w="0" w:type="dxa"/>
          </w:tblCellMar>
        </w:tblPrEx>
        <w:tc>
          <w:tcPr>
            <w:tcW w:w="0" w:type="auto"/>
          </w:tcPr>
          <w:p w14:paraId="56947C55" w14:textId="77777777" w:rsidR="005375C0" w:rsidRDefault="00000000">
            <w:r>
              <w:t>Log aggregation and basic parsing</w:t>
            </w:r>
          </w:p>
        </w:tc>
        <w:tc>
          <w:tcPr>
            <w:tcW w:w="0" w:type="auto"/>
          </w:tcPr>
          <w:p w14:paraId="1972A93D" w14:textId="77777777" w:rsidR="005375C0" w:rsidRDefault="00000000">
            <w:r>
              <w:t>Repetitive data collection from multiple sources</w:t>
            </w:r>
          </w:p>
        </w:tc>
        <w:tc>
          <w:tcPr>
            <w:tcW w:w="0" w:type="auto"/>
          </w:tcPr>
          <w:p w14:paraId="5ED35343" w14:textId="77777777" w:rsidR="005375C0" w:rsidRDefault="00000000">
            <w:r>
              <w:t>Frees analysts for analysis; reduces oversight errors</w:t>
            </w:r>
          </w:p>
        </w:tc>
      </w:tr>
      <w:tr w:rsidR="005375C0" w14:paraId="3826238B" w14:textId="77777777">
        <w:tblPrEx>
          <w:tblCellMar>
            <w:top w:w="0" w:type="dxa"/>
            <w:bottom w:w="0" w:type="dxa"/>
          </w:tblCellMar>
        </w:tblPrEx>
        <w:tc>
          <w:tcPr>
            <w:tcW w:w="0" w:type="auto"/>
          </w:tcPr>
          <w:p w14:paraId="41216AD6" w14:textId="77777777" w:rsidR="005375C0" w:rsidRDefault="00000000">
            <w:r>
              <w:t>Routine vulnerability scans</w:t>
            </w:r>
          </w:p>
        </w:tc>
        <w:tc>
          <w:tcPr>
            <w:tcW w:w="0" w:type="auto"/>
          </w:tcPr>
          <w:p w14:paraId="3A0C6018" w14:textId="77777777" w:rsidR="005375C0" w:rsidRDefault="00000000">
            <w:r>
              <w:t>Scheduled, rule-based checks</w:t>
            </w:r>
          </w:p>
        </w:tc>
        <w:tc>
          <w:tcPr>
            <w:tcW w:w="0" w:type="auto"/>
          </w:tcPr>
          <w:p w14:paraId="07CF5615" w14:textId="77777777" w:rsidR="005375C0" w:rsidRDefault="00000000">
            <w:r>
              <w:t>Consistent coverage; immediate alerts on new issues</w:t>
            </w:r>
          </w:p>
        </w:tc>
      </w:tr>
      <w:tr w:rsidR="005375C0" w14:paraId="0FE4AFFF" w14:textId="77777777">
        <w:tblPrEx>
          <w:tblCellMar>
            <w:top w:w="0" w:type="dxa"/>
            <w:bottom w:w="0" w:type="dxa"/>
          </w:tblCellMar>
        </w:tblPrEx>
        <w:tc>
          <w:tcPr>
            <w:tcW w:w="0" w:type="auto"/>
          </w:tcPr>
          <w:p w14:paraId="2A2E6304" w14:textId="77777777" w:rsidR="005375C0" w:rsidRDefault="00000000">
            <w:r>
              <w:t>Alert triage for low-severity events</w:t>
            </w:r>
          </w:p>
        </w:tc>
        <w:tc>
          <w:tcPr>
            <w:tcW w:w="0" w:type="auto"/>
          </w:tcPr>
          <w:p w14:paraId="509949EC" w14:textId="77777777" w:rsidR="005375C0" w:rsidRDefault="00000000">
            <w:r>
              <w:t>Matches predefined patterns (e.g., known false positives)</w:t>
            </w:r>
          </w:p>
        </w:tc>
        <w:tc>
          <w:tcPr>
            <w:tcW w:w="0" w:type="auto"/>
          </w:tcPr>
          <w:p w14:paraId="23B5C8CA" w14:textId="77777777" w:rsidR="005375C0" w:rsidRDefault="00000000">
            <w:r>
              <w:t>Handles volume; prioritizes human review for complex cases</w:t>
            </w:r>
          </w:p>
        </w:tc>
      </w:tr>
      <w:tr w:rsidR="005375C0" w14:paraId="7B1E16FE" w14:textId="77777777">
        <w:tblPrEx>
          <w:tblCellMar>
            <w:top w:w="0" w:type="dxa"/>
            <w:bottom w:w="0" w:type="dxa"/>
          </w:tblCellMar>
        </w:tblPrEx>
        <w:tc>
          <w:tcPr>
            <w:tcW w:w="0" w:type="auto"/>
          </w:tcPr>
          <w:p w14:paraId="53408F78" w14:textId="77777777" w:rsidR="005375C0" w:rsidRDefault="00000000">
            <w:r>
              <w:t>Basic threat feed updates</w:t>
            </w:r>
          </w:p>
        </w:tc>
        <w:tc>
          <w:tcPr>
            <w:tcW w:w="0" w:type="auto"/>
          </w:tcPr>
          <w:p w14:paraId="6ECCD385" w14:textId="77777777" w:rsidR="005375C0" w:rsidRDefault="00000000">
            <w:r>
              <w:t>Pulls and applies IOCs automatically</w:t>
            </w:r>
          </w:p>
        </w:tc>
        <w:tc>
          <w:tcPr>
            <w:tcW w:w="0" w:type="auto"/>
          </w:tcPr>
          <w:p w14:paraId="42DB88DB" w14:textId="77777777" w:rsidR="005375C0" w:rsidRDefault="00000000">
            <w:r>
              <w:t>Timely protection without manual intervention</w:t>
            </w:r>
          </w:p>
        </w:tc>
      </w:tr>
    </w:tbl>
    <w:p w14:paraId="4C64FB85" w14:textId="77777777" w:rsidR="005375C0" w:rsidRDefault="00000000">
      <w:pPr>
        <w:pStyle w:val="ListParagraph"/>
        <w:numPr>
          <w:ilvl w:val="1"/>
          <w:numId w:val="1"/>
        </w:numPr>
      </w:pPr>
      <w:r>
        <w:rPr>
          <w:b/>
          <w:bCs/>
        </w:rPr>
        <w:t>Process</w:t>
      </w:r>
      <w:r>
        <w:t>: Analyze workflows for repetition (e.g., time-to-detect metrics), high-risk areas, frequency, and automation benefits (accuracy, speed). Avoid automating high-risk or ambiguous tasks.</w:t>
      </w:r>
    </w:p>
    <w:p w14:paraId="5911F0DC" w14:textId="77777777" w:rsidR="005375C0" w:rsidRDefault="00000000">
      <w:pPr>
        <w:pStyle w:val="ListParagraph"/>
        <w:numPr>
          <w:ilvl w:val="0"/>
          <w:numId w:val="1"/>
        </w:numPr>
      </w:pPr>
      <w:r>
        <w:rPr>
          <w:b/>
          <w:bCs/>
        </w:rPr>
        <w:t>Team Coordination to Manage and Facilitate Automation</w:t>
      </w:r>
      <w:r>
        <w:t>:</w:t>
      </w:r>
    </w:p>
    <w:p w14:paraId="20521612" w14:textId="77777777" w:rsidR="005375C0" w:rsidRDefault="00000000">
      <w:pPr>
        <w:pStyle w:val="ListParagraph"/>
        <w:numPr>
          <w:ilvl w:val="1"/>
          <w:numId w:val="1"/>
        </w:numPr>
      </w:pPr>
      <w:r>
        <w:t>Coordinate across teams (e.g., SOC, engineering, compliance) to identify, test, deploy, and maintain automations.</w:t>
      </w:r>
    </w:p>
    <w:p w14:paraId="08256478" w14:textId="77777777" w:rsidR="005375C0" w:rsidRDefault="00000000">
      <w:pPr>
        <w:pStyle w:val="ListParagraph"/>
        <w:numPr>
          <w:ilvl w:val="1"/>
          <w:numId w:val="1"/>
        </w:numPr>
      </w:pPr>
      <w:r>
        <w:t>Steps: 1. Map tasks to owners and assess automation feasibility. 2. Develop shared playbooks/runbooks for consistency. 3. Test automations in staging environments. 4. Monitor post-deployment (e.g., error rates, false positives). 5. Review quarterly for updates or decommissioning.</w:t>
      </w:r>
    </w:p>
    <w:p w14:paraId="1D8BFE5A" w14:textId="77777777" w:rsidR="005375C0" w:rsidRDefault="00000000">
      <w:pPr>
        <w:pStyle w:val="ListParagraph"/>
        <w:numPr>
          <w:ilvl w:val="1"/>
          <w:numId w:val="1"/>
        </w:numPr>
      </w:pPr>
      <w:r>
        <w:t>Benefits: Reduces silos, ensures buy-in, prevents disruptions; fosters a culture of continuous improvement.</w:t>
      </w:r>
    </w:p>
    <w:p w14:paraId="1EA9835C" w14:textId="77777777" w:rsidR="005375C0" w:rsidRDefault="00000000">
      <w:r>
        <w:rPr>
          <w:b/>
          <w:bCs/>
        </w:rPr>
        <w:t>Exam Tip</w:t>
      </w:r>
      <w:r>
        <w:t>: Expect scenarios where you identify automatable tasks (e.g., "Which is repeatable and non-interactive?") or coordination needs (e.g., "How to manage automations across teams?").</w:t>
      </w:r>
    </w:p>
    <w:p w14:paraId="682130E5" w14:textId="77777777" w:rsidR="005375C0" w:rsidRDefault="00000000">
      <w:pPr>
        <w:pStyle w:val="Heading2"/>
      </w:pPr>
      <w:r>
        <w:lastRenderedPageBreak/>
        <w:t>Streamline Operations</w:t>
      </w:r>
    </w:p>
    <w:p w14:paraId="5C5D9E2D" w14:textId="77777777" w:rsidR="005375C0" w:rsidRDefault="00000000">
      <w:r>
        <w:t>Streamlining reduces waste, accelerates workflows, and scales security efforts. Automation/orchestration and threat intelligence orchestration are key enablers.</w:t>
      </w:r>
    </w:p>
    <w:p w14:paraId="0E8A0E26" w14:textId="77777777" w:rsidR="005375C0" w:rsidRDefault="00000000">
      <w:pPr>
        <w:pStyle w:val="ListParagraph"/>
        <w:numPr>
          <w:ilvl w:val="0"/>
          <w:numId w:val="1"/>
        </w:numPr>
      </w:pPr>
      <w:r>
        <w:rPr>
          <w:b/>
          <w:bCs/>
        </w:rPr>
        <w:t>Automation and Orchestration</w:t>
      </w:r>
      <w:r>
        <w:t>:</w:t>
      </w:r>
    </w:p>
    <w:p w14:paraId="614D8D90" w14:textId="77777777" w:rsidR="005375C0" w:rsidRDefault="00000000">
      <w:pPr>
        <w:pStyle w:val="ListParagraph"/>
        <w:numPr>
          <w:ilvl w:val="1"/>
          <w:numId w:val="1"/>
        </w:numPr>
      </w:pPr>
      <w:r>
        <w:rPr>
          <w:b/>
          <w:bCs/>
        </w:rPr>
        <w:t>Automation</w:t>
      </w:r>
      <w:r>
        <w:t>: Executes predefined tasks without human input (e.g., scripts for log rotation).</w:t>
      </w:r>
    </w:p>
    <w:p w14:paraId="773CAB45" w14:textId="77777777" w:rsidR="005375C0" w:rsidRDefault="00000000">
      <w:pPr>
        <w:pStyle w:val="ListParagraph"/>
        <w:numPr>
          <w:ilvl w:val="1"/>
          <w:numId w:val="1"/>
        </w:numPr>
      </w:pPr>
      <w:r>
        <w:rPr>
          <w:b/>
          <w:bCs/>
        </w:rPr>
        <w:t>Orchestration</w:t>
      </w:r>
      <w:r>
        <w:t>: Coordinates multiple automations across tools/systems (e.g., chaining vulnerability scans to auto-ticketing).</w:t>
      </w:r>
    </w:p>
    <w:p w14:paraId="6D836DB9" w14:textId="77777777" w:rsidR="005375C0" w:rsidRDefault="00000000">
      <w:pPr>
        <w:pStyle w:val="ListParagraph"/>
        <w:numPr>
          <w:ilvl w:val="1"/>
          <w:numId w:val="1"/>
        </w:numPr>
      </w:pPr>
      <w:r>
        <w:rPr>
          <w:b/>
          <w:bCs/>
        </w:rPr>
        <w:t>Security Orchestration, Automation, and Response (SOAR)</w:t>
      </w:r>
      <w:r>
        <w:t>:</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9"/>
        <w:gridCol w:w="3980"/>
        <w:gridCol w:w="3927"/>
      </w:tblGrid>
      <w:tr w:rsidR="005375C0" w14:paraId="4E50720F" w14:textId="77777777">
        <w:tblPrEx>
          <w:tblCellMar>
            <w:top w:w="0" w:type="dxa"/>
            <w:bottom w:w="0" w:type="dxa"/>
          </w:tblCellMar>
        </w:tblPrEx>
        <w:tc>
          <w:tcPr>
            <w:tcW w:w="0" w:type="auto"/>
          </w:tcPr>
          <w:p w14:paraId="6615558E" w14:textId="77777777" w:rsidR="005375C0" w:rsidRDefault="00000000">
            <w:r>
              <w:t>Feature</w:t>
            </w:r>
          </w:p>
        </w:tc>
        <w:tc>
          <w:tcPr>
            <w:tcW w:w="0" w:type="auto"/>
          </w:tcPr>
          <w:p w14:paraId="5B801275" w14:textId="77777777" w:rsidR="005375C0" w:rsidRDefault="00000000">
            <w:r>
              <w:t>Description</w:t>
            </w:r>
          </w:p>
        </w:tc>
        <w:tc>
          <w:tcPr>
            <w:tcW w:w="0" w:type="auto"/>
          </w:tcPr>
          <w:p w14:paraId="5B510598" w14:textId="77777777" w:rsidR="005375C0" w:rsidRDefault="00000000">
            <w:r>
              <w:t>Use Case Example</w:t>
            </w:r>
          </w:p>
        </w:tc>
      </w:tr>
      <w:tr w:rsidR="005375C0" w14:paraId="1F4855D1" w14:textId="77777777">
        <w:tblPrEx>
          <w:tblCellMar>
            <w:top w:w="0" w:type="dxa"/>
            <w:bottom w:w="0" w:type="dxa"/>
          </w:tblCellMar>
        </w:tblPrEx>
        <w:tc>
          <w:tcPr>
            <w:tcW w:w="0" w:type="auto"/>
          </w:tcPr>
          <w:p w14:paraId="7F347B1E" w14:textId="77777777" w:rsidR="005375C0" w:rsidRDefault="00000000">
            <w:r>
              <w:t>Orchestration</w:t>
            </w:r>
          </w:p>
        </w:tc>
        <w:tc>
          <w:tcPr>
            <w:tcW w:w="0" w:type="auto"/>
          </w:tcPr>
          <w:p w14:paraId="1B642DA7" w14:textId="77777777" w:rsidR="005375C0" w:rsidRDefault="00000000">
            <w:r>
              <w:t>Links tools (e.g., SIEM alert → auto-scan → quarantine)</w:t>
            </w:r>
          </w:p>
        </w:tc>
        <w:tc>
          <w:tcPr>
            <w:tcW w:w="0" w:type="auto"/>
          </w:tcPr>
          <w:p w14:paraId="6D382DF7" w14:textId="77777777" w:rsidR="005375C0" w:rsidRDefault="00000000">
            <w:r>
              <w:t>Phishing response: Alert → sandbox attachment → block IP</w:t>
            </w:r>
          </w:p>
        </w:tc>
      </w:tr>
      <w:tr w:rsidR="005375C0" w14:paraId="4F7C6AC4" w14:textId="77777777">
        <w:tblPrEx>
          <w:tblCellMar>
            <w:top w:w="0" w:type="dxa"/>
            <w:bottom w:w="0" w:type="dxa"/>
          </w:tblCellMar>
        </w:tblPrEx>
        <w:tc>
          <w:tcPr>
            <w:tcW w:w="0" w:type="auto"/>
          </w:tcPr>
          <w:p w14:paraId="3510FAC8" w14:textId="77777777" w:rsidR="005375C0" w:rsidRDefault="00000000">
            <w:r>
              <w:t>Automation</w:t>
            </w:r>
          </w:p>
        </w:tc>
        <w:tc>
          <w:tcPr>
            <w:tcW w:w="0" w:type="auto"/>
          </w:tcPr>
          <w:p w14:paraId="6771ABE9" w14:textId="77777777" w:rsidR="005375C0" w:rsidRDefault="00000000">
            <w:r>
              <w:t>Executes repetitive tasks (e.g., IOC blocking)</w:t>
            </w:r>
          </w:p>
        </w:tc>
        <w:tc>
          <w:tcPr>
            <w:tcW w:w="0" w:type="auto"/>
          </w:tcPr>
          <w:p w14:paraId="0EDD0102" w14:textId="77777777" w:rsidR="005375C0" w:rsidRDefault="00000000">
            <w:r>
              <w:t>Daily threat feed ingestion and firewall rule updates</w:t>
            </w:r>
          </w:p>
        </w:tc>
      </w:tr>
      <w:tr w:rsidR="005375C0" w14:paraId="5E9A57AE" w14:textId="77777777">
        <w:tblPrEx>
          <w:tblCellMar>
            <w:top w:w="0" w:type="dxa"/>
            <w:bottom w:w="0" w:type="dxa"/>
          </w:tblCellMar>
        </w:tblPrEx>
        <w:tc>
          <w:tcPr>
            <w:tcW w:w="0" w:type="auto"/>
          </w:tcPr>
          <w:p w14:paraId="7318AE27" w14:textId="77777777" w:rsidR="005375C0" w:rsidRDefault="00000000">
            <w:r>
              <w:t>Response</w:t>
            </w:r>
          </w:p>
        </w:tc>
        <w:tc>
          <w:tcPr>
            <w:tcW w:w="0" w:type="auto"/>
          </w:tcPr>
          <w:p w14:paraId="14DDFCEA" w14:textId="77777777" w:rsidR="005375C0" w:rsidRDefault="00000000">
            <w:r>
              <w:t>Triggers playbooks for containment/remediation</w:t>
            </w:r>
          </w:p>
        </w:tc>
        <w:tc>
          <w:tcPr>
            <w:tcW w:w="0" w:type="auto"/>
          </w:tcPr>
          <w:p w14:paraId="233C6278" w14:textId="77777777" w:rsidR="005375C0" w:rsidRDefault="00000000">
            <w:r>
              <w:t>Malware detection → isolate endpoint → notify team</w:t>
            </w:r>
          </w:p>
        </w:tc>
      </w:tr>
    </w:tbl>
    <w:p w14:paraId="62228FFE" w14:textId="77777777" w:rsidR="005375C0" w:rsidRDefault="00000000">
      <w:pPr>
        <w:pStyle w:val="ListParagraph"/>
        <w:numPr>
          <w:ilvl w:val="2"/>
          <w:numId w:val="1"/>
        </w:numPr>
      </w:pPr>
      <w:r>
        <w:t>Benefits: Reduces MTTR (mean time to respond), handles alert fatigue, integrates legacy tools.</w:t>
      </w:r>
    </w:p>
    <w:p w14:paraId="62FADEAF" w14:textId="77777777" w:rsidR="005375C0" w:rsidRDefault="00000000">
      <w:pPr>
        <w:pStyle w:val="ListParagraph"/>
        <w:numPr>
          <w:ilvl w:val="2"/>
          <w:numId w:val="1"/>
        </w:numPr>
      </w:pPr>
      <w:r>
        <w:t>Deployment: Start with simple playbooks (e.g., low-risk alerts); scale to complex (e.g., multi-tool chains).</w:t>
      </w:r>
    </w:p>
    <w:p w14:paraId="4D3DD07E" w14:textId="77777777" w:rsidR="005375C0" w:rsidRDefault="00000000">
      <w:pPr>
        <w:pStyle w:val="ListParagraph"/>
        <w:numPr>
          <w:ilvl w:val="0"/>
          <w:numId w:val="1"/>
        </w:numPr>
      </w:pPr>
      <w:r>
        <w:rPr>
          <w:b/>
          <w:bCs/>
        </w:rPr>
        <w:t>Orchestrating Threat Intelligence Data</w:t>
      </w:r>
      <w:r>
        <w:t>:</w:t>
      </w:r>
    </w:p>
    <w:p w14:paraId="57744159" w14:textId="77777777" w:rsidR="005375C0" w:rsidRDefault="00000000">
      <w:pPr>
        <w:pStyle w:val="ListParagraph"/>
        <w:numPr>
          <w:ilvl w:val="1"/>
          <w:numId w:val="1"/>
        </w:numPr>
      </w:pPr>
      <w:r>
        <w:t>Automate ingestion, normalization, and application of feeds.</w:t>
      </w:r>
    </w:p>
    <w:p w14:paraId="21FBC96D" w14:textId="77777777" w:rsidR="005375C0" w:rsidRDefault="00000000">
      <w:pPr>
        <w:pStyle w:val="ListParagraph"/>
        <w:numPr>
          <w:ilvl w:val="1"/>
          <w:numId w:val="1"/>
        </w:numPr>
      </w:pPr>
      <w:r>
        <w:rPr>
          <w:b/>
          <w:bCs/>
        </w:rPr>
        <w:t>Data Enrichment</w:t>
      </w:r>
      <w:r>
        <w:t>: Adds context (e.g., IP reputation + geolocation + threat actor links).</w:t>
      </w:r>
    </w:p>
    <w:p w14:paraId="0FBBB465" w14:textId="77777777" w:rsidR="0005768F" w:rsidRDefault="0005768F" w:rsidP="0005768F">
      <w:pPr>
        <w:pStyle w:val="leading-relaxed"/>
        <w:numPr>
          <w:ilvl w:val="0"/>
          <w:numId w:val="1"/>
        </w:numPr>
        <w:pBdr>
          <w:top w:val="single" w:sz="2" w:space="0" w:color="E5E7EB"/>
          <w:left w:val="single" w:sz="2" w:space="0" w:color="E5E7EB"/>
          <w:bottom w:val="single" w:sz="2" w:space="0" w:color="E5E7EB"/>
          <w:right w:val="single" w:sz="2" w:space="0" w:color="E5E7EB"/>
        </w:pBdr>
        <w:shd w:val="clear" w:color="auto" w:fill="18181B"/>
        <w:spacing w:before="60" w:beforeAutospacing="0" w:after="0" w:afterAutospacing="0"/>
        <w:rPr>
          <w:rFonts w:ascii="Inter Fallback" w:hAnsi="Inter Fallback"/>
          <w:color w:val="FFFFFF"/>
          <w:sz w:val="21"/>
          <w:szCs w:val="21"/>
        </w:rPr>
      </w:pPr>
      <w:r>
        <w:rPr>
          <w:rStyle w:val="Strong"/>
          <w:rFonts w:ascii="Inter Fallback" w:hAnsi="Inter Fallback"/>
          <w:color w:val="FFFFFF"/>
          <w:sz w:val="21"/>
          <w:szCs w:val="21"/>
          <w:bdr w:val="single" w:sz="2" w:space="0" w:color="E5E7EB" w:frame="1"/>
        </w:rPr>
        <w:t>Playbooks:</w:t>
      </w:r>
      <w:r>
        <w:rPr>
          <w:rFonts w:ascii="Inter Fallback" w:hAnsi="Inter Fallback"/>
          <w:color w:val="FFFFFF"/>
          <w:sz w:val="21"/>
          <w:szCs w:val="21"/>
        </w:rPr>
        <w:t xml:space="preserve"> These are step-by-step checklists for responding to specific incidents.</w:t>
      </w:r>
    </w:p>
    <w:p w14:paraId="2F04470E" w14:textId="77777777" w:rsidR="0005768F" w:rsidRDefault="0005768F" w:rsidP="0005768F">
      <w:pPr>
        <w:pStyle w:val="leading-relaxed"/>
        <w:numPr>
          <w:ilvl w:val="0"/>
          <w:numId w:val="1"/>
        </w:numPr>
        <w:pBdr>
          <w:top w:val="single" w:sz="2" w:space="0" w:color="E5E7EB"/>
          <w:left w:val="single" w:sz="2" w:space="0" w:color="E5E7EB"/>
          <w:bottom w:val="single" w:sz="2" w:space="0" w:color="E5E7EB"/>
          <w:right w:val="single" w:sz="2" w:space="0" w:color="E5E7EB"/>
        </w:pBdr>
        <w:shd w:val="clear" w:color="auto" w:fill="18181B"/>
        <w:spacing w:before="60" w:beforeAutospacing="0" w:after="0" w:afterAutospacing="0"/>
        <w:rPr>
          <w:rFonts w:ascii="Inter Fallback" w:hAnsi="Inter Fallback"/>
          <w:color w:val="FFFFFF"/>
          <w:sz w:val="21"/>
          <w:szCs w:val="21"/>
        </w:rPr>
      </w:pPr>
      <w:r>
        <w:rPr>
          <w:rStyle w:val="Strong"/>
          <w:rFonts w:ascii="Inter Fallback" w:hAnsi="Inter Fallback"/>
          <w:color w:val="FFFFFF"/>
          <w:sz w:val="21"/>
          <w:szCs w:val="21"/>
          <w:bdr w:val="single" w:sz="2" w:space="0" w:color="E5E7EB" w:frame="1"/>
        </w:rPr>
        <w:t>Runbooks:</w:t>
      </w:r>
      <w:r>
        <w:rPr>
          <w:rFonts w:ascii="Inter Fallback" w:hAnsi="Inter Fallback"/>
          <w:color w:val="FFFFFF"/>
          <w:sz w:val="21"/>
          <w:szCs w:val="21"/>
        </w:rPr>
        <w:t xml:space="preserve"> These are the </w:t>
      </w:r>
      <w:r>
        <w:rPr>
          <w:rStyle w:val="Emphasis"/>
          <w:rFonts w:ascii="Inter Fallback" w:hAnsi="Inter Fallback"/>
          <w:color w:val="FFFFFF"/>
          <w:sz w:val="21"/>
          <w:szCs w:val="21"/>
          <w:bdr w:val="single" w:sz="2" w:space="0" w:color="E5E7EB" w:frame="1"/>
        </w:rPr>
        <w:t>automated</w:t>
      </w:r>
      <w:r>
        <w:rPr>
          <w:rFonts w:ascii="Inter Fallback" w:hAnsi="Inter Fallback"/>
          <w:color w:val="FFFFFF"/>
          <w:sz w:val="21"/>
          <w:szCs w:val="21"/>
        </w:rPr>
        <w:t xml:space="preserve"> versions of playbooks that execute actions without human intervention.</w:t>
      </w:r>
    </w:p>
    <w:p w14:paraId="197222A4" w14:textId="77777777" w:rsidR="0005768F" w:rsidRDefault="0005768F" w:rsidP="0005768F">
      <w:pPr>
        <w:pStyle w:val="ListParagraph"/>
        <w:ind w:left="144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7"/>
        <w:gridCol w:w="3042"/>
      </w:tblGrid>
      <w:tr w:rsidR="005375C0" w14:paraId="3EBEF352" w14:textId="77777777">
        <w:tblPrEx>
          <w:tblCellMar>
            <w:top w:w="0" w:type="dxa"/>
            <w:bottom w:w="0" w:type="dxa"/>
          </w:tblCellMar>
        </w:tblPrEx>
        <w:tc>
          <w:tcPr>
            <w:tcW w:w="0" w:type="auto"/>
          </w:tcPr>
          <w:p w14:paraId="536B291F" w14:textId="77777777" w:rsidR="005375C0" w:rsidRDefault="00000000">
            <w:r>
              <w:t>Enrichment Technique</w:t>
            </w:r>
          </w:p>
        </w:tc>
        <w:tc>
          <w:tcPr>
            <w:tcW w:w="0" w:type="auto"/>
          </w:tcPr>
          <w:p w14:paraId="511571E3" w14:textId="77777777" w:rsidR="005375C0" w:rsidRDefault="00000000">
            <w:r>
              <w:t>Example</w:t>
            </w:r>
          </w:p>
        </w:tc>
      </w:tr>
      <w:tr w:rsidR="005375C0" w14:paraId="31EC49D2" w14:textId="77777777">
        <w:tblPrEx>
          <w:tblCellMar>
            <w:top w:w="0" w:type="dxa"/>
            <w:bottom w:w="0" w:type="dxa"/>
          </w:tblCellMar>
        </w:tblPrEx>
        <w:tc>
          <w:tcPr>
            <w:tcW w:w="0" w:type="auto"/>
          </w:tcPr>
          <w:p w14:paraId="3E89732C" w14:textId="77777777" w:rsidR="005375C0" w:rsidRDefault="00000000">
            <w:r>
              <w:t>Reputation Lookup</w:t>
            </w:r>
          </w:p>
        </w:tc>
        <w:tc>
          <w:tcPr>
            <w:tcW w:w="0" w:type="auto"/>
          </w:tcPr>
          <w:p w14:paraId="3A14256B" w14:textId="77777777" w:rsidR="005375C0" w:rsidRDefault="00000000">
            <w:r>
              <w:t>IP flagged as C2 server → auto-block</w:t>
            </w:r>
          </w:p>
        </w:tc>
      </w:tr>
      <w:tr w:rsidR="005375C0" w14:paraId="44D9B364" w14:textId="77777777">
        <w:tblPrEx>
          <w:tblCellMar>
            <w:top w:w="0" w:type="dxa"/>
            <w:bottom w:w="0" w:type="dxa"/>
          </w:tblCellMar>
        </w:tblPrEx>
        <w:tc>
          <w:tcPr>
            <w:tcW w:w="0" w:type="auto"/>
          </w:tcPr>
          <w:p w14:paraId="50D8CFDC" w14:textId="77777777" w:rsidR="005375C0" w:rsidRDefault="00000000">
            <w:r>
              <w:t>Geolocation/Timing</w:t>
            </w:r>
          </w:p>
        </w:tc>
        <w:tc>
          <w:tcPr>
            <w:tcW w:w="0" w:type="auto"/>
          </w:tcPr>
          <w:p w14:paraId="28AB0B35" w14:textId="77777777" w:rsidR="005375C0" w:rsidRDefault="00000000">
            <w:r>
              <w:t>Traffic from unusual country → alert</w:t>
            </w:r>
          </w:p>
        </w:tc>
      </w:tr>
      <w:tr w:rsidR="005375C0" w14:paraId="1EC600C8" w14:textId="77777777">
        <w:tblPrEx>
          <w:tblCellMar>
            <w:top w:w="0" w:type="dxa"/>
            <w:bottom w:w="0" w:type="dxa"/>
          </w:tblCellMar>
        </w:tblPrEx>
        <w:tc>
          <w:tcPr>
            <w:tcW w:w="0" w:type="auto"/>
          </w:tcPr>
          <w:p w14:paraId="6EC3D393" w14:textId="77777777" w:rsidR="005375C0" w:rsidRDefault="00000000">
            <w:r>
              <w:t>Threat Actor Attribution</w:t>
            </w:r>
          </w:p>
        </w:tc>
        <w:tc>
          <w:tcPr>
            <w:tcW w:w="0" w:type="auto"/>
          </w:tcPr>
          <w:p w14:paraId="69989CD8" w14:textId="77777777" w:rsidR="005375C0" w:rsidRDefault="00000000">
            <w:r>
              <w:t>IOC matches APT group → escalate</w:t>
            </w:r>
          </w:p>
        </w:tc>
      </w:tr>
    </w:tbl>
    <w:p w14:paraId="2D18CB3B" w14:textId="77777777" w:rsidR="005375C0" w:rsidRDefault="00000000">
      <w:pPr>
        <w:pStyle w:val="ListParagraph"/>
        <w:numPr>
          <w:ilvl w:val="1"/>
          <w:numId w:val="1"/>
        </w:numPr>
      </w:pPr>
      <w:r>
        <w:rPr>
          <w:b/>
          <w:bCs/>
        </w:rPr>
        <w:t>Threat Feed Combination</w:t>
      </w:r>
      <w:r>
        <w:t>: Merge feeds (e.g., open-source + commercial) for comprehensive coverage; deduplicate to avoid noise.</w:t>
      </w:r>
    </w:p>
    <w:p w14:paraId="2B39505B" w14:textId="77777777" w:rsidR="005375C0" w:rsidRDefault="00000000">
      <w:pPr>
        <w:pStyle w:val="ListParagraph"/>
        <w:numPr>
          <w:ilvl w:val="1"/>
          <w:numId w:val="1"/>
        </w:numPr>
      </w:pPr>
      <w:r>
        <w:t>Benefits: Proactive defense; faster detection (e.g., auto-update SIEM rules).</w:t>
      </w:r>
    </w:p>
    <w:p w14:paraId="50CC7632" w14:textId="77777777" w:rsidR="005375C0" w:rsidRDefault="00000000">
      <w:pPr>
        <w:pStyle w:val="ListParagraph"/>
        <w:numPr>
          <w:ilvl w:val="0"/>
          <w:numId w:val="1"/>
        </w:numPr>
      </w:pPr>
      <w:r>
        <w:rPr>
          <w:b/>
          <w:bCs/>
        </w:rPr>
        <w:t>Minimize Human Engagement</w:t>
      </w:r>
      <w:r>
        <w:t>:</w:t>
      </w:r>
    </w:p>
    <w:p w14:paraId="4EDF2C69" w14:textId="77777777" w:rsidR="005375C0" w:rsidRDefault="00000000">
      <w:pPr>
        <w:pStyle w:val="ListParagraph"/>
        <w:numPr>
          <w:ilvl w:val="1"/>
          <w:numId w:val="1"/>
        </w:numPr>
      </w:pPr>
      <w:r>
        <w:t>Automate routine/low-risk tasks to focus humans on judgment-heavy work (e.g., SOAR triages alerts → humans handle escalations).</w:t>
      </w:r>
    </w:p>
    <w:p w14:paraId="62B7A696" w14:textId="77777777" w:rsidR="005375C0" w:rsidRDefault="00000000">
      <w:pPr>
        <w:pStyle w:val="ListParagraph"/>
        <w:numPr>
          <w:ilvl w:val="1"/>
          <w:numId w:val="1"/>
        </w:numPr>
      </w:pPr>
      <w:r>
        <w:t>Risks of over-automation: False positives/negatives; ensure human oversight loops.</w:t>
      </w:r>
    </w:p>
    <w:p w14:paraId="3A7EBEA8" w14:textId="77777777" w:rsidR="005375C0" w:rsidRDefault="00000000">
      <w:pPr>
        <w:pStyle w:val="ListParagraph"/>
        <w:numPr>
          <w:ilvl w:val="1"/>
          <w:numId w:val="1"/>
        </w:numPr>
      </w:pPr>
      <w:r>
        <w:t>Metrics: Track automation ROI (e.g., tasks automated, time saved, error reduction).</w:t>
      </w:r>
    </w:p>
    <w:p w14:paraId="2B64F7AB" w14:textId="77777777" w:rsidR="005375C0" w:rsidRDefault="00000000">
      <w:r>
        <w:rPr>
          <w:b/>
          <w:bCs/>
        </w:rPr>
        <w:t>Exam Tip</w:t>
      </w:r>
      <w:r>
        <w:t>: Differentiate SOAR (orchestrates response) from SIEM (logs/alerts). Scenarios may ask for SOAR use cases (e.g., "Automate phishing playbook").</w:t>
      </w:r>
    </w:p>
    <w:p w14:paraId="58859075" w14:textId="77777777" w:rsidR="0005768F" w:rsidRDefault="0005768F">
      <w:pPr>
        <w:pStyle w:val="Heading2"/>
      </w:pPr>
    </w:p>
    <w:p w14:paraId="04A122DA" w14:textId="77777777" w:rsidR="0005768F" w:rsidRDefault="0005768F">
      <w:pPr>
        <w:pStyle w:val="Heading2"/>
      </w:pPr>
    </w:p>
    <w:p w14:paraId="2B61C51C" w14:textId="77777777" w:rsidR="0005768F" w:rsidRDefault="0005768F">
      <w:pPr>
        <w:pStyle w:val="Heading2"/>
      </w:pPr>
    </w:p>
    <w:p w14:paraId="5B7E1D48" w14:textId="34C2AC89" w:rsidR="005375C0" w:rsidRDefault="00000000">
      <w:pPr>
        <w:pStyle w:val="Heading2"/>
      </w:pPr>
      <w:r>
        <w:t>Technology and Tool Integration</w:t>
      </w:r>
    </w:p>
    <w:p w14:paraId="10363BE9" w14:textId="77777777" w:rsidR="005375C0" w:rsidRDefault="00000000">
      <w:r>
        <w:t>Integration connects disparate tools via standards/protocols, enabling data flow and automation.</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57"/>
        <w:gridCol w:w="4026"/>
        <w:gridCol w:w="3533"/>
      </w:tblGrid>
      <w:tr w:rsidR="005375C0" w14:paraId="57110E4F" w14:textId="77777777">
        <w:tblPrEx>
          <w:tblCellMar>
            <w:top w:w="0" w:type="dxa"/>
            <w:bottom w:w="0" w:type="dxa"/>
          </w:tblCellMar>
        </w:tblPrEx>
        <w:tc>
          <w:tcPr>
            <w:tcW w:w="0" w:type="auto"/>
          </w:tcPr>
          <w:p w14:paraId="0BA50A94" w14:textId="77777777" w:rsidR="005375C0" w:rsidRDefault="00000000">
            <w:r>
              <w:t>Integration Method</w:t>
            </w:r>
          </w:p>
        </w:tc>
        <w:tc>
          <w:tcPr>
            <w:tcW w:w="0" w:type="auto"/>
          </w:tcPr>
          <w:p w14:paraId="55937454" w14:textId="77777777" w:rsidR="005375C0" w:rsidRDefault="00000000">
            <w:r>
              <w:t>Description</w:t>
            </w:r>
          </w:p>
        </w:tc>
        <w:tc>
          <w:tcPr>
            <w:tcW w:w="0" w:type="auto"/>
          </w:tcPr>
          <w:p w14:paraId="14E2ACEF" w14:textId="77777777" w:rsidR="005375C0" w:rsidRDefault="00000000">
            <w:r>
              <w:t>Example</w:t>
            </w:r>
          </w:p>
        </w:tc>
      </w:tr>
      <w:tr w:rsidR="005375C0" w14:paraId="4BF1DA90" w14:textId="77777777">
        <w:tblPrEx>
          <w:tblCellMar>
            <w:top w:w="0" w:type="dxa"/>
            <w:bottom w:w="0" w:type="dxa"/>
          </w:tblCellMar>
        </w:tblPrEx>
        <w:tc>
          <w:tcPr>
            <w:tcW w:w="0" w:type="auto"/>
          </w:tcPr>
          <w:p w14:paraId="445EE376" w14:textId="77777777" w:rsidR="005375C0" w:rsidRDefault="00000000">
            <w:r>
              <w:rPr>
                <w:b/>
                <w:bCs/>
              </w:rPr>
              <w:t>API</w:t>
            </w:r>
          </w:p>
        </w:tc>
        <w:tc>
          <w:tcPr>
            <w:tcW w:w="0" w:type="auto"/>
          </w:tcPr>
          <w:p w14:paraId="0748FBE3" w14:textId="77777777" w:rsidR="005375C0" w:rsidRDefault="00000000">
            <w:r>
              <w:t>Programmatic interface for tools/services (REST/SOAP).</w:t>
            </w:r>
          </w:p>
        </w:tc>
        <w:tc>
          <w:tcPr>
            <w:tcW w:w="0" w:type="auto"/>
          </w:tcPr>
          <w:p w14:paraId="15F3FB06" w14:textId="77777777" w:rsidR="005375C0" w:rsidRDefault="00000000">
            <w:r>
              <w:t>SIEM queries EDR API for endpoint details.</w:t>
            </w:r>
          </w:p>
        </w:tc>
      </w:tr>
      <w:tr w:rsidR="005375C0" w14:paraId="419DC90B" w14:textId="77777777">
        <w:tblPrEx>
          <w:tblCellMar>
            <w:top w:w="0" w:type="dxa"/>
            <w:bottom w:w="0" w:type="dxa"/>
          </w:tblCellMar>
        </w:tblPrEx>
        <w:tc>
          <w:tcPr>
            <w:tcW w:w="0" w:type="auto"/>
          </w:tcPr>
          <w:p w14:paraId="185AA7CC" w14:textId="77777777" w:rsidR="005375C0" w:rsidRDefault="00000000">
            <w:r>
              <w:rPr>
                <w:b/>
                <w:bCs/>
              </w:rPr>
              <w:t>Webhooks</w:t>
            </w:r>
          </w:p>
        </w:tc>
        <w:tc>
          <w:tcPr>
            <w:tcW w:w="0" w:type="auto"/>
          </w:tcPr>
          <w:p w14:paraId="68E3FCA5" w14:textId="77777777" w:rsidR="005375C0" w:rsidRDefault="00000000">
            <w:r>
              <w:t>Event-driven HTTP callbacks (push notifications).</w:t>
            </w:r>
          </w:p>
        </w:tc>
        <w:tc>
          <w:tcPr>
            <w:tcW w:w="0" w:type="auto"/>
          </w:tcPr>
          <w:p w14:paraId="0D604759" w14:textId="77777777" w:rsidR="005375C0" w:rsidRDefault="00000000">
            <w:r>
              <w:t>Threat feed webhook → auto-update firewall rules.</w:t>
            </w:r>
          </w:p>
        </w:tc>
      </w:tr>
      <w:tr w:rsidR="005375C0" w14:paraId="0B8A3FC4" w14:textId="77777777">
        <w:tblPrEx>
          <w:tblCellMar>
            <w:top w:w="0" w:type="dxa"/>
            <w:bottom w:w="0" w:type="dxa"/>
          </w:tblCellMar>
        </w:tblPrEx>
        <w:tc>
          <w:tcPr>
            <w:tcW w:w="0" w:type="auto"/>
          </w:tcPr>
          <w:p w14:paraId="5D368F2C" w14:textId="77777777" w:rsidR="005375C0" w:rsidRDefault="00000000">
            <w:r>
              <w:rPr>
                <w:b/>
                <w:bCs/>
              </w:rPr>
              <w:t>Plugins</w:t>
            </w:r>
          </w:p>
        </w:tc>
        <w:tc>
          <w:tcPr>
            <w:tcW w:w="0" w:type="auto"/>
          </w:tcPr>
          <w:p w14:paraId="111F8592" w14:textId="77777777" w:rsidR="005375C0" w:rsidRDefault="00000000">
            <w:r>
              <w:t>Modular extensions (native code).</w:t>
            </w:r>
          </w:p>
        </w:tc>
        <w:tc>
          <w:tcPr>
            <w:tcW w:w="0" w:type="auto"/>
          </w:tcPr>
          <w:p w14:paraId="0153EBD0" w14:textId="77777777" w:rsidR="005375C0" w:rsidRDefault="00000000">
            <w:r>
              <w:t>SIEM plugin for custom threat intel parsing.</w:t>
            </w:r>
          </w:p>
        </w:tc>
      </w:tr>
    </w:tbl>
    <w:p w14:paraId="51BCF455" w14:textId="77777777" w:rsidR="005375C0" w:rsidRDefault="00000000">
      <w:pPr>
        <w:pStyle w:val="ListParagraph"/>
        <w:numPr>
          <w:ilvl w:val="0"/>
          <w:numId w:val="1"/>
        </w:numPr>
      </w:pPr>
      <w:r>
        <w:rPr>
          <w:b/>
          <w:bCs/>
        </w:rPr>
        <w:t>Benefits</w:t>
      </w:r>
      <w:r>
        <w:t>: Single workflow (e.g., vuln scan → SOAR → ticket); reduces silos.</w:t>
      </w:r>
    </w:p>
    <w:p w14:paraId="58F633B6" w14:textId="77777777" w:rsidR="005375C0" w:rsidRDefault="00000000">
      <w:pPr>
        <w:pStyle w:val="ListParagraph"/>
        <w:numPr>
          <w:ilvl w:val="0"/>
          <w:numId w:val="1"/>
        </w:numPr>
      </w:pPr>
      <w:r>
        <w:rPr>
          <w:b/>
          <w:bCs/>
        </w:rPr>
        <w:t>Challenges</w:t>
      </w:r>
      <w:r>
        <w:t>: API versioning, auth (OAuth/JWT), rate limits.</w:t>
      </w:r>
    </w:p>
    <w:p w14:paraId="782AB291" w14:textId="77777777" w:rsidR="005375C0" w:rsidRDefault="00000000">
      <w:pPr>
        <w:pStyle w:val="ListParagraph"/>
        <w:numPr>
          <w:ilvl w:val="0"/>
          <w:numId w:val="1"/>
        </w:numPr>
      </w:pPr>
      <w:r>
        <w:rPr>
          <w:b/>
          <w:bCs/>
        </w:rPr>
        <w:t>Best Practices</w:t>
      </w:r>
      <w:r>
        <w:t>: Use standards (SCAP); test integrations; monitor for failures.</w:t>
      </w:r>
    </w:p>
    <w:p w14:paraId="191162A2" w14:textId="77777777" w:rsidR="005375C0" w:rsidRDefault="00000000">
      <w:r>
        <w:rPr>
          <w:b/>
          <w:bCs/>
        </w:rPr>
        <w:t>Exam Tip</w:t>
      </w:r>
      <w:r>
        <w:t>: Identify integration types (e.g., "Webhook for real-time alert push?").</w:t>
      </w:r>
    </w:p>
    <w:p w14:paraId="4B01A15D" w14:textId="77777777" w:rsidR="005375C0" w:rsidRDefault="00000000">
      <w:pPr>
        <w:pStyle w:val="Heading2"/>
      </w:pPr>
      <w:r>
        <w:t>Single Pane of Glass</w:t>
      </w:r>
    </w:p>
    <w:p w14:paraId="189855B0" w14:textId="77777777" w:rsidR="005375C0" w:rsidRDefault="00000000">
      <w:r>
        <w:t>Unified dashboard aggregating data/tools for holistic visibility (e.g., SIEM + SOAR dashboard).</w:t>
      </w:r>
    </w:p>
    <w:p w14:paraId="271BFFCE" w14:textId="77777777" w:rsidR="005375C0" w:rsidRDefault="00000000">
      <w:pPr>
        <w:pStyle w:val="ListParagraph"/>
        <w:numPr>
          <w:ilvl w:val="0"/>
          <w:numId w:val="1"/>
        </w:numPr>
      </w:pPr>
      <w:r>
        <w:rPr>
          <w:b/>
          <w:bCs/>
        </w:rPr>
        <w:t>Benefits</w:t>
      </w:r>
      <w:r>
        <w:t>:</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59"/>
        <w:gridCol w:w="2181"/>
      </w:tblGrid>
      <w:tr w:rsidR="005375C0" w14:paraId="51597091" w14:textId="77777777">
        <w:tblPrEx>
          <w:tblCellMar>
            <w:top w:w="0" w:type="dxa"/>
            <w:bottom w:w="0" w:type="dxa"/>
          </w:tblCellMar>
        </w:tblPrEx>
        <w:tc>
          <w:tcPr>
            <w:tcW w:w="0" w:type="auto"/>
          </w:tcPr>
          <w:p w14:paraId="78314485" w14:textId="77777777" w:rsidR="005375C0" w:rsidRDefault="00000000">
            <w:r>
              <w:t>Aspect</w:t>
            </w:r>
          </w:p>
        </w:tc>
        <w:tc>
          <w:tcPr>
            <w:tcW w:w="0" w:type="auto"/>
          </w:tcPr>
          <w:p w14:paraId="151E957C" w14:textId="77777777" w:rsidR="005375C0" w:rsidRDefault="00000000">
            <w:r>
              <w:t>Improvement</w:t>
            </w:r>
          </w:p>
        </w:tc>
      </w:tr>
      <w:tr w:rsidR="005375C0" w14:paraId="3ED46E5A" w14:textId="77777777">
        <w:tblPrEx>
          <w:tblCellMar>
            <w:top w:w="0" w:type="dxa"/>
            <w:bottom w:w="0" w:type="dxa"/>
          </w:tblCellMar>
        </w:tblPrEx>
        <w:tc>
          <w:tcPr>
            <w:tcW w:w="0" w:type="auto"/>
          </w:tcPr>
          <w:p w14:paraId="6F403F31" w14:textId="77777777" w:rsidR="005375C0" w:rsidRDefault="00000000">
            <w:r>
              <w:t>Visibility</w:t>
            </w:r>
          </w:p>
        </w:tc>
        <w:tc>
          <w:tcPr>
            <w:tcW w:w="0" w:type="auto"/>
          </w:tcPr>
          <w:p w14:paraId="0EC536CF" w14:textId="77777777" w:rsidR="005375C0" w:rsidRDefault="00000000">
            <w:r>
              <w:t>All alerts/logs in one view.</w:t>
            </w:r>
          </w:p>
        </w:tc>
      </w:tr>
      <w:tr w:rsidR="005375C0" w14:paraId="12D41522" w14:textId="77777777">
        <w:tblPrEx>
          <w:tblCellMar>
            <w:top w:w="0" w:type="dxa"/>
            <w:bottom w:w="0" w:type="dxa"/>
          </w:tblCellMar>
        </w:tblPrEx>
        <w:tc>
          <w:tcPr>
            <w:tcW w:w="0" w:type="auto"/>
          </w:tcPr>
          <w:p w14:paraId="769A53A6" w14:textId="77777777" w:rsidR="005375C0" w:rsidRDefault="00000000">
            <w:r>
              <w:t>Response Time</w:t>
            </w:r>
          </w:p>
        </w:tc>
        <w:tc>
          <w:tcPr>
            <w:tcW w:w="0" w:type="auto"/>
          </w:tcPr>
          <w:p w14:paraId="19880928" w14:textId="77777777" w:rsidR="005375C0" w:rsidRDefault="00000000">
            <w:r>
              <w:t>Faster triage/decisions.</w:t>
            </w:r>
          </w:p>
        </w:tc>
      </w:tr>
      <w:tr w:rsidR="005375C0" w14:paraId="29C6903A" w14:textId="77777777">
        <w:tblPrEx>
          <w:tblCellMar>
            <w:top w:w="0" w:type="dxa"/>
            <w:bottom w:w="0" w:type="dxa"/>
          </w:tblCellMar>
        </w:tblPrEx>
        <w:tc>
          <w:tcPr>
            <w:tcW w:w="0" w:type="auto"/>
          </w:tcPr>
          <w:p w14:paraId="6D3B6568" w14:textId="77777777" w:rsidR="005375C0" w:rsidRDefault="00000000">
            <w:r>
              <w:t>Efficiency</w:t>
            </w:r>
          </w:p>
        </w:tc>
        <w:tc>
          <w:tcPr>
            <w:tcW w:w="0" w:type="auto"/>
          </w:tcPr>
          <w:p w14:paraId="1AAE3F7E" w14:textId="77777777" w:rsidR="005375C0" w:rsidRDefault="00000000">
            <w:r>
              <w:t>Reduces tool-switching.</w:t>
            </w:r>
          </w:p>
        </w:tc>
      </w:tr>
      <w:tr w:rsidR="005375C0" w14:paraId="7123D5BC" w14:textId="77777777">
        <w:tblPrEx>
          <w:tblCellMar>
            <w:top w:w="0" w:type="dxa"/>
            <w:bottom w:w="0" w:type="dxa"/>
          </w:tblCellMar>
        </w:tblPrEx>
        <w:tc>
          <w:tcPr>
            <w:tcW w:w="0" w:type="auto"/>
          </w:tcPr>
          <w:p w14:paraId="4197D78A" w14:textId="77777777" w:rsidR="005375C0" w:rsidRDefault="00000000">
            <w:r>
              <w:t>Collaboration</w:t>
            </w:r>
          </w:p>
        </w:tc>
        <w:tc>
          <w:tcPr>
            <w:tcW w:w="0" w:type="auto"/>
          </w:tcPr>
          <w:p w14:paraId="79349422" w14:textId="77777777" w:rsidR="005375C0" w:rsidRDefault="00000000">
            <w:r>
              <w:t>Shared context for teams.</w:t>
            </w:r>
          </w:p>
        </w:tc>
      </w:tr>
    </w:tbl>
    <w:p w14:paraId="06CB7108" w14:textId="77777777" w:rsidR="005375C0" w:rsidRDefault="00000000">
      <w:pPr>
        <w:pStyle w:val="ListParagraph"/>
        <w:numPr>
          <w:ilvl w:val="0"/>
          <w:numId w:val="1"/>
        </w:numPr>
      </w:pPr>
      <w:r>
        <w:rPr>
          <w:b/>
          <w:bCs/>
        </w:rPr>
        <w:t>Implementation</w:t>
      </w:r>
      <w:r>
        <w:t>: Integrate via APIs/webhooks; customize dashboards (KPIs, trends).</w:t>
      </w:r>
    </w:p>
    <w:p w14:paraId="45BBEA64" w14:textId="77777777" w:rsidR="005375C0" w:rsidRDefault="00000000">
      <w:pPr>
        <w:pStyle w:val="ListParagraph"/>
        <w:numPr>
          <w:ilvl w:val="0"/>
          <w:numId w:val="1"/>
        </w:numPr>
      </w:pPr>
      <w:r>
        <w:rPr>
          <w:b/>
          <w:bCs/>
        </w:rPr>
        <w:t>Examples</w:t>
      </w:r>
      <w:r>
        <w:t>: Splunk ES, Elastic SIEM.</w:t>
      </w:r>
    </w:p>
    <w:p w14:paraId="551BD7CB" w14:textId="77777777" w:rsidR="005375C0" w:rsidRDefault="00000000">
      <w:r>
        <w:rPr>
          <w:b/>
          <w:bCs/>
        </w:rPr>
        <w:t>Exam Tip</w:t>
      </w:r>
      <w:r>
        <w:t>: "Single pane of glass" = centralized monitoring (e.g., "Unified view for SOC?").</w:t>
      </w:r>
    </w:p>
    <w:p w14:paraId="28325BF1" w14:textId="77777777" w:rsidR="005375C0" w:rsidRDefault="00000000">
      <w:pPr>
        <w:pStyle w:val="Heading2"/>
      </w:pPr>
      <w:r>
        <w:t>Exam Preparation Tips for Domain 1.5</w:t>
      </w:r>
    </w:p>
    <w:p w14:paraId="2EFDF42F" w14:textId="77777777" w:rsidR="005375C0" w:rsidRDefault="00000000">
      <w:pPr>
        <w:pStyle w:val="ListParagraph"/>
        <w:numPr>
          <w:ilvl w:val="0"/>
          <w:numId w:val="1"/>
        </w:numPr>
      </w:pPr>
      <w:r>
        <w:rPr>
          <w:b/>
          <w:bCs/>
        </w:rPr>
        <w:t>Key Themes</w:t>
      </w:r>
      <w:r>
        <w:t>: Automation reduces fatigue/errors; standardization ensures consistency; integration/orchestration scales ops.</w:t>
      </w:r>
    </w:p>
    <w:p w14:paraId="5F8D7B6D" w14:textId="77777777" w:rsidR="005375C0" w:rsidRDefault="00000000">
      <w:pPr>
        <w:pStyle w:val="ListParagraph"/>
        <w:numPr>
          <w:ilvl w:val="0"/>
          <w:numId w:val="1"/>
        </w:numPr>
      </w:pPr>
      <w:r>
        <w:rPr>
          <w:b/>
          <w:bCs/>
        </w:rPr>
        <w:t>Practice Scenarios</w:t>
      </w:r>
      <w:r>
        <w:t>: 1. Automatable task? (Ans: Repeatable log parsing.) 2. SOAR benefit? (Ans: Orchestrate vuln scan → auto-remediate low-risk.) 3. Single pane? (Ans: SIEM dashboard with API-fed threat intel.)</w:t>
      </w:r>
    </w:p>
    <w:p w14:paraId="51C4E1F5" w14:textId="77777777" w:rsidR="005375C0" w:rsidRDefault="00000000">
      <w:pPr>
        <w:pStyle w:val="ListParagraph"/>
        <w:numPr>
          <w:ilvl w:val="0"/>
          <w:numId w:val="1"/>
        </w:numPr>
      </w:pPr>
      <w:r>
        <w:rPr>
          <w:b/>
          <w:bCs/>
        </w:rPr>
        <w:lastRenderedPageBreak/>
        <w:t>Mnemonics</w:t>
      </w:r>
      <w:r>
        <w:t>: "STAR" (Standardize, Team coord, Automate/Orchestrate, Reduce engagement); "API Web Plugins Glass" for integration.</w:t>
      </w:r>
    </w:p>
    <w:p w14:paraId="091D5A49" w14:textId="77777777" w:rsidR="005375C0" w:rsidRDefault="00000000">
      <w:pPr>
        <w:pStyle w:val="ListParagraph"/>
        <w:numPr>
          <w:ilvl w:val="0"/>
          <w:numId w:val="1"/>
        </w:numPr>
      </w:pPr>
      <w:r>
        <w:rPr>
          <w:b/>
          <w:bCs/>
        </w:rPr>
        <w:t>Study Drills</w:t>
      </w:r>
      <w:r>
        <w:t>: List 5 automatable tasks; diagram SOAR workflow; compare SIEM vs. SOAR.</w:t>
      </w:r>
    </w:p>
    <w:p w14:paraId="461D53AC" w14:textId="77777777" w:rsidR="005375C0" w:rsidRDefault="00000000">
      <w:r>
        <w:rPr>
          <w:b/>
          <w:bCs/>
        </w:rPr>
        <w:t>Final Review</w:t>
      </w:r>
      <w:r>
        <w:t>: Focus on why efficiency matters (scale threats, limited resources) and how tools enable it. Practice explaining benefits with examples.</w:t>
      </w:r>
    </w:p>
    <w:sectPr w:rsidR="005375C0">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Inter Fallback">
    <w:altName w:val="Cambria"/>
    <w:panose1 w:val="020B0604020202020204"/>
    <w:charset w:val="00"/>
    <w:family w:val="roman"/>
    <w:notTrueType/>
    <w:pitch w:val="default"/>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BB3379"/>
    <w:multiLevelType w:val="hybridMultilevel"/>
    <w:tmpl w:val="C9184E16"/>
    <w:lvl w:ilvl="0" w:tplc="20B2C806">
      <w:start w:val="1"/>
      <w:numFmt w:val="decimal"/>
      <w:lvlText w:val="%1."/>
      <w:lvlJc w:val="left"/>
    </w:lvl>
    <w:lvl w:ilvl="1" w:tplc="4AF06660">
      <w:start w:val="1"/>
      <w:numFmt w:val="decimal"/>
      <w:lvlText w:val="%2."/>
      <w:lvlJc w:val="left"/>
      <w:pPr>
        <w:ind w:left="720"/>
      </w:pPr>
    </w:lvl>
    <w:lvl w:ilvl="2" w:tplc="CF22E462">
      <w:start w:val="1"/>
      <w:numFmt w:val="decimal"/>
      <w:lvlText w:val="%3."/>
      <w:lvlJc w:val="left"/>
      <w:pPr>
        <w:ind w:left="1440"/>
      </w:pPr>
    </w:lvl>
    <w:lvl w:ilvl="3" w:tplc="380200A4">
      <w:start w:val="1"/>
      <w:numFmt w:val="decimal"/>
      <w:lvlText w:val="%4."/>
      <w:lvlJc w:val="left"/>
      <w:pPr>
        <w:ind w:left="2160"/>
      </w:pPr>
    </w:lvl>
    <w:lvl w:ilvl="4" w:tplc="DAAC74A4">
      <w:start w:val="1"/>
      <w:numFmt w:val="decimal"/>
      <w:lvlText w:val="%5."/>
      <w:lvlJc w:val="left"/>
      <w:pPr>
        <w:ind w:left="2880"/>
      </w:pPr>
    </w:lvl>
    <w:lvl w:ilvl="5" w:tplc="43C2EAFA">
      <w:start w:val="1"/>
      <w:numFmt w:val="decimal"/>
      <w:lvlText w:val="%6."/>
      <w:lvlJc w:val="left"/>
      <w:pPr>
        <w:ind w:left="3600"/>
      </w:pPr>
    </w:lvl>
    <w:lvl w:ilvl="6" w:tplc="2D86CEAA">
      <w:numFmt w:val="decimal"/>
      <w:lvlText w:val=""/>
      <w:lvlJc w:val="left"/>
    </w:lvl>
    <w:lvl w:ilvl="7" w:tplc="F0D23BDC">
      <w:numFmt w:val="decimal"/>
      <w:lvlText w:val=""/>
      <w:lvlJc w:val="left"/>
    </w:lvl>
    <w:lvl w:ilvl="8" w:tplc="C5EEEEFA">
      <w:numFmt w:val="decimal"/>
      <w:lvlText w:val=""/>
      <w:lvlJc w:val="left"/>
    </w:lvl>
  </w:abstractNum>
  <w:abstractNum w:abstractNumId="1" w15:restartNumberingAfterBreak="0">
    <w:nsid w:val="50911856"/>
    <w:multiLevelType w:val="hybridMultilevel"/>
    <w:tmpl w:val="A8540FF6"/>
    <w:lvl w:ilvl="0" w:tplc="BD723E98">
      <w:start w:val="1"/>
      <w:numFmt w:val="bullet"/>
      <w:lvlText w:val="●"/>
      <w:lvlJc w:val="left"/>
      <w:pPr>
        <w:ind w:left="720" w:hanging="360"/>
      </w:pPr>
    </w:lvl>
    <w:lvl w:ilvl="1" w:tplc="CF72CC34">
      <w:start w:val="1"/>
      <w:numFmt w:val="bullet"/>
      <w:lvlText w:val="○"/>
      <w:lvlJc w:val="left"/>
      <w:pPr>
        <w:ind w:left="1440" w:hanging="360"/>
      </w:pPr>
    </w:lvl>
    <w:lvl w:ilvl="2" w:tplc="87C4D332">
      <w:start w:val="1"/>
      <w:numFmt w:val="bullet"/>
      <w:lvlText w:val="■"/>
      <w:lvlJc w:val="left"/>
      <w:pPr>
        <w:ind w:left="2160" w:hanging="360"/>
      </w:pPr>
    </w:lvl>
    <w:lvl w:ilvl="3" w:tplc="DAFECD38">
      <w:start w:val="1"/>
      <w:numFmt w:val="bullet"/>
      <w:lvlText w:val="●"/>
      <w:lvlJc w:val="left"/>
      <w:pPr>
        <w:ind w:left="2880" w:hanging="360"/>
      </w:pPr>
    </w:lvl>
    <w:lvl w:ilvl="4" w:tplc="88F47498">
      <w:start w:val="1"/>
      <w:numFmt w:val="bullet"/>
      <w:lvlText w:val="○"/>
      <w:lvlJc w:val="left"/>
      <w:pPr>
        <w:ind w:left="3600" w:hanging="360"/>
      </w:pPr>
    </w:lvl>
    <w:lvl w:ilvl="5" w:tplc="7564FE08">
      <w:start w:val="1"/>
      <w:numFmt w:val="bullet"/>
      <w:lvlText w:val="■"/>
      <w:lvlJc w:val="left"/>
      <w:pPr>
        <w:ind w:left="4320" w:hanging="360"/>
      </w:pPr>
    </w:lvl>
    <w:lvl w:ilvl="6" w:tplc="FBA46A92">
      <w:start w:val="1"/>
      <w:numFmt w:val="bullet"/>
      <w:lvlText w:val="●"/>
      <w:lvlJc w:val="left"/>
      <w:pPr>
        <w:ind w:left="5040" w:hanging="360"/>
      </w:pPr>
    </w:lvl>
    <w:lvl w:ilvl="7" w:tplc="E6DAC03E">
      <w:start w:val="1"/>
      <w:numFmt w:val="bullet"/>
      <w:lvlText w:val="●"/>
      <w:lvlJc w:val="left"/>
      <w:pPr>
        <w:ind w:left="5760" w:hanging="360"/>
      </w:pPr>
    </w:lvl>
    <w:lvl w:ilvl="8" w:tplc="B8CCD984">
      <w:start w:val="1"/>
      <w:numFmt w:val="bullet"/>
      <w:lvlText w:val="●"/>
      <w:lvlJc w:val="left"/>
      <w:pPr>
        <w:ind w:left="6480" w:hanging="360"/>
      </w:pPr>
    </w:lvl>
  </w:abstractNum>
  <w:abstractNum w:abstractNumId="2" w15:restartNumberingAfterBreak="0">
    <w:nsid w:val="77AE1C89"/>
    <w:multiLevelType w:val="multilevel"/>
    <w:tmpl w:val="E9F89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605692806">
    <w:abstractNumId w:val="1"/>
    <w:lvlOverride w:ilvl="0">
      <w:startOverride w:val="1"/>
    </w:lvlOverride>
  </w:num>
  <w:num w:numId="2" w16cid:durableId="144338174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4"/>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75C0"/>
    <w:rsid w:val="0005768F"/>
    <w:rsid w:val="005375C0"/>
    <w:rsid w:val="00633A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C288FC3"/>
  <w15:docId w15:val="{37BAD7F2-7CD7-3F47-8717-B0A332BFED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pPr>
        <w:spacing w:before="240" w:after="1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pPr>
      <w:spacing w:before="0" w:after="0"/>
    </w:pPr>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pPr>
  </w:style>
  <w:style w:type="character" w:customStyle="1" w:styleId="FootnoteTextChar">
    <w:name w:val="Footnote Text Char"/>
    <w:link w:val="FootnoteText"/>
    <w:uiPriority w:val="99"/>
    <w:semiHidden/>
    <w:unhideWhenUsed/>
    <w:rPr>
      <w:sz w:val="20"/>
      <w:szCs w:val="20"/>
    </w:rPr>
  </w:style>
  <w:style w:type="paragraph" w:customStyle="1" w:styleId="leading-relaxed">
    <w:name w:val="leading-relaxed"/>
    <w:basedOn w:val="Normal"/>
    <w:rsid w:val="0005768F"/>
    <w:pPr>
      <w:spacing w:before="100" w:beforeAutospacing="1" w:after="100" w:afterAutospacing="1"/>
    </w:pPr>
    <w:rPr>
      <w:sz w:val="24"/>
      <w:szCs w:val="24"/>
    </w:rPr>
  </w:style>
  <w:style w:type="character" w:styleId="Strong">
    <w:name w:val="Strong"/>
    <w:basedOn w:val="DefaultParagraphFont"/>
    <w:uiPriority w:val="22"/>
    <w:qFormat/>
    <w:rsid w:val="0005768F"/>
    <w:rPr>
      <w:b/>
      <w:bCs/>
    </w:rPr>
  </w:style>
  <w:style w:type="character" w:styleId="Emphasis">
    <w:name w:val="Emphasis"/>
    <w:basedOn w:val="DefaultParagraphFont"/>
    <w:uiPriority w:val="20"/>
    <w:qFormat/>
    <w:rsid w:val="0005768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4</Pages>
  <Words>915</Words>
  <Characters>6071</Characters>
  <Application>Microsoft Office Word</Application>
  <DocSecurity>0</DocSecurity>
  <Lines>155</Lines>
  <Paragraphs>122</Paragraphs>
  <ScaleCrop>false</ScaleCrop>
  <Company/>
  <LinksUpToDate>false</LinksUpToDate>
  <CharactersWithSpaces>6864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Brandon Bassett</cp:lastModifiedBy>
  <cp:revision>2</cp:revision>
  <dcterms:created xsi:type="dcterms:W3CDTF">2026-03-27T20:19:00Z</dcterms:created>
  <dcterms:modified xsi:type="dcterms:W3CDTF">2026-03-27T20:19:00Z</dcterms:modified>
</cp:coreProperties>
</file>