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6324A"/>
          <w:sz w:val="42"/>
          <w:szCs w:val="42"/>
        </w:rPr>
        <w:t xml:space="preserve">SOC 2 Type II</w:t>
      </w:r>
    </w:p>
    <w:p>
      <w:pPr>
        <w:spacing w:after="300"/>
        <w:jc w:val="center"/>
      </w:pPr>
      <w:r>
        <w:rPr>
          <w:b/>
          <w:bCs/>
          <w:color w:val="008F83"/>
          <w:sz w:val="34"/>
          <w:szCs w:val="34"/>
        </w:rPr>
        <w:t xml:space="preserve">Consultant Implementation Guide</w:t>
      </w:r>
    </w:p>
    <w:p>
      <w:pPr>
        <w:spacing w:after="120"/>
      </w:pPr>
      <w:r>
        <w:rPr>
          <w:b w:val="false"/>
          <w:bCs w:val="false"/>
          <w:i/>
          <w:iCs/>
          <w:color w:val="5B6573"/>
        </w:rPr>
        <w:t xml:space="preserve">For readiness implementation, evidence verification, and auditor handoff</w:t>
      </w:r>
    </w:p>
    <w:p>
      <w:pPr>
        <w:spacing w:after="120"/>
      </w:pPr>
      <w:r>
        <w:rPr>
          <w:b/>
          <w:bCs/>
          <w:i w:val="false"/>
          <w:iCs w:val="false"/>
          <w:color w:val="000000"/>
        </w:rPr>
        <w:t xml:space="preserve">CPF Coaching LLC | Version 1.0 | September 2026</w:t>
      </w:r>
    </w:p>
    <w:p>
      <w:pPr>
        <w:spacing w:after="120"/>
      </w:pPr>
      <w:r>
        <w:rPr>
          <w:b w:val="false"/>
          <w:bCs w:val="false"/>
          <w:i w:val="false"/>
          <w:iCs w:val="false"/>
          <w:color w:val="000000"/>
        </w:rPr>
        <w:t xml:space="preserve">Planning use only. This guide is not an audit, attestation, legal opinion, or guarantee of readiness. Management owns the system description, controls, risk decisions, and assertion. The CPA firm defines the examination approach and makes the audit conclusion.</w:t>
      </w:r>
    </w:p>
    <w:p>
      <w:r>
        <w:br w:type="page"/>
      </w:r>
    </w:p>
    <w:p>
      <w:pPr>
        <w:pStyle w:val="Heading1"/>
      </w:pPr>
      <w:r>
        <w:t xml:space="preserve">How to use this guide</w:t>
      </w:r>
    </w:p>
    <w:p>
      <w:pPr>
        <w:spacing w:after="120"/>
      </w:pPr>
      <w:r>
        <w:rPr>
          <w:b w:val="false"/>
          <w:bCs w:val="false"/>
          <w:i w:val="false"/>
          <w:iCs w:val="false"/>
          <w:color w:val="000000"/>
        </w:rPr>
        <w:t xml:space="preserve">Use this guide for assessment items marked Missing or unknown, Planned, or Implemented. Keep an item below Verified evidence until every exit criterion passes.</w:t>
      </w:r>
    </w:p>
    <w:p>
      <w:pPr>
        <w:pStyle w:val="Heading2"/>
      </w:pPr>
      <w:r>
        <w:t xml:space="preserve">Non-negotiable engagement rules</w:t>
      </w:r>
    </w:p>
    <w:p>
      <w:pPr>
        <w:spacing w:after="120"/>
      </w:pPr>
      <w:r>
        <w:rPr>
          <w:b/>
          <w:bCs/>
          <w:i w:val="false"/>
          <w:iCs w:val="false"/>
          <w:color w:val="008F83"/>
        </w:rPr>
        <w:t xml:space="preserve">Management owns the control</w:t>
      </w:r>
    </w:p>
    <w:p>
      <w:pPr>
        <w:spacing w:after="120"/>
      </w:pPr>
      <w:r>
        <w:rPr>
          <w:b w:val="false"/>
          <w:bCs w:val="false"/>
          <w:i w:val="false"/>
          <w:iCs w:val="false"/>
          <w:color w:val="000000"/>
        </w:rPr>
        <w:t xml:space="preserve">The consultant may design, configure, coach, test readiness, and organize evidence. A named management owner must approve the control and remain accountable for operation.</w:t>
      </w:r>
    </w:p>
    <w:p>
      <w:pPr>
        <w:spacing w:after="120"/>
      </w:pPr>
      <w:r>
        <w:rPr>
          <w:b/>
          <w:bCs/>
          <w:i w:val="false"/>
          <w:iCs w:val="false"/>
          <w:color w:val="008F83"/>
        </w:rPr>
        <w:t xml:space="preserve">Do not backdate or manufacture evidence</w:t>
      </w:r>
    </w:p>
    <w:p>
      <w:pPr>
        <w:spacing w:after="120"/>
      </w:pPr>
      <w:r>
        <w:rPr>
          <w:b w:val="false"/>
          <w:bCs w:val="false"/>
          <w:i w:val="false"/>
          <w:iCs w:val="false"/>
          <w:color w:val="000000"/>
        </w:rPr>
        <w:t xml:space="preserve">If evidence does not exist, mark the control missing or implemented without verified evidence. Start clean operation and record the actual date.</w:t>
      </w:r>
    </w:p>
    <w:p>
      <w:pPr>
        <w:spacing w:after="120"/>
      </w:pPr>
      <w:r>
        <w:rPr>
          <w:b/>
          <w:bCs/>
          <w:i w:val="false"/>
          <w:iCs w:val="false"/>
          <w:color w:val="008F83"/>
        </w:rPr>
        <w:t xml:space="preserve">Preserve exceptions</w:t>
      </w:r>
    </w:p>
    <w:p>
      <w:pPr>
        <w:spacing w:after="120"/>
      </w:pPr>
      <w:r>
        <w:rPr>
          <w:b w:val="false"/>
          <w:bCs w:val="false"/>
          <w:i w:val="false"/>
          <w:iCs w:val="false"/>
          <w:color w:val="000000"/>
        </w:rPr>
        <w:t xml:space="preserve">Do not replace failed samples, remove inconvenient records, or hide missed control occurrences. Record impact, owner, decision, correction, and closure proof.</w:t>
      </w:r>
    </w:p>
    <w:p>
      <w:pPr>
        <w:spacing w:after="120"/>
      </w:pPr>
      <w:r>
        <w:rPr>
          <w:b/>
          <w:bCs/>
          <w:i w:val="false"/>
          <w:iCs w:val="false"/>
          <w:color w:val="008F83"/>
        </w:rPr>
        <w:t xml:space="preserve">Match the control to real work</w:t>
      </w:r>
    </w:p>
    <w:p>
      <w:pPr>
        <w:spacing w:after="120"/>
      </w:pPr>
      <w:r>
        <w:rPr>
          <w:b w:val="false"/>
          <w:bCs w:val="false"/>
          <w:i w:val="false"/>
          <w:iCs w:val="false"/>
          <w:color w:val="000000"/>
        </w:rPr>
        <w:t xml:space="preserve">The control description must reflect a process that people and systems can repeat. Do not write an ideal process that the organization does not operate.</w:t>
      </w:r>
    </w:p>
    <w:p>
      <w:pPr>
        <w:spacing w:after="120"/>
      </w:pPr>
      <w:r>
        <w:rPr>
          <w:b/>
          <w:bCs/>
          <w:i w:val="false"/>
          <w:iCs w:val="false"/>
          <w:color w:val="008F83"/>
        </w:rPr>
        <w:t xml:space="preserve">Use authoritative source evidence</w:t>
      </w:r>
    </w:p>
    <w:p>
      <w:pPr>
        <w:spacing w:after="120"/>
      </w:pPr>
      <w:r>
        <w:rPr>
          <w:b w:val="false"/>
          <w:bCs w:val="false"/>
          <w:i w:val="false"/>
          <w:iCs w:val="false"/>
          <w:color w:val="000000"/>
        </w:rPr>
        <w:t xml:space="preserve">Prefer system exports, approved records, tickets, logs, and signed review records. A screenshot needs the system, subject, date, actor, and relevant context.</w:t>
      </w:r>
    </w:p>
    <w:p>
      <w:pPr>
        <w:spacing w:after="120"/>
      </w:pPr>
      <w:r>
        <w:rPr>
          <w:b/>
          <w:bCs/>
          <w:i w:val="false"/>
          <w:iCs w:val="false"/>
          <w:color w:val="008F83"/>
        </w:rPr>
        <w:t xml:space="preserve">Prove population completeness</w:t>
      </w:r>
    </w:p>
    <w:p>
      <w:pPr>
        <w:spacing w:after="120"/>
      </w:pPr>
      <w:r>
        <w:rPr>
          <w:b w:val="false"/>
          <w:bCs w:val="false"/>
          <w:i w:val="false"/>
          <w:iCs w:val="false"/>
          <w:color w:val="000000"/>
        </w:rPr>
        <w:t xml:space="preserve">Record source, filters, time zone, date range, fields, extraction date, and reconciliation method for populations that may be sampled.</w:t>
      </w:r>
    </w:p>
    <w:p>
      <w:pPr>
        <w:spacing w:after="120"/>
      </w:pPr>
      <w:r>
        <w:rPr>
          <w:b/>
          <w:bCs/>
          <w:i w:val="false"/>
          <w:iCs w:val="false"/>
          <w:color w:val="008F83"/>
        </w:rPr>
        <w:t xml:space="preserve">Retain evidence for the full observation period</w:t>
      </w:r>
    </w:p>
    <w:p>
      <w:pPr>
        <w:spacing w:after="120"/>
      </w:pPr>
      <w:r>
        <w:rPr>
          <w:b w:val="false"/>
          <w:bCs w:val="false"/>
          <w:i w:val="false"/>
          <w:iCs w:val="false"/>
          <w:color w:val="000000"/>
        </w:rPr>
        <w:t xml:space="preserve">One recent sample does not prove that a recurring control operated throughout the period.</w:t>
      </w:r>
    </w:p>
    <w:p>
      <w:pPr>
        <w:spacing w:after="120"/>
      </w:pPr>
      <w:r>
        <w:rPr>
          <w:b/>
          <w:bCs/>
          <w:i w:val="false"/>
          <w:iCs w:val="false"/>
          <w:color w:val="008F83"/>
        </w:rPr>
        <w:t xml:space="preserve">Separate readiness from the audit conclusion</w:t>
      </w:r>
    </w:p>
    <w:p>
      <w:pPr>
        <w:spacing w:after="120"/>
      </w:pPr>
      <w:r>
        <w:rPr>
          <w:b w:val="false"/>
          <w:bCs w:val="false"/>
          <w:i w:val="false"/>
          <w:iCs w:val="false"/>
          <w:color w:val="000000"/>
        </w:rPr>
        <w:t xml:space="preserve">The consultant may label evidence ready for auditor review. Only the CPA firm determines sufficiency, sampling, exceptions, and the report opinion.</w:t>
      </w:r>
    </w:p>
    <w:p>
      <w:pPr>
        <w:spacing w:after="120"/>
      </w:pPr>
      <w:r>
        <w:rPr>
          <w:b/>
          <w:bCs/>
          <w:i w:val="false"/>
          <w:iCs w:val="false"/>
          <w:color w:val="008F83"/>
        </w:rPr>
        <w:t xml:space="preserve">Control access to evidence</w:t>
      </w:r>
    </w:p>
    <w:p>
      <w:pPr>
        <w:spacing w:after="120"/>
      </w:pPr>
      <w:r>
        <w:rPr>
          <w:b w:val="false"/>
          <w:bCs w:val="false"/>
          <w:i w:val="false"/>
          <w:iCs w:val="false"/>
          <w:color w:val="000000"/>
        </w:rPr>
        <w:t xml:space="preserve">Use an approved location with least privilege, stable naming, retention, and change history. Remove secrets and unrelated personal data from working copies.</w:t>
      </w:r>
    </w:p>
    <w:p>
      <w:pPr>
        <w:spacing w:after="120"/>
      </w:pPr>
      <w:r>
        <w:rPr>
          <w:b/>
          <w:bCs/>
          <w:i w:val="false"/>
          <w:iCs w:val="false"/>
          <w:color w:val="008F83"/>
        </w:rPr>
        <w:t xml:space="preserve">Escalate scope and independence conflicts</w:t>
      </w:r>
    </w:p>
    <w:p>
      <w:pPr>
        <w:spacing w:after="120"/>
      </w:pPr>
      <w:r>
        <w:rPr>
          <w:b w:val="false"/>
          <w:bCs w:val="false"/>
          <w:i w:val="false"/>
          <w:iCs w:val="false"/>
          <w:color w:val="000000"/>
        </w:rPr>
        <w:t xml:space="preserve">Send scope, category, subservice, commitment, and auditor independence questions to management and the CPA firm before work continues.</w:t>
      </w:r>
    </w:p>
    <w:p>
      <w:pPr>
        <w:pStyle w:val="Heading1"/>
        <w:pageBreakBefore/>
      </w:pPr>
      <w:r>
        <w:t xml:space="preserve">Assessment status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000"/>
        <w:gridCol w:w="2560"/>
      </w:tblGrid>
      <w:tr>
        <w:tc>
          <w:tcPr>
            <w:tcW w:type="dxa" w:w="15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Status</w:t>
            </w:r>
          </w:p>
        </w:tc>
        <w:tc>
          <w:tcPr>
            <w:tcW w:type="dxa" w:w="23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Minimum expectation</w:t>
            </w:r>
          </w:p>
        </w:tc>
        <w:tc>
          <w:tcPr>
            <w:tcW w:type="dxa" w:w="3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Consultant action</w:t>
            </w:r>
          </w:p>
        </w:tc>
        <w:tc>
          <w:tcPr>
            <w:tcW w:type="dxa" w:w="25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Promotion rule</w:t>
            </w:r>
          </w:p>
        </w:tc>
      </w:tr>
      <w:tr>
        <w:tc>
          <w:tcPr>
            <w:tcW w:type="dxa" w:w="15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Missing or unknown</w:t>
            </w:r>
          </w:p>
        </w:tc>
        <w:tc>
          <w:tcPr>
            <w:tcW w:type="dxa" w:w="23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No usable control, owner, scope, or evidence.</w:t>
            </w:r>
          </w:p>
        </w:tc>
        <w:tc>
          <w:tcPr>
            <w:tcW w:type="dxa" w:w="3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Confirm risk and scope. Define the control, owner, cadence, system, evidence, and due date.</w:t>
            </w:r>
          </w:p>
        </w:tc>
        <w:tc>
          <w:tcPr>
            <w:tcW w:type="dxa" w:w="25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Management approves the design and plan.</w:t>
            </w:r>
          </w:p>
        </w:tc>
      </w:tr>
      <w:tr>
        <w:tc>
          <w:tcPr>
            <w:tcW w:type="dxa" w:w="15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Planned</w:t>
            </w:r>
          </w:p>
        </w:tc>
        <w:tc>
          <w:tcPr>
            <w:tcW w:type="dxa" w:w="23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Design and owner are approved, but the control is not operating.</w:t>
            </w:r>
          </w:p>
        </w:tc>
        <w:tc>
          <w:tcPr>
            <w:tcW w:type="dxa" w:w="3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Configure the process, train operators, run a dry test, and correct defects.</w:t>
            </w:r>
          </w:p>
        </w:tc>
        <w:tc>
          <w:tcPr>
            <w:tcW w:type="dxa" w:w="25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The control operates in production on its effective date.</w:t>
            </w:r>
          </w:p>
        </w:tc>
      </w:tr>
      <w:tr>
        <w:tc>
          <w:tcPr>
            <w:tcW w:type="dxa" w:w="15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Implemented</w:t>
            </w:r>
          </w:p>
        </w:tc>
        <w:tc>
          <w:tcPr>
            <w:tcW w:type="dxa" w:w="23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The control operates, but history or evidence has not passed readiness review.</w:t>
            </w:r>
          </w:p>
        </w:tc>
        <w:tc>
          <w:tcPr>
            <w:tcW w:type="dxa" w:w="3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Collect actual occurrences. Test evidence and population completeness. Track exceptions.</w:t>
            </w:r>
          </w:p>
        </w:tc>
        <w:tc>
          <w:tcPr>
            <w:tcW w:type="dxa" w:w="25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All verified-evidence exit criteria pass.</w:t>
            </w:r>
          </w:p>
        </w:tc>
      </w:tr>
      <w:tr>
        <w:tc>
          <w:tcPr>
            <w:tcW w:type="dxa" w:w="15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Verified evidence</w:t>
            </w:r>
          </w:p>
        </w:tc>
        <w:tc>
          <w:tcPr>
            <w:tcW w:type="dxa" w:w="23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Evidence is complete, attributable, consistent with the control, and reviewed.</w:t>
            </w:r>
          </w:p>
        </w:tc>
        <w:tc>
          <w:tcPr>
            <w:tcW w:type="dxa" w:w="3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Lock the index, continue the cadence, and prepare the auditor handoff.</w:t>
            </w:r>
          </w:p>
        </w:tc>
        <w:tc>
          <w:tcPr>
            <w:tcW w:type="dxa" w:w="25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Ready for auditor review. This is not an audit conclusion.</w:t>
            </w:r>
          </w:p>
        </w:tc>
      </w:tr>
    </w:tbl>
    <w:p>
      <w:pPr>
        <w:pStyle w:val="Heading1"/>
        <w:pageBreakBefore/>
      </w:pPr>
      <w:r>
        <w:t xml:space="preserve">Seven-step implementation workflow</w:t>
      </w:r>
    </w:p>
    <w:p>
      <w:pPr>
        <w:pStyle w:val="Heading2"/>
      </w:pPr>
      <w:r>
        <w:t xml:space="preserve">Verified-evidence exit criteria</w:t>
      </w:r>
    </w:p>
    <w:p>
      <w:pPr>
        <w:pStyle w:val="ListParagraph"/>
        <w:numPr>
          <w:ilvl w:val="0"/>
          <w:numId w:val="2"/>
        </w:numPr>
      </w:pPr>
      <w:r>
        <w:t xml:space="preserve">Control owner and operator are named.</w:t>
      </w:r>
    </w:p>
    <w:p>
      <w:pPr>
        <w:pStyle w:val="ListParagraph"/>
        <w:numPr>
          <w:ilvl w:val="0"/>
          <w:numId w:val="2"/>
        </w:numPr>
      </w:pPr>
      <w:r>
        <w:t xml:space="preserve">Control wording matches actual operation.</w:t>
      </w:r>
    </w:p>
    <w:p>
      <w:pPr>
        <w:pStyle w:val="ListParagraph"/>
        <w:numPr>
          <w:ilvl w:val="0"/>
          <w:numId w:val="2"/>
        </w:numPr>
      </w:pPr>
      <w:r>
        <w:t xml:space="preserve">Effective date and cadence are recorded.</w:t>
      </w:r>
    </w:p>
    <w:p>
      <w:pPr>
        <w:pStyle w:val="ListParagraph"/>
        <w:numPr>
          <w:ilvl w:val="0"/>
          <w:numId w:val="2"/>
        </w:numPr>
      </w:pPr>
      <w:r>
        <w:t xml:space="preserve">Source system and evidence location are controlled.</w:t>
      </w:r>
    </w:p>
    <w:p>
      <w:pPr>
        <w:pStyle w:val="ListParagraph"/>
        <w:numPr>
          <w:ilvl w:val="0"/>
          <w:numId w:val="2"/>
        </w:numPr>
      </w:pPr>
      <w:r>
        <w:t xml:space="preserve">Evidence identifies subject, actor, reviewer, date, and result.</w:t>
      </w:r>
    </w:p>
    <w:p>
      <w:pPr>
        <w:pStyle w:val="ListParagraph"/>
        <w:numPr>
          <w:ilvl w:val="0"/>
          <w:numId w:val="2"/>
        </w:numPr>
      </w:pPr>
      <w:r>
        <w:t xml:space="preserve">The full population is reproducible when sampling may apply.</w:t>
      </w:r>
    </w:p>
    <w:p>
      <w:pPr>
        <w:pStyle w:val="ListParagraph"/>
        <w:numPr>
          <w:ilvl w:val="0"/>
          <w:numId w:val="2"/>
        </w:numPr>
      </w:pPr>
      <w:r>
        <w:t xml:space="preserve">Evidence exists for required occurrences in the period.</w:t>
      </w:r>
    </w:p>
    <w:p>
      <w:pPr>
        <w:pStyle w:val="ListParagraph"/>
        <w:numPr>
          <w:ilvl w:val="0"/>
          <w:numId w:val="2"/>
        </w:numPr>
      </w:pPr>
      <w:r>
        <w:t xml:space="preserve">Exceptions remain visible and have dispositions.</w:t>
      </w:r>
    </w:p>
    <w:p>
      <w:pPr>
        <w:pStyle w:val="ListParagraph"/>
        <w:numPr>
          <w:ilvl w:val="0"/>
          <w:numId w:val="2"/>
        </w:numPr>
      </w:pPr>
      <w:r>
        <w:t xml:space="preserve">Control changes are versioned and dated.</w:t>
      </w:r>
    </w:p>
    <w:p>
      <w:pPr>
        <w:pStyle w:val="ListParagraph"/>
        <w:numPr>
          <w:ilvl w:val="0"/>
          <w:numId w:val="2"/>
        </w:numPr>
      </w:pPr>
      <w:r>
        <w:t xml:space="preserve">The owner completed readiness review and sign-off.</w:t>
      </w:r>
    </w:p>
    <w:p>
      <w:pPr>
        <w:spacing w:after="120"/>
      </w:pPr>
      <w:r>
        <w:rPr>
          <w:b/>
          <w:bCs/>
          <w:i w:val="false"/>
          <w:iCs w:val="false"/>
          <w:color w:val="9C0006"/>
        </w:rPr>
        <w:t xml:space="preserve">Stop condition: If any criterion fails, keep the status at Implemented or lower. Record the exact missing proof and the next valid control occurrence that can produce it.</w:t>
      </w:r>
    </w:p>
    <w:p>
      <w:pPr>
        <w:spacing w:after="120"/>
      </w:pPr>
      <w:r>
        <w:rPr>
          <w:b/>
          <w:bCs/>
          <w:i w:val="false"/>
          <w:iCs w:val="false"/>
          <w:color w:val="9C0006"/>
        </w:rPr>
        <w:t xml:space="preserve">Never fix history by backdating approval, recreating records, altering exports, or performing a control today and claiming it operated earlier.</w:t>
      </w:r>
    </w:p>
    <w:p>
      <w:pPr>
        <w:pStyle w:val="Heading1"/>
        <w:pageBreakBefore/>
      </w:pPr>
      <w:r>
        <w:t xml:space="preserve">Scope and system description</w:t>
      </w:r>
    </w:p>
    <w:p>
      <w:pPr>
        <w:spacing w:after="120"/>
      </w:pPr>
      <w:r>
        <w:rPr>
          <w:b/>
          <w:bCs/>
          <w:i w:val="false"/>
          <w:iCs w:val="false"/>
          <w:color w:val="2F75B5"/>
        </w:rPr>
        <w:t xml:space="preserve">Foundational</w:t>
      </w:r>
    </w:p>
    <w:p>
      <w:pPr>
        <w:pStyle w:val="Heading2"/>
      </w:pPr>
      <w:r>
        <w:t xml:space="preserve">Implementation rule</w:t>
      </w:r>
    </w:p>
    <w:p>
      <w:pPr>
        <w:spacing w:after="120"/>
      </w:pPr>
      <w:r>
        <w:rPr>
          <w:b w:val="false"/>
          <w:bCs w:val="false"/>
          <w:i w:val="false"/>
          <w:iCs w:val="false"/>
          <w:color w:val="000000"/>
        </w:rPr>
        <w:t xml:space="preserve">Set the smallest defensible boundary that covers service commitments and risks. Identify infrastructure, software, people, procedures, data, locations, and material subservice organizations.</w:t>
      </w:r>
    </w:p>
    <w:p>
      <w:pPr>
        <w:pStyle w:val="Heading2"/>
      </w:pPr>
      <w:r>
        <w:t xml:space="preserve">Consultant procedure</w:t>
      </w:r>
    </w:p>
    <w:p>
      <w:pPr>
        <w:spacing w:after="120"/>
      </w:pPr>
      <w:r>
        <w:rPr>
          <w:b w:val="false"/>
          <w:bCs w:val="false"/>
          <w:i w:val="false"/>
          <w:iCs w:val="false"/>
          <w:color w:val="000000"/>
        </w:rPr>
        <w:t xml:space="preserve">Interview service owners. Trace customer data. Reconcile architecture, asset, vendor, and contract inventories. Draft the boundary and change log for management approval.</w:t>
      </w:r>
    </w:p>
    <w:p>
      <w:pPr>
        <w:pStyle w:val="Heading2"/>
      </w:pPr>
      <w:r>
        <w:t xml:space="preserve">Expected evidence</w:t>
      </w:r>
    </w:p>
    <w:p>
      <w:pPr>
        <w:spacing w:after="120"/>
      </w:pPr>
      <w:r>
        <w:rPr>
          <w:b w:val="false"/>
          <w:bCs w:val="false"/>
          <w:i w:val="false"/>
          <w:iCs w:val="false"/>
          <w:color w:val="000000"/>
        </w:rPr>
        <w:t xml:space="preserve">Approved scope statement, system description, diagrams, data flows, inventories, commitment register, boundary decisions, and dated change history.</w:t>
      </w:r>
    </w:p>
    <w:p>
      <w:pPr>
        <w:pStyle w:val="Heading2"/>
      </w:pPr>
      <w:r>
        <w:t xml:space="preserve">Exit criteria</w:t>
      </w:r>
    </w:p>
    <w:p>
      <w:pPr>
        <w:spacing w:after="120"/>
      </w:pPr>
      <w:r>
        <w:rPr>
          <w:b w:val="false"/>
          <w:bCs w:val="false"/>
          <w:i w:val="false"/>
          <w:iCs w:val="false"/>
          <w:color w:val="000000"/>
        </w:rPr>
        <w:t xml:space="preserve">Every material component has an owner and boundary decision. Documents agree with production. Management approves the description.</w:t>
      </w:r>
    </w:p>
    <w:p>
      <w:pPr>
        <w:pStyle w:val="Heading2"/>
      </w:pPr>
      <w:r>
        <w:t xml:space="preserve">Cadence expectation</w:t>
      </w:r>
    </w:p>
    <w:p>
      <w:pPr>
        <w:spacing w:after="120"/>
      </w:pPr>
      <w:r>
        <w:rPr>
          <w:b w:val="false"/>
          <w:bCs w:val="false"/>
          <w:i w:val="false"/>
          <w:iCs w:val="false"/>
          <w:color w:val="000000"/>
        </w:rPr>
        <w:t xml:space="preserve">Review at least annually and after a material product, infrastructure, location, vendor, data, or commitment change.</w:t>
      </w:r>
    </w:p>
    <w:p>
      <w:pPr>
        <w:pStyle w:val="Heading1"/>
        <w:pageBreakBefore/>
      </w:pPr>
      <w:r>
        <w:t xml:space="preserve">Governance and risk management</w:t>
      </w:r>
    </w:p>
    <w:p>
      <w:pPr>
        <w:spacing w:after="120"/>
      </w:pPr>
      <w:r>
        <w:rPr>
          <w:b/>
          <w:bCs/>
          <w:i w:val="false"/>
          <w:iCs w:val="false"/>
          <w:color w:val="2F75B5"/>
        </w:rPr>
        <w:t xml:space="preserve">CC1, CC2, CC3, CC4, CC5, CC9</w:t>
      </w:r>
    </w:p>
    <w:p>
      <w:pPr>
        <w:pStyle w:val="Heading2"/>
      </w:pPr>
      <w:r>
        <w:t xml:space="preserve">Implementation rule</w:t>
      </w:r>
    </w:p>
    <w:p>
      <w:pPr>
        <w:spacing w:after="120"/>
      </w:pPr>
      <w:r>
        <w:rPr>
          <w:b w:val="false"/>
          <w:bCs w:val="false"/>
          <w:i w:val="false"/>
          <w:iCs w:val="false"/>
          <w:color w:val="000000"/>
        </w:rPr>
        <w:t xml:space="preserve">Assign accountability, communicate requirements, assess risks, monitor controls, and correct deficiencies through a documented governance process.</w:t>
      </w:r>
    </w:p>
    <w:p>
      <w:pPr>
        <w:pStyle w:val="Heading2"/>
      </w:pPr>
      <w:r>
        <w:t xml:space="preserve">Consultant procedure</w:t>
      </w:r>
    </w:p>
    <w:p>
      <w:pPr>
        <w:spacing w:after="120"/>
      </w:pPr>
      <w:r>
        <w:rPr>
          <w:b w:val="false"/>
          <w:bCs w:val="false"/>
          <w:i w:val="false"/>
          <w:iCs w:val="false"/>
          <w:color w:val="000000"/>
        </w:rPr>
        <w:t xml:space="preserve">Build the responsibility matrix, risk register, policy register, control inventory, exception log, and management review agenda. Coach owners but do not accept risk for them.</w:t>
      </w:r>
    </w:p>
    <w:p>
      <w:pPr>
        <w:pStyle w:val="Heading2"/>
      </w:pPr>
      <w:r>
        <w:t xml:space="preserve">Expected evidence</w:t>
      </w:r>
    </w:p>
    <w:p>
      <w:pPr>
        <w:spacing w:after="120"/>
      </w:pPr>
      <w:r>
        <w:rPr>
          <w:b w:val="false"/>
          <w:bCs w:val="false"/>
          <w:i w:val="false"/>
          <w:iCs w:val="false"/>
          <w:color w:val="000000"/>
        </w:rPr>
        <w:t xml:space="preserve">Approved policies, risk assessment, treatment decisions, minutes, metrics, acknowledgements, training records, findings, tickets, and closure approvals.</w:t>
      </w:r>
    </w:p>
    <w:p>
      <w:pPr>
        <w:pStyle w:val="Heading2"/>
      </w:pPr>
      <w:r>
        <w:t xml:space="preserve">Exit criteria</w:t>
      </w:r>
    </w:p>
    <w:p>
      <w:pPr>
        <w:spacing w:after="120"/>
      </w:pPr>
      <w:r>
        <w:rPr>
          <w:b w:val="false"/>
          <w:bCs w:val="false"/>
          <w:i w:val="false"/>
          <w:iCs w:val="false"/>
          <w:color w:val="000000"/>
        </w:rPr>
        <w:t xml:space="preserve">Policies and risks have owners and review dates. Decisions are recorded. Findings trace to closure. Oversight occurred at the defined cadence.</w:t>
      </w:r>
    </w:p>
    <w:p>
      <w:pPr>
        <w:pStyle w:val="Heading2"/>
      </w:pPr>
      <w:r>
        <w:t xml:space="preserve">Cadence expectation</w:t>
      </w:r>
    </w:p>
    <w:p>
      <w:pPr>
        <w:spacing w:after="120"/>
      </w:pPr>
      <w:r>
        <w:rPr>
          <w:b w:val="false"/>
          <w:bCs w:val="false"/>
          <w:i w:val="false"/>
          <w:iCs w:val="false"/>
          <w:color w:val="000000"/>
        </w:rPr>
        <w:t xml:space="preserve">Annual policy and risk review, periodic oversight, and event-driven updates. Confirm the actual cadence with management and the CPA firm.</w:t>
      </w:r>
    </w:p>
    <w:p>
      <w:pPr>
        <w:pStyle w:val="Heading1"/>
        <w:pageBreakBefore/>
      </w:pPr>
      <w:r>
        <w:t xml:space="preserve">Logical and physical access</w:t>
      </w:r>
    </w:p>
    <w:p>
      <w:pPr>
        <w:spacing w:after="120"/>
      </w:pPr>
      <w:r>
        <w:rPr>
          <w:b/>
          <w:bCs/>
          <w:i w:val="false"/>
          <w:iCs w:val="false"/>
          <w:color w:val="2F75B5"/>
        </w:rPr>
        <w:t xml:space="preserve">CC6</w:t>
      </w:r>
    </w:p>
    <w:p>
      <w:pPr>
        <w:pStyle w:val="Heading2"/>
      </w:pPr>
      <w:r>
        <w:t xml:space="preserve">Implementation rule</w:t>
      </w:r>
    </w:p>
    <w:p>
      <w:pPr>
        <w:spacing w:after="120"/>
      </w:pPr>
      <w:r>
        <w:rPr>
          <w:b w:val="false"/>
          <w:bCs w:val="false"/>
          <w:i w:val="false"/>
          <w:iCs w:val="false"/>
          <w:color w:val="000000"/>
        </w:rPr>
        <w:t xml:space="preserve">Authorize access before provision. Limit privilege. Protect authentication. Remove access promptly. Review access using complete system populations.</w:t>
      </w:r>
    </w:p>
    <w:p>
      <w:pPr>
        <w:pStyle w:val="Heading2"/>
      </w:pPr>
      <w:r>
        <w:t xml:space="preserve">Consultant procedure</w:t>
      </w:r>
    </w:p>
    <w:p>
      <w:pPr>
        <w:spacing w:after="120"/>
      </w:pPr>
      <w:r>
        <w:rPr>
          <w:b w:val="false"/>
          <w:bCs w:val="false"/>
          <w:i w:val="false"/>
          <w:iCs w:val="false"/>
          <w:color w:val="000000"/>
        </w:rPr>
        <w:t xml:space="preserve">Inventory identity sources and privileged roles. Define joiner, mover, and leaver triggers. Configure approvals and MFA. Run an access review and trace removals.</w:t>
      </w:r>
    </w:p>
    <w:p>
      <w:pPr>
        <w:pStyle w:val="Heading2"/>
      </w:pPr>
      <w:r>
        <w:t xml:space="preserve">Expected evidence</w:t>
      </w:r>
    </w:p>
    <w:p>
      <w:pPr>
        <w:spacing w:after="120"/>
      </w:pPr>
      <w:r>
        <w:rPr>
          <w:b w:val="false"/>
          <w:bCs w:val="false"/>
          <w:i w:val="false"/>
          <w:iCs w:val="false"/>
          <w:color w:val="000000"/>
        </w:rPr>
        <w:t xml:space="preserve">Requests, approvals, account records, MFA coverage, termination timestamps, role definitions, privileged lists, review decisions, removal tickets, and physical-access records.</w:t>
      </w:r>
    </w:p>
    <w:p>
      <w:pPr>
        <w:pStyle w:val="Heading2"/>
      </w:pPr>
      <w:r>
        <w:t xml:space="preserve">Exit criteria</w:t>
      </w:r>
    </w:p>
    <w:p>
      <w:pPr>
        <w:spacing w:after="120"/>
      </w:pPr>
      <w:r>
        <w:rPr>
          <w:b w:val="false"/>
          <w:bCs w:val="false"/>
          <w:i w:val="false"/>
          <w:iCs w:val="false"/>
          <w:color w:val="000000"/>
        </w:rPr>
        <w:t xml:space="preserve">Samples trace end to end. Terminations meet the target. Review populations reconcile to systems. Decisions and removals are visible.</w:t>
      </w:r>
    </w:p>
    <w:p>
      <w:pPr>
        <w:pStyle w:val="Heading2"/>
      </w:pPr>
      <w:r>
        <w:t xml:space="preserve">Cadence expectation</w:t>
      </w:r>
    </w:p>
    <w:p>
      <w:pPr>
        <w:spacing w:after="120"/>
      </w:pPr>
      <w:r>
        <w:rPr>
          <w:b w:val="false"/>
          <w:bCs w:val="false"/>
          <w:i w:val="false"/>
          <w:iCs w:val="false"/>
          <w:color w:val="000000"/>
        </w:rPr>
        <w:t xml:space="preserve">Lifecycle controls operate per event. Access reviews follow the approved risk-based cadence.</w:t>
      </w:r>
    </w:p>
    <w:p>
      <w:pPr>
        <w:pStyle w:val="Heading1"/>
        <w:pageBreakBefore/>
      </w:pPr>
      <w:r>
        <w:t xml:space="preserve">Change management and secure development</w:t>
      </w:r>
    </w:p>
    <w:p>
      <w:pPr>
        <w:spacing w:after="120"/>
      </w:pPr>
      <w:r>
        <w:rPr>
          <w:b/>
          <w:bCs/>
          <w:i w:val="false"/>
          <w:iCs w:val="false"/>
          <w:color w:val="2F75B5"/>
        </w:rPr>
        <w:t xml:space="preserve">CC8</w:t>
      </w:r>
    </w:p>
    <w:p>
      <w:pPr>
        <w:pStyle w:val="Heading2"/>
      </w:pPr>
      <w:r>
        <w:t xml:space="preserve">Implementation rule</w:t>
      </w:r>
    </w:p>
    <w:p>
      <w:pPr>
        <w:spacing w:after="120"/>
      </w:pPr>
      <w:r>
        <w:rPr>
          <w:b w:val="false"/>
          <w:bCs w:val="false"/>
          <w:i w:val="false"/>
          <w:iCs w:val="false"/>
          <w:color w:val="000000"/>
        </w:rPr>
        <w:t xml:space="preserve">Production changes must be authorized, tested, traceable, and recoverable. Emergency changes need approval and timely retrospective review.</w:t>
      </w:r>
    </w:p>
    <w:p>
      <w:pPr>
        <w:pStyle w:val="Heading2"/>
      </w:pPr>
      <w:r>
        <w:t xml:space="preserve">Consultant procedure</w:t>
      </w:r>
    </w:p>
    <w:p>
      <w:pPr>
        <w:spacing w:after="120"/>
      </w:pPr>
      <w:r>
        <w:rPr>
          <w:b w:val="false"/>
          <w:bCs w:val="false"/>
          <w:i w:val="false"/>
          <w:iCs w:val="false"/>
          <w:color w:val="000000"/>
        </w:rPr>
        <w:t xml:space="preserve">Map repositories, pipelines, cloud consoles, and ticketing. Enforce reviews and protected deployment paths. Define compensating reviews for small teams.</w:t>
      </w:r>
    </w:p>
    <w:p>
      <w:pPr>
        <w:pStyle w:val="Heading2"/>
      </w:pPr>
      <w:r>
        <w:t xml:space="preserve">Expected evidence</w:t>
      </w:r>
    </w:p>
    <w:p>
      <w:pPr>
        <w:spacing w:after="120"/>
      </w:pPr>
      <w:r>
        <w:rPr>
          <w:b w:val="false"/>
          <w:bCs w:val="false"/>
          <w:i w:val="false"/>
          <w:iCs w:val="false"/>
          <w:color w:val="000000"/>
        </w:rPr>
        <w:t xml:space="preserve">Change population, tickets, pull requests, tests, approvals, deployments, security checks, rollback notes, emergency reasons, and follow-up reviews.</w:t>
      </w:r>
    </w:p>
    <w:p>
      <w:pPr>
        <w:pStyle w:val="Heading2"/>
      </w:pPr>
      <w:r>
        <w:t xml:space="preserve">Exit criteria</w:t>
      </w:r>
    </w:p>
    <w:p>
      <w:pPr>
        <w:spacing w:after="120"/>
      </w:pPr>
      <w:r>
        <w:rPr>
          <w:b w:val="false"/>
          <w:bCs w:val="false"/>
          <w:i w:val="false"/>
          <w:iCs w:val="false"/>
          <w:color w:val="000000"/>
        </w:rPr>
        <w:t xml:space="preserve">Production changes reconcile to approved sources. Samples include required steps. Bypass paths are restricted and emergency exceptions are reviewed.</w:t>
      </w:r>
    </w:p>
    <w:p>
      <w:pPr>
        <w:pStyle w:val="Heading2"/>
      </w:pPr>
      <w:r>
        <w:t xml:space="preserve">Cadence expectation</w:t>
      </w:r>
    </w:p>
    <w:p>
      <w:pPr>
        <w:spacing w:after="120"/>
      </w:pPr>
      <w:r>
        <w:rPr>
          <w:b w:val="false"/>
          <w:bCs w:val="false"/>
          <w:i w:val="false"/>
          <w:iCs w:val="false"/>
          <w:color w:val="000000"/>
        </w:rPr>
        <w:t xml:space="preserve">Per production change, with recurring review of emergency access, bypasses, and failed deployments.</w:t>
      </w:r>
    </w:p>
    <w:p>
      <w:pPr>
        <w:pStyle w:val="Heading1"/>
        <w:pageBreakBefore/>
      </w:pPr>
      <w:r>
        <w:t xml:space="preserve">Security operations</w:t>
      </w:r>
    </w:p>
    <w:p>
      <w:pPr>
        <w:spacing w:after="120"/>
      </w:pPr>
      <w:r>
        <w:rPr>
          <w:b/>
          <w:bCs/>
          <w:i w:val="false"/>
          <w:iCs w:val="false"/>
          <w:color w:val="2F75B5"/>
        </w:rPr>
        <w:t xml:space="preserve">CC7</w:t>
      </w:r>
    </w:p>
    <w:p>
      <w:pPr>
        <w:pStyle w:val="Heading2"/>
      </w:pPr>
      <w:r>
        <w:t xml:space="preserve">Implementation rule</w:t>
      </w:r>
    </w:p>
    <w:p>
      <w:pPr>
        <w:spacing w:after="120"/>
      </w:pPr>
      <w:r>
        <w:rPr>
          <w:b w:val="false"/>
          <w:bCs w:val="false"/>
          <w:i w:val="false"/>
          <w:iCs w:val="false"/>
          <w:color w:val="000000"/>
        </w:rPr>
        <w:t xml:space="preserve">Maintain current assets. Detect events and vulnerabilities. Assign response based on risk. Verify remediation and retain approved exceptions.</w:t>
      </w:r>
    </w:p>
    <w:p>
      <w:pPr>
        <w:pStyle w:val="Heading2"/>
      </w:pPr>
      <w:r>
        <w:t xml:space="preserve">Consultant procedure</w:t>
      </w:r>
    </w:p>
    <w:p>
      <w:pPr>
        <w:spacing w:after="120"/>
      </w:pPr>
      <w:r>
        <w:rPr>
          <w:b w:val="false"/>
          <w:bCs w:val="false"/>
          <w:i w:val="false"/>
          <w:iCs w:val="false"/>
          <w:color w:val="000000"/>
        </w:rPr>
        <w:t xml:space="preserve">Reconcile inventories. Define log and alert coverage. Set remediation targets. Establish ticketing, exception approval, escalation, and closure verification.</w:t>
      </w:r>
    </w:p>
    <w:p>
      <w:pPr>
        <w:pStyle w:val="Heading2"/>
      </w:pPr>
      <w:r>
        <w:t xml:space="preserve">Expected evidence</w:t>
      </w:r>
    </w:p>
    <w:p>
      <w:pPr>
        <w:spacing w:after="120"/>
      </w:pPr>
      <w:r>
        <w:rPr>
          <w:b w:val="false"/>
          <w:bCs w:val="false"/>
          <w:i w:val="false"/>
          <w:iCs w:val="false"/>
          <w:color w:val="000000"/>
        </w:rPr>
        <w:t xml:space="preserve">Inventories, scan populations, findings, alerts, triage, tickets, remediation proof, exceptions, coverage reports, retention settings, and trend reviews.</w:t>
      </w:r>
    </w:p>
    <w:p>
      <w:pPr>
        <w:pStyle w:val="Heading2"/>
      </w:pPr>
      <w:r>
        <w:t xml:space="preserve">Exit criteria</w:t>
      </w:r>
    </w:p>
    <w:p>
      <w:pPr>
        <w:spacing w:after="120"/>
      </w:pPr>
      <w:r>
        <w:rPr>
          <w:b w:val="false"/>
          <w:bCs w:val="false"/>
          <w:i w:val="false"/>
          <w:iCs w:val="false"/>
          <w:color w:val="000000"/>
        </w:rPr>
        <w:t xml:space="preserve">Coverage matches scope. Findings reconcile to populations. Deadlines are testable. Closure has technical verification.</w:t>
      </w:r>
    </w:p>
    <w:p>
      <w:pPr>
        <w:pStyle w:val="Heading2"/>
      </w:pPr>
      <w:r>
        <w:t xml:space="preserve">Cadence expectation</w:t>
      </w:r>
    </w:p>
    <w:p>
      <w:pPr>
        <w:spacing w:after="120"/>
      </w:pPr>
      <w:r>
        <w:rPr>
          <w:b w:val="false"/>
          <w:bCs w:val="false"/>
          <w:i w:val="false"/>
          <w:iCs w:val="false"/>
          <w:color w:val="000000"/>
        </w:rPr>
        <w:t xml:space="preserve">Monitoring runs continuously or at the defined frequency. Timing must match risk, commitments, and policy.</w:t>
      </w:r>
    </w:p>
    <w:p>
      <w:pPr>
        <w:pStyle w:val="Heading1"/>
        <w:pageBreakBefore/>
      </w:pPr>
      <w:r>
        <w:t xml:space="preserve">Incident response and resilience</w:t>
      </w:r>
    </w:p>
    <w:p>
      <w:pPr>
        <w:spacing w:after="120"/>
      </w:pPr>
      <w:r>
        <w:rPr>
          <w:b/>
          <w:bCs/>
          <w:i w:val="false"/>
          <w:iCs w:val="false"/>
          <w:color w:val="2F75B5"/>
        </w:rPr>
        <w:t xml:space="preserve">CC7, A1</w:t>
      </w:r>
    </w:p>
    <w:p>
      <w:pPr>
        <w:pStyle w:val="Heading2"/>
      </w:pPr>
      <w:r>
        <w:t xml:space="preserve">Implementation rule</w:t>
      </w:r>
    </w:p>
    <w:p>
      <w:pPr>
        <w:spacing w:after="120"/>
      </w:pPr>
      <w:r>
        <w:rPr>
          <w:b w:val="false"/>
          <w:bCs w:val="false"/>
          <w:i w:val="false"/>
          <w:iCs w:val="false"/>
          <w:color w:val="000000"/>
        </w:rPr>
        <w:t xml:space="preserve">Define authority, severity, escalation, communication, evidence handling, recovery objectives, and lessons learned before an incident.</w:t>
      </w:r>
    </w:p>
    <w:p>
      <w:pPr>
        <w:pStyle w:val="Heading2"/>
      </w:pPr>
      <w:r>
        <w:t xml:space="preserve">Consultant procedure</w:t>
      </w:r>
    </w:p>
    <w:p>
      <w:pPr>
        <w:spacing w:after="120"/>
      </w:pPr>
      <w:r>
        <w:rPr>
          <w:b w:val="false"/>
          <w:bCs w:val="false"/>
          <w:i w:val="false"/>
          <w:iCs w:val="false"/>
          <w:color w:val="000000"/>
        </w:rPr>
        <w:t xml:space="preserve">Build the contact and decision matrix. Validate legal, privacy, insurer, customer, and vendor paths. Run a tabletop and restoration test. Close findings.</w:t>
      </w:r>
    </w:p>
    <w:p>
      <w:pPr>
        <w:pStyle w:val="Heading2"/>
      </w:pPr>
      <w:r>
        <w:t xml:space="preserve">Expected evidence</w:t>
      </w:r>
    </w:p>
    <w:p>
      <w:pPr>
        <w:spacing w:after="120"/>
      </w:pPr>
      <w:r>
        <w:rPr>
          <w:b w:val="false"/>
          <w:bCs w:val="false"/>
          <w:i w:val="false"/>
          <w:iCs w:val="false"/>
          <w:color w:val="000000"/>
        </w:rPr>
        <w:t xml:space="preserve">Plans, contact validation, training, tabletop records, incident population, tickets, communications, post-incident review, backup monitoring, restore tests, and recovery results.</w:t>
      </w:r>
    </w:p>
    <w:p>
      <w:pPr>
        <w:pStyle w:val="Heading2"/>
      </w:pPr>
      <w:r>
        <w:t xml:space="preserve">Exit criteria</w:t>
      </w:r>
    </w:p>
    <w:p>
      <w:pPr>
        <w:spacing w:after="120"/>
      </w:pPr>
      <w:r>
        <w:rPr>
          <w:b w:val="false"/>
          <w:bCs w:val="false"/>
          <w:i w:val="false"/>
          <w:iCs w:val="false"/>
          <w:color w:val="000000"/>
        </w:rPr>
        <w:t xml:space="preserve">Roles can execute without improvising. Tests meet objectives or create tracked gaps. Restore proof shows usable recovery.</w:t>
      </w:r>
    </w:p>
    <w:p>
      <w:pPr>
        <w:pStyle w:val="Heading2"/>
      </w:pPr>
      <w:r>
        <w:t xml:space="preserve">Cadence expectation</w:t>
      </w:r>
    </w:p>
    <w:p>
      <w:pPr>
        <w:spacing w:after="120"/>
      </w:pPr>
      <w:r>
        <w:rPr>
          <w:b w:val="false"/>
          <w:bCs w:val="false"/>
          <w:i w:val="false"/>
          <w:iCs w:val="false"/>
          <w:color w:val="000000"/>
        </w:rPr>
        <w:t xml:space="preserve">Test at least annually and after material change. Other cadences must reflect system and contractual needs.</w:t>
      </w:r>
    </w:p>
    <w:p>
      <w:pPr>
        <w:pStyle w:val="Heading1"/>
        <w:pageBreakBefore/>
      </w:pPr>
      <w:r>
        <w:t xml:space="preserve">Vendor and subservice management</w:t>
      </w:r>
    </w:p>
    <w:p>
      <w:pPr>
        <w:spacing w:after="120"/>
      </w:pPr>
      <w:r>
        <w:rPr>
          <w:b/>
          <w:bCs/>
          <w:i w:val="false"/>
          <w:iCs w:val="false"/>
          <w:color w:val="2F75B5"/>
        </w:rPr>
        <w:t xml:space="preserve">CC9</w:t>
      </w:r>
    </w:p>
    <w:p>
      <w:pPr>
        <w:pStyle w:val="Heading2"/>
      </w:pPr>
      <w:r>
        <w:t xml:space="preserve">Implementation rule</w:t>
      </w:r>
    </w:p>
    <w:p>
      <w:pPr>
        <w:spacing w:after="120"/>
      </w:pPr>
      <w:r>
        <w:rPr>
          <w:b w:val="false"/>
          <w:bCs w:val="false"/>
          <w:i w:val="false"/>
          <w:iCs w:val="false"/>
          <w:color w:val="000000"/>
        </w:rPr>
        <w:t xml:space="preserve">Identify material vendors, assess risk before use, establish terms, monitor changes, and operate complementary user entity controls.</w:t>
      </w:r>
    </w:p>
    <w:p>
      <w:pPr>
        <w:pStyle w:val="Heading2"/>
      </w:pPr>
      <w:r>
        <w:t xml:space="preserve">Consultant procedure</w:t>
      </w:r>
    </w:p>
    <w:p>
      <w:pPr>
        <w:spacing w:after="120"/>
      </w:pPr>
      <w:r>
        <w:rPr>
          <w:b w:val="false"/>
          <w:bCs w:val="false"/>
          <w:i w:val="false"/>
          <w:iCs w:val="false"/>
          <w:color w:val="000000"/>
        </w:rPr>
        <w:t xml:space="preserve">Reconcile procurement, finance, identity, cloud, and architecture sources. Tier vendors. Review reports and bridge letters. Track findings and dependencies.</w:t>
      </w:r>
    </w:p>
    <w:p>
      <w:pPr>
        <w:pStyle w:val="Heading2"/>
      </w:pPr>
      <w:r>
        <w:t xml:space="preserve">Expected evidence</w:t>
      </w:r>
    </w:p>
    <w:p>
      <w:pPr>
        <w:spacing w:after="120"/>
      </w:pPr>
      <w:r>
        <w:rPr>
          <w:b w:val="false"/>
          <w:bCs w:val="false"/>
          <w:i w:val="false"/>
          <w:iCs w:val="false"/>
          <w:color w:val="000000"/>
        </w:rPr>
        <w:t xml:space="preserve">Vendor inventory, tier rationale, due diligence, contracts, reports, bridge letters, complementary control mapping, findings, approvals, exceptions, and termination records.</w:t>
      </w:r>
    </w:p>
    <w:p>
      <w:pPr>
        <w:pStyle w:val="Heading2"/>
      </w:pPr>
      <w:r>
        <w:t xml:space="preserve">Exit criteria</w:t>
      </w:r>
    </w:p>
    <w:p>
      <w:pPr>
        <w:spacing w:after="120"/>
      </w:pPr>
      <w:r>
        <w:rPr>
          <w:b w:val="false"/>
          <w:bCs w:val="false"/>
          <w:i w:val="false"/>
          <w:iCs w:val="false"/>
          <w:color w:val="000000"/>
        </w:rPr>
        <w:t xml:space="preserve">Material vendors have owners and current reviews. Report periods are understood. Complementary controls have owners. Exceptions are approved.</w:t>
      </w:r>
    </w:p>
    <w:p>
      <w:pPr>
        <w:pStyle w:val="Heading2"/>
      </w:pPr>
      <w:r>
        <w:t xml:space="preserve">Cadence expectation</w:t>
      </w:r>
    </w:p>
    <w:p>
      <w:pPr>
        <w:spacing w:after="120"/>
      </w:pPr>
      <w:r>
        <w:rPr>
          <w:b w:val="false"/>
          <w:bCs w:val="false"/>
          <w:i w:val="false"/>
          <w:iCs w:val="false"/>
          <w:color w:val="000000"/>
        </w:rPr>
        <w:t xml:space="preserve">Before onboarding, at renewal or defined risk-based intervals, and after material changes.</w:t>
      </w:r>
    </w:p>
    <w:p>
      <w:pPr>
        <w:pStyle w:val="Heading1"/>
        <w:pageBreakBefore/>
      </w:pPr>
      <w:r>
        <w:t xml:space="preserve">Type II evidence management</w:t>
      </w:r>
    </w:p>
    <w:p>
      <w:pPr>
        <w:spacing w:after="120"/>
      </w:pPr>
      <w:r>
        <w:rPr>
          <w:b/>
          <w:bCs/>
          <w:i w:val="false"/>
          <w:iCs w:val="false"/>
          <w:color w:val="2F75B5"/>
        </w:rPr>
        <w:t xml:space="preserve">Operating effectiveness</w:t>
      </w:r>
    </w:p>
    <w:p>
      <w:pPr>
        <w:pStyle w:val="Heading2"/>
      </w:pPr>
      <w:r>
        <w:t xml:space="preserve">Implementation rule</w:t>
      </w:r>
    </w:p>
    <w:p>
      <w:pPr>
        <w:spacing w:after="120"/>
      </w:pPr>
      <w:r>
        <w:rPr>
          <w:b w:val="false"/>
          <w:bCs w:val="false"/>
          <w:i w:val="false"/>
          <w:iCs w:val="false"/>
          <w:color w:val="000000"/>
        </w:rPr>
        <w:t xml:space="preserve">Keep a control matrix and evidence index that show who operated each control, when it operated, which population applies, the result, and exception handling.</w:t>
      </w:r>
    </w:p>
    <w:p>
      <w:pPr>
        <w:pStyle w:val="Heading2"/>
      </w:pPr>
      <w:r>
        <w:t xml:space="preserve">Consultant procedure</w:t>
      </w:r>
    </w:p>
    <w:p>
      <w:pPr>
        <w:spacing w:after="120"/>
      </w:pPr>
      <w:r>
        <w:rPr>
          <w:b w:val="false"/>
          <w:bCs w:val="false"/>
          <w:i w:val="false"/>
          <w:iCs w:val="false"/>
          <w:color w:val="000000"/>
        </w:rPr>
        <w:t xml:space="preserve">Inventory frequencies. Create an evidence calendar. Test exports before the period. Review each occurrence. Keep an immutable exception record and readiness sign-off.</w:t>
      </w:r>
    </w:p>
    <w:p>
      <w:pPr>
        <w:pStyle w:val="Heading2"/>
      </w:pPr>
      <w:r>
        <w:t xml:space="preserve">Expected evidence</w:t>
      </w:r>
    </w:p>
    <w:p>
      <w:pPr>
        <w:spacing w:after="120"/>
      </w:pPr>
      <w:r>
        <w:rPr>
          <w:b w:val="false"/>
          <w:bCs w:val="false"/>
          <w:i w:val="false"/>
          <w:iCs w:val="false"/>
          <w:color w:val="000000"/>
        </w:rPr>
        <w:t xml:space="preserve">Control matrix, evidence calendar, population specifications, exports, samples, evidence index, exception log, change history, owner attestations, and management review.</w:t>
      </w:r>
    </w:p>
    <w:p>
      <w:pPr>
        <w:pStyle w:val="Heading2"/>
      </w:pPr>
      <w:r>
        <w:t xml:space="preserve">Exit criteria</w:t>
      </w:r>
    </w:p>
    <w:p>
      <w:pPr>
        <w:spacing w:after="120"/>
      </w:pPr>
      <w:r>
        <w:rPr>
          <w:b w:val="false"/>
          <w:bCs w:val="false"/>
          <w:i w:val="false"/>
          <w:iCs w:val="false"/>
          <w:color w:val="000000"/>
        </w:rPr>
        <w:t xml:space="preserve">Required occurrences are indexed. Populations can be reproduced. Evidence matches the control and period. Exceptions are dispositioned.</w:t>
      </w:r>
    </w:p>
    <w:p>
      <w:pPr>
        <w:pStyle w:val="Heading2"/>
      </w:pPr>
      <w:r>
        <w:t xml:space="preserve">Cadence expectation</w:t>
      </w:r>
    </w:p>
    <w:p>
      <w:pPr>
        <w:spacing w:after="120"/>
      </w:pPr>
      <w:r>
        <w:rPr>
          <w:b w:val="false"/>
          <w:bCs w:val="false"/>
          <w:i w:val="false"/>
          <w:iCs w:val="false"/>
          <w:color w:val="000000"/>
        </w:rPr>
        <w:t xml:space="preserve">Follow each approved control frequency across the observation period. The CPA firm decides final samples and sufficiency.</w:t>
      </w:r>
    </w:p>
    <w:p>
      <w:pPr>
        <w:pStyle w:val="Heading1"/>
        <w:pageBreakBefore/>
      </w:pPr>
      <w:r>
        <w:t xml:space="preserve">Additional Trust Services Categories</w:t>
      </w:r>
    </w:p>
    <w:p>
      <w:pPr>
        <w:spacing w:after="120"/>
      </w:pPr>
      <w:r>
        <w:rPr>
          <w:b/>
          <w:bCs/>
          <w:i w:val="false"/>
          <w:iCs w:val="false"/>
          <w:color w:val="2F75B5"/>
        </w:rPr>
        <w:t xml:space="preserve">A1, C1, PI1, P1-P8</w:t>
      </w:r>
    </w:p>
    <w:p>
      <w:pPr>
        <w:pStyle w:val="Heading2"/>
      </w:pPr>
      <w:r>
        <w:t xml:space="preserve">Implementation rule</w:t>
      </w:r>
    </w:p>
    <w:p>
      <w:pPr>
        <w:spacing w:after="120"/>
      </w:pPr>
      <w:r>
        <w:rPr>
          <w:b w:val="false"/>
          <w:bCs w:val="false"/>
          <w:i w:val="false"/>
          <w:iCs w:val="false"/>
          <w:color w:val="000000"/>
        </w:rPr>
        <w:t xml:space="preserve">Add Availability, Confidentiality, Processing Integrity, or Privacy only when commitments and risks require them.</w:t>
      </w:r>
    </w:p>
    <w:p>
      <w:pPr>
        <w:pStyle w:val="Heading2"/>
      </w:pPr>
      <w:r>
        <w:t xml:space="preserve">Consultant procedure</w:t>
      </w:r>
    </w:p>
    <w:p>
      <w:pPr>
        <w:spacing w:after="120"/>
      </w:pPr>
      <w:r>
        <w:rPr>
          <w:b w:val="false"/>
          <w:bCs w:val="false"/>
          <w:i w:val="false"/>
          <w:iCs w:val="false"/>
          <w:color w:val="000000"/>
        </w:rPr>
        <w:t xml:space="preserve">Map commitments and data lifecycles to the selected category. Define category-specific controls and confirm scope with management and the CPA firm.</w:t>
      </w:r>
    </w:p>
    <w:p>
      <w:pPr>
        <w:pStyle w:val="Heading2"/>
      </w:pPr>
      <w:r>
        <w:t xml:space="preserve">Expected evidence</w:t>
      </w:r>
    </w:p>
    <w:p>
      <w:pPr>
        <w:spacing w:after="120"/>
      </w:pPr>
      <w:r>
        <w:rPr>
          <w:b w:val="false"/>
          <w:bCs w:val="false"/>
          <w:i w:val="false"/>
          <w:iCs w:val="false"/>
          <w:color w:val="000000"/>
        </w:rPr>
        <w:t xml:space="preserve">Availability tests and monitoring; confidential-data lifecycle records; processing reconciliations and error records; privacy notices, consent, requests, retention, sharing, and incident records.</w:t>
      </w:r>
    </w:p>
    <w:p>
      <w:pPr>
        <w:pStyle w:val="Heading2"/>
      </w:pPr>
      <w:r>
        <w:t xml:space="preserve">Exit criteria</w:t>
      </w:r>
    </w:p>
    <w:p>
      <w:pPr>
        <w:spacing w:after="120"/>
      </w:pPr>
      <w:r>
        <w:rPr>
          <w:b w:val="false"/>
          <w:bCs w:val="false"/>
          <w:i w:val="false"/>
          <w:iCs w:val="false"/>
          <w:color w:val="000000"/>
        </w:rPr>
        <w:t xml:space="preserve">Controls and evidence support the selected category commitments. Scope decisions and exclusions are approved.</w:t>
      </w:r>
    </w:p>
    <w:p>
      <w:pPr>
        <w:pStyle w:val="Heading2"/>
      </w:pPr>
      <w:r>
        <w:t xml:space="preserve">Cadence expectation</w:t>
      </w:r>
    </w:p>
    <w:p>
      <w:pPr>
        <w:spacing w:after="120"/>
      </w:pPr>
      <w:r>
        <w:rPr>
          <w:b w:val="false"/>
          <w:bCs w:val="false"/>
          <w:i w:val="false"/>
          <w:iCs w:val="false"/>
          <w:color w:val="000000"/>
        </w:rPr>
        <w:t xml:space="preserve">Use event-driven and recurring cadences that match the selected category, system requirements, and commitments.</w:t>
      </w:r>
    </w:p>
    <w:p>
      <w:pPr>
        <w:pStyle w:val="Heading1"/>
        <w:pageBreakBefore/>
      </w:pPr>
      <w:r>
        <w:t xml:space="preserve">Additional category criterion checklist</w:t>
      </w:r>
    </w:p>
    <w:p>
      <w:pPr>
        <w:spacing w:after="120"/>
      </w:pPr>
      <w:r>
        <w:rPr>
          <w:b w:val="false"/>
          <w:bCs w:val="false"/>
          <w:i w:val="false"/>
          <w:iCs w:val="false"/>
          <w:color w:val="000000"/>
        </w:rPr>
        <w:t xml:space="preserve">These are readiness-oriented paraphrases. Confirm the selected categories and final control mapping with management and the CPA firm.</w:t>
      </w:r>
    </w:p>
    <w:p>
      <w:pPr>
        <w:pStyle w:val="Heading2"/>
      </w:pPr>
      <w:r>
        <w:t xml:space="preserve">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A1.1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Monitor capacity and performance against defined availability objectives.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Thresholds, forecasts, alerts, reviews, and scaling decisions.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A1.2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Operate environmental, backup, recovery, and redundancy safeguards.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Architecture, backup, failover, environmental, and recovery records.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A1.3</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Test recovery and continuity procedures and correct gaps.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Test plans, results, gaps, owners, retests, and closure proof.</w:t>
            </w:r>
          </w:p>
        </w:tc>
      </w:tr>
    </w:tbl>
    <w:p>
      <w:pPr>
        <w:pStyle w:val="Heading2"/>
      </w:pPr>
      <w:r>
        <w:t xml:space="preserve">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C1.1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Identify confidential information and protect it through its lifecycle.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Inventory, classification, access, encryption, transfer, and retention.</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C1.2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Destroy confidential information when approved retention ends.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Methods, deletion jobs, destruction records, vendor proof, and exceptions.</w:t>
            </w:r>
          </w:p>
        </w:tc>
      </w:tr>
    </w:tbl>
    <w:p>
      <w:pPr>
        <w:pStyle w:val="Heading2"/>
      </w:pPr>
      <w:r>
        <w:t xml:space="preserve">Processing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PI1.1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Define processing objectives and the information needed to meet them.</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Objective register, requirements, measures, owners, and approvals.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PI1.2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Validate that inputs are complete, accurate, timely, and authorized.</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Input validation, rejects, approvals, reconciliation, and corrections.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PI1.3</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Control processing for completeness, validity, accuracy, timeliness, and authorization.</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Job controls, transaction checks, error queues, monitoring, and resolution.</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PI1.4</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Validate outputs and restrict distribution to authorized recipients.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Output reconciliation, approvals, distribution logs, and corrections.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PI1.5</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Protect and reconcile stored processing records.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Integrity checks, access, retention, reconciliation, and corrections.</w:t>
            </w:r>
          </w:p>
        </w:tc>
      </w:tr>
    </w:tbl>
    <w:p>
      <w:pPr>
        <w:pStyle w:val="Heading2"/>
      </w:pPr>
      <w:r>
        <w:t xml:space="preserve">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P1.1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Publish a clear, current privacy notice.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Approved notice, version history, publication proof, and change review.</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P2.1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Provide required choices and record consent or withdrawal.</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Consent language, preferences, withdrawal, and enforcement.</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P3.1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Limit collection to stated objectives.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Data inventory, collection points, purpose map, minimization, and reviews.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P3.2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Obtain explicit consent for sensitive information when required.</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Sensitive-data definition, consent, exceptions, and enforcement.</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P4.1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Limit use to stated objectives and commitments.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Purpose map, authorized uses, access, monitoring, and exceptions.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P4.2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Retain personal information only for approved periods.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Retention schedule, legal holds, deletion jobs, reviews, and exceptions.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P4.3</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Securely destroy personal information when retention ends.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Deletion methods, completion logs, vendor proof, and exceptions.</w:t>
            </w:r>
          </w:p>
        </w:tc>
      </w:tr>
    </w:tbl>
    <w:p>
      <w:r>
        <w:br w:type="page"/>
      </w:r>
    </w:p>
    <w:p>
      <w:pPr>
        <w:pStyle w:val="Heading2"/>
      </w:pPr>
      <w:r>
        <w:t xml:space="preserve">Privacy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P5.1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Process individual access and correction requests.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Intake, identity verification, response, correction, denial, and timing.</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Authorize disclosures under consent and approved purposes.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Disclosure basis, consent, approval, recipient, purpose, and data.</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P6.2</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Set enforceable privacy duties for third parties.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Contracts, instructions, breach duties, deletion, audit rights, and exceptions.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P6.3</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Assess third parties before disclosure.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Due diligence, risk tier, approval, findings, and remediation.</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P6.4</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Monitor third-party privacy performance.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Reviews, attestations, incidents, metrics, findings, and escalation.</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P6.5</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Remediate unauthorized third-party use.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Detection, investigation, containment, notification, correction, and closure.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P6.6</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Deliver required breach and disclosure notifications.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Decision record, timing, recipients, content, approval, and delivery proof.</w:t>
            </w:r>
          </w:p>
        </w:tc>
      </w:tr>
    </w:tbl>
    <w:p>
      <w:r>
        <w:br w:type="page"/>
      </w:r>
    </w:p>
    <w:p>
      <w:pPr>
        <w:pStyle w:val="Heading2"/>
      </w:pPr>
      <w:r>
        <w:t xml:space="preserve">Privacy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Criterion</w:t>
            </w:r>
          </w:p>
        </w:tc>
        <w:tc>
          <w:tcPr>
            <w:tcW w:type="dxa" w:w="376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Implementation expectation</w:t>
            </w:r>
          </w:p>
        </w:tc>
        <w:tc>
          <w:tcPr>
            <w:tcW w:type="dxa" w:w="4600"/>
            <w:tcBorders>
              <w:top w:val="single" w:color="B8C4D0" w:sz="1"/>
              <w:left w:val="single" w:color="B8C4D0" w:sz="1"/>
              <w:bottom w:val="single" w:color="B8C4D0" w:sz="1"/>
              <w:right w:val="single" w:color="B8C4D0" w:sz="1"/>
            </w:tcBorders>
            <w:shd w:fill="16324A" w:val="clear"/>
            <w:tcMar>
              <w:top w:type="dxa" w:w="90"/>
              <w:left w:type="dxa" w:w="120"/>
              <w:bottom w:type="dxa" w:w="90"/>
              <w:right w:type="dxa" w:w="120"/>
            </w:tcMar>
          </w:tcPr>
          <w:p>
            <w:r>
              <w:rPr>
                <w:b/>
                <w:bCs/>
                <w:color w:val="FFFFFF"/>
                <w:sz w:val="19"/>
                <w:szCs w:val="19"/>
              </w:rPr>
              <w:t xml:space="preserve">Typical evidence</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P6.7</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Maintain a complete disclosure record.</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Requester, recipient, purpose, data, date, and authority.</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P7.1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Maintain personal information quality for intended use.</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Validation, correction sources, reconciliation, stale-data review, and results.</w:t>
            </w:r>
          </w:p>
        </w:tc>
      </w:tr>
      <w:tr>
        <w:trPr>
          <w:cantSplit/>
        </w:trPr>
        <w:tc>
          <w:tcPr>
            <w:tcW w:type="dxa" w:w="10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P8.1</w:t>
            </w:r>
          </w:p>
        </w:tc>
        <w:tc>
          <w:tcPr>
            <w:tcW w:type="dxa" w:w="376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Resolve privacy inquiries, complaints, and disputes.</w:t>
            </w:r>
          </w:p>
        </w:tc>
        <w:tc>
          <w:tcPr>
            <w:tcW w:type="dxa" w:w="460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color w:val="000000"/>
                <w:sz w:val="19"/>
                <w:szCs w:val="19"/>
              </w:rPr>
              <w:t xml:space="preserve">Intake, investigation, response, escalation, timing, outcome, and trends.</w:t>
            </w:r>
          </w:p>
        </w:tc>
      </w:tr>
    </w:tbl>
    <w:p>
      <w:pPr>
        <w:pStyle w:val="Heading1"/>
        <w:pageBreakBefore/>
      </w:pPr>
      <w:r>
        <w:t xml:space="preserve">Consultant completion package</w:t>
      </w:r>
    </w:p>
    <w:p>
      <w:pPr>
        <w:pStyle w:val="ListParagraph"/>
        <w:numPr>
          <w:ilvl w:val="0"/>
          <w:numId w:val="2"/>
        </w:numPr>
      </w:pPr>
      <w:r>
        <w:t xml:space="preserve">Approved scope, categories, boundaries, and subservice treatment.</w:t>
      </w:r>
    </w:p>
    <w:p>
      <w:pPr>
        <w:pStyle w:val="ListParagraph"/>
        <w:numPr>
          <w:ilvl w:val="0"/>
          <w:numId w:val="2"/>
        </w:numPr>
      </w:pPr>
      <w:r>
        <w:t xml:space="preserve">Current system description and dated change log.</w:t>
      </w:r>
    </w:p>
    <w:p>
      <w:pPr>
        <w:pStyle w:val="ListParagraph"/>
        <w:numPr>
          <w:ilvl w:val="0"/>
          <w:numId w:val="2"/>
        </w:numPr>
      </w:pPr>
      <w:r>
        <w:t xml:space="preserve">Risk-to-criteria-to-control matrix with owners and frequencies.</w:t>
      </w:r>
    </w:p>
    <w:p>
      <w:pPr>
        <w:pStyle w:val="ListParagraph"/>
        <w:numPr>
          <w:ilvl w:val="0"/>
          <w:numId w:val="2"/>
        </w:numPr>
      </w:pPr>
      <w:r>
        <w:t xml:space="preserve">Evidence request list, evidence index, and controlled repository map.</w:t>
      </w:r>
    </w:p>
    <w:p>
      <w:pPr>
        <w:pStyle w:val="ListParagraph"/>
        <w:numPr>
          <w:ilvl w:val="0"/>
          <w:numId w:val="2"/>
        </w:numPr>
      </w:pPr>
      <w:r>
        <w:t xml:space="preserve">Population definitions and reproducible export instructions.</w:t>
      </w:r>
    </w:p>
    <w:p>
      <w:pPr>
        <w:pStyle w:val="ListParagraph"/>
        <w:numPr>
          <w:ilvl w:val="0"/>
          <w:numId w:val="2"/>
        </w:numPr>
      </w:pPr>
      <w:r>
        <w:t xml:space="preserve">Exception log with impact, decision, action, and closure status.</w:t>
      </w:r>
    </w:p>
    <w:p>
      <w:pPr>
        <w:pStyle w:val="ListParagraph"/>
        <w:numPr>
          <w:ilvl w:val="0"/>
          <w:numId w:val="2"/>
        </w:numPr>
      </w:pPr>
      <w:r>
        <w:t xml:space="preserve">Readiness test results with failures clearly identified.</w:t>
      </w:r>
    </w:p>
    <w:p>
      <w:pPr>
        <w:pStyle w:val="ListParagraph"/>
        <w:numPr>
          <w:ilvl w:val="0"/>
          <w:numId w:val="2"/>
        </w:numPr>
      </w:pPr>
      <w:r>
        <w:t xml:space="preserve">Management approvals, residual-risk decisions, and open issues.</w:t>
      </w:r>
    </w:p>
    <w:p>
      <w:pPr>
        <w:pStyle w:val="ListParagraph"/>
        <w:numPr>
          <w:ilvl w:val="0"/>
          <w:numId w:val="2"/>
        </w:numPr>
      </w:pPr>
      <w:r>
        <w:t xml:space="preserve">Questions for the CPA firm with no assumed audit conclusions.</w:t>
      </w:r>
    </w:p>
    <w:p>
      <w:pPr>
        <w:pStyle w:val="ListParagraph"/>
        <w:numPr>
          <w:ilvl w:val="0"/>
          <w:numId w:val="2"/>
        </w:numPr>
      </w:pPr>
      <w:r>
        <w:t xml:space="preserve">Operating calendar through the end of the observation period.</w:t>
      </w:r>
    </w:p>
    <w:p>
      <w:pPr>
        <w:spacing w:after="120"/>
      </w:pPr>
      <w:r>
        <w:rPr>
          <w:b/>
          <w:bCs/>
          <w:i w:val="false"/>
          <w:iCs w:val="false"/>
          <w:color w:val="008F83"/>
        </w:rPr>
        <w:t xml:space="preserve">Completion rule: Management can operate the controls without consultant dependency, reproduce the evidence, explain exceptions, and maintain the cadence.</w:t>
      </w:r>
    </w:p>
    <w:p>
      <w:pPr>
        <w:pStyle w:val="Heading1"/>
      </w:pPr>
      <w:r>
        <w:t xml:space="preserve">Authoritative references</w:t>
      </w:r>
    </w:p>
    <w:p>
      <w:hyperlink w:history="1" r:id="rIdektlg_-dmigxa4f88zt0t">
        <w:r>
          <w:rPr>
            <w:rStyle w:val="Hyperlink"/>
          </w:rPr>
          <w:t xml:space="preserve">AICPA 2017 Trust Services Criteria with revised points of focus, 2022</w:t>
        </w:r>
      </w:hyperlink>
    </w:p>
    <w:p>
      <w:hyperlink w:history="1" r:id="rIdas9f3lifqm0lr3pvxgt4x">
        <w:r>
          <w:rPr>
            <w:rStyle w:val="Hyperlink"/>
          </w:rPr>
          <w:t xml:space="preserve">AICPA SOC 2 resource center</w:t>
        </w:r>
      </w:hyperlink>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6"/>
        <w:szCs w:val="16"/>
      </w:rPr>
      <w:t xml:space="preserve">Readiness guidance only | Page </w:t>
    </w:r>
    <w:r>
      <w:rPr>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F83" w:sz="4" w:space="1"/>
      </w:pBdr>
    </w:pPr>
    <w:r>
      <w:rPr>
        <w:color w:val="5B6573"/>
        <w:sz w:val="16"/>
        <w:szCs w:val="16"/>
      </w:rPr>
      <w:t xml:space="preserve">CPF Coaching | SOC 2 Type II Consultant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6324A"/>
      <w:sz w:val="30"/>
      <w:szCs w:val="30"/>
    </w:rPr>
  </w:style>
  <w:style w:type="paragraph" w:styleId="Heading2">
    <w:name w:val="Heading 2"/>
    <w:basedOn w:val="Normal"/>
    <w:next w:val="Normal"/>
    <w:qFormat/>
    <w:pPr>
      <w:spacing w:after="90" w:before="180"/>
      <w:outlineLvl w:val="1"/>
    </w:pPr>
    <w:rPr>
      <w:rFonts w:ascii="Arial" w:cs="Arial" w:eastAsia="Arial" w:hAnsi="Arial"/>
      <w:b/>
      <w:bCs/>
      <w:color w:val="008F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ktlg_-dmigxa4f88zt0t" Type="http://schemas.openxmlformats.org/officeDocument/2006/relationships/hyperlink" Target="https://www.aicpa-cima.com/resources/download/2017-trust-services-criteria-with-revised-points-of-focus-2022" TargetMode="External"/><Relationship Id="rIdas9f3lifqm0lr3pvxgt4x" Type="http://schemas.openxmlformats.org/officeDocument/2006/relationships/hyperlink" Target="https://www.aicpa-cima.com/topic/audit-assurance/audit-and-assurance-greater-than-soc-2"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2026-09-17T20:26:16.897Z</dcterms:created>
  <dcterms:modified xsi:type="dcterms:W3CDTF">2026-09-17T20:26:16.901Z</dcterms:modified>
</cp:coreProperties>
</file>

<file path=docProps/custom.xml><?xml version="1.0" encoding="utf-8"?>
<Properties xmlns="http://schemas.openxmlformats.org/officeDocument/2006/custom-properties" xmlns:vt="http://schemas.openxmlformats.org/officeDocument/2006/docPropsVTypes"/>
</file>