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06CF05FD" w:rsidR="00CE0A5F" w:rsidRPr="00E81D4B" w:rsidRDefault="00CE0A5F"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Dear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66CD927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147233" w:rsidRPr="00E81D4B">
        <w:rPr>
          <w:rFonts w:ascii="Times New Roman" w:hAnsi="Times New Roman" w:cs="Times New Roman"/>
          <w:color w:val="0000FF"/>
        </w:rPr>
        <w:t>, and the</w:t>
      </w:r>
      <w:r w:rsidR="00E81D4B" w:rsidRPr="00E81D4B">
        <w:rPr>
          <w:rFonts w:ascii="Times New Roman" w:hAnsi="Times New Roman" w:cs="Times New Roman"/>
          <w:color w:val="0000FF"/>
        </w:rPr>
        <w:t xml:space="preserve"> helpful</w:t>
      </w:r>
      <w:r w:rsidR="00147233" w:rsidRPr="00E81D4B">
        <w:rPr>
          <w:rFonts w:ascii="Times New Roman" w:hAnsi="Times New Roman" w:cs="Times New Roman"/>
          <w:color w:val="0000FF"/>
        </w:rPr>
        <w:t xml:space="preserve"> suggestions and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 which I think provides a much clearer contribution and discussion</w:t>
      </w:r>
      <w:r w:rsidR="00E81D4B" w:rsidRPr="00E81D4B">
        <w:rPr>
          <w:rFonts w:ascii="Times New Roman" w:hAnsi="Times New Roman" w:cs="Times New Roman"/>
          <w:color w:val="0000FF"/>
        </w:rPr>
        <w:t>s</w:t>
      </w:r>
      <w:r w:rsidR="00147233" w:rsidRPr="00E81D4B">
        <w:rPr>
          <w:rFonts w:ascii="Times New Roman" w:hAnsi="Times New Roman" w:cs="Times New Roman"/>
          <w:color w:val="0000FF"/>
        </w:rPr>
        <w:t xml:space="preserve"> of macroeconomic drivers both in the 1980s and the recent period.</w:t>
      </w:r>
      <w:r w:rsidR="00DE7172" w:rsidRPr="00E81D4B">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4C172C1D" w14:textId="7200D627" w:rsidR="00D556D9" w:rsidRPr="00E81D4B" w:rsidRDefault="008151F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clarifies how the papers’ </w:t>
      </w:r>
      <w:r w:rsidRPr="00E81D4B">
        <w:rPr>
          <w:rFonts w:ascii="Times New Roman" w:hAnsi="Times New Roman" w:cs="Times New Roman"/>
          <w:b/>
          <w:bCs/>
          <w:color w:val="0000FF"/>
        </w:rPr>
        <w:t>relationship to the literature</w:t>
      </w:r>
      <w:r w:rsidRPr="00E81D4B">
        <w:rPr>
          <w:rFonts w:ascii="Times New Roman" w:hAnsi="Times New Roman" w:cs="Times New Roman"/>
          <w:color w:val="0000FF"/>
        </w:rPr>
        <w:t>, both relative to my own prior contributions and contributions of other authors. I completely agree with the AE that the main contribution is to show that macroeconomic dynamics have changed so much over the past 20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The revised paper describes this contribution upfront in the introduction</w:t>
      </w:r>
      <w:r w:rsidR="00147233" w:rsidRPr="00E81D4B">
        <w:rPr>
          <w:rFonts w:ascii="Times New Roman" w:hAnsi="Times New Roman" w:cs="Times New Roman"/>
          <w:color w:val="0000FF"/>
        </w:rPr>
        <w:t xml:space="preserve">, particularly in relation to the </w:t>
      </w:r>
      <w:r w:rsidRPr="00E81D4B">
        <w:rPr>
          <w:rFonts w:ascii="Times New Roman" w:hAnsi="Times New Roman" w:cs="Times New Roman"/>
          <w:color w:val="0000FF"/>
        </w:rPr>
        <w:t>papers highlighted by referee 2</w:t>
      </w:r>
      <w:r w:rsidR="00147233"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6E137CB9" w14:textId="77777777" w:rsidR="008151F0" w:rsidRPr="00E81D4B" w:rsidRDefault="008151F0" w:rsidP="00E81D4B">
      <w:pPr>
        <w:pStyle w:val="ListParagraph"/>
        <w:spacing w:after="0" w:line="240" w:lineRule="auto"/>
        <w:jc w:val="both"/>
        <w:rPr>
          <w:rFonts w:ascii="Times New Roman" w:hAnsi="Times New Roman" w:cs="Times New Roman"/>
          <w:color w:val="0000FF"/>
        </w:rPr>
      </w:pPr>
    </w:p>
    <w:p w14:paraId="74D65B1A" w14:textId="4DCC0B8C" w:rsidR="00FA683E" w:rsidRPr="00E81D4B" w:rsidRDefault="00045F4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contains </w:t>
      </w:r>
      <w:r w:rsidR="00A66781">
        <w:rPr>
          <w:rFonts w:ascii="Times New Roman" w:hAnsi="Times New Roman" w:cs="Times New Roman"/>
          <w:color w:val="0000FF"/>
        </w:rPr>
        <w:t>a more detailed</w:t>
      </w:r>
      <w:r w:rsidRPr="00E81D4B">
        <w:rPr>
          <w:rFonts w:ascii="Times New Roman" w:hAnsi="Times New Roman" w:cs="Times New Roman"/>
          <w:color w:val="0000FF"/>
        </w:rPr>
        <w:t xml:space="preserve"> </w:t>
      </w:r>
      <w:r w:rsidRPr="00E81D4B">
        <w:rPr>
          <w:rFonts w:ascii="Times New Roman" w:hAnsi="Times New Roman" w:cs="Times New Roman"/>
          <w:b/>
          <w:bCs/>
          <w:color w:val="0000FF"/>
        </w:rPr>
        <w:t>discussion of the model calibration for the first subperiod</w:t>
      </w:r>
      <w:r w:rsidRPr="00E81D4B">
        <w:rPr>
          <w:rFonts w:ascii="Times New Roman" w:hAnsi="Times New Roman" w:cs="Times New Roman"/>
          <w:color w:val="0000FF"/>
        </w:rPr>
        <w:t xml:space="preserve">, which is used as an example of a period dominated by supply shocks. </w:t>
      </w:r>
      <w:r w:rsidR="008866B4">
        <w:rPr>
          <w:rFonts w:ascii="Times New Roman" w:hAnsi="Times New Roman" w:cs="Times New Roman"/>
          <w:color w:val="0000FF"/>
        </w:rPr>
        <w:t>The</w:t>
      </w:r>
      <w:r w:rsidRPr="00E81D4B">
        <w:rPr>
          <w:rFonts w:ascii="Times New Roman" w:hAnsi="Times New Roman" w:cs="Times New Roman"/>
          <w:color w:val="0000FF"/>
        </w:rPr>
        <w:t xml:space="preserve"> revised paper includes references to key papers in the literature as well as a new, simple, text-based analysis of newspaper articles</w:t>
      </w:r>
      <w:r w:rsidR="008866B4">
        <w:rPr>
          <w:rFonts w:ascii="Times New Roman" w:hAnsi="Times New Roman" w:cs="Times New Roman"/>
          <w:color w:val="0000FF"/>
        </w:rPr>
        <w:t xml:space="preserve"> </w:t>
      </w:r>
      <w:r w:rsidR="008866B4" w:rsidRPr="00E81D4B">
        <w:rPr>
          <w:rFonts w:ascii="Times New Roman" w:hAnsi="Times New Roman" w:cs="Times New Roman"/>
          <w:color w:val="0000FF"/>
        </w:rPr>
        <w:t>arguments to show that supply shocks were still substantial during the 1980s and even 1990s</w:t>
      </w:r>
      <w:r w:rsidRPr="00E81D4B">
        <w:rPr>
          <w:rFonts w:ascii="Times New Roman" w:hAnsi="Times New Roman" w:cs="Times New Roman"/>
          <w:color w:val="0000FF"/>
        </w:rPr>
        <w:t xml:space="preserve">. Since </w:t>
      </w:r>
      <w:r w:rsidR="00147233" w:rsidRPr="00E81D4B">
        <w:rPr>
          <w:rFonts w:ascii="Times New Roman" w:hAnsi="Times New Roman" w:cs="Times New Roman"/>
          <w:color w:val="0000FF"/>
        </w:rPr>
        <w:t>during</w:t>
      </w:r>
      <w:r w:rsidRPr="00E81D4B">
        <w:rPr>
          <w:rFonts w:ascii="Times New Roman" w:hAnsi="Times New Roman" w:cs="Times New Roman"/>
          <w:color w:val="0000FF"/>
        </w:rPr>
        <w:t xml:space="preserve"> 1980s </w:t>
      </w:r>
      <w:r w:rsidR="00147233" w:rsidRPr="00E81D4B">
        <w:rPr>
          <w:rFonts w:ascii="Times New Roman" w:hAnsi="Times New Roman" w:cs="Times New Roman"/>
          <w:color w:val="0000FF"/>
        </w:rPr>
        <w:t xml:space="preserve">supply shocks </w:t>
      </w:r>
      <w:r w:rsidRPr="00E81D4B">
        <w:rPr>
          <w:rFonts w:ascii="Times New Roman" w:hAnsi="Times New Roman" w:cs="Times New Roman"/>
          <w:color w:val="0000FF"/>
        </w:rPr>
        <w:t>were still a substantial concern</w:t>
      </w:r>
      <w:r w:rsidR="00FF1971">
        <w:rPr>
          <w:rFonts w:ascii="Times New Roman" w:hAnsi="Times New Roman" w:cs="Times New Roman"/>
          <w:color w:val="0000FF"/>
        </w:rPr>
        <w:t xml:space="preserve"> </w:t>
      </w:r>
      <w:r w:rsidR="00147233" w:rsidRPr="00E81D4B">
        <w:rPr>
          <w:rFonts w:ascii="Times New Roman" w:hAnsi="Times New Roman" w:cs="Times New Roman"/>
          <w:i/>
          <w:iCs/>
          <w:color w:val="0000FF"/>
        </w:rPr>
        <w:t>and</w:t>
      </w:r>
      <w:r w:rsidR="00147233" w:rsidRPr="00E81D4B">
        <w:rPr>
          <w:rFonts w:ascii="Times New Roman" w:hAnsi="Times New Roman" w:cs="Times New Roman"/>
          <w:color w:val="0000FF"/>
        </w:rPr>
        <w:t xml:space="preserve"> </w:t>
      </w:r>
      <w:r w:rsidRPr="00E81D4B">
        <w:rPr>
          <w:rFonts w:ascii="Times New Roman" w:hAnsi="Times New Roman" w:cs="Times New Roman"/>
          <w:color w:val="0000FF"/>
        </w:rPr>
        <w:t xml:space="preserve">monetary policy responded </w:t>
      </w:r>
      <w:r w:rsidR="00147233" w:rsidRPr="00E81D4B">
        <w:rPr>
          <w:rFonts w:ascii="Times New Roman" w:hAnsi="Times New Roman" w:cs="Times New Roman"/>
          <w:color w:val="0000FF"/>
        </w:rPr>
        <w:t>strongly to inflation</w:t>
      </w:r>
      <w:r w:rsidRPr="00E81D4B">
        <w:rPr>
          <w:rFonts w:ascii="Times New Roman" w:hAnsi="Times New Roman" w:cs="Times New Roman"/>
          <w:color w:val="0000FF"/>
        </w:rPr>
        <w:t xml:space="preserve">, I regard this period as particularly suitable for testing the </w:t>
      </w:r>
      <w:r w:rsidR="00147233" w:rsidRPr="00E81D4B">
        <w:rPr>
          <w:rFonts w:ascii="Times New Roman" w:hAnsi="Times New Roman" w:cs="Times New Roman"/>
          <w:color w:val="0000FF"/>
        </w:rPr>
        <w:t xml:space="preserve">model’s </w:t>
      </w:r>
      <w:r w:rsidRPr="00E81D4B">
        <w:rPr>
          <w:rFonts w:ascii="Times New Roman" w:hAnsi="Times New Roman" w:cs="Times New Roman"/>
          <w:color w:val="0000FF"/>
        </w:rPr>
        <w:t xml:space="preserve">bond-market implications of monetary policy and </w:t>
      </w:r>
      <w:r w:rsidR="00147233" w:rsidRPr="00E81D4B">
        <w:rPr>
          <w:rFonts w:ascii="Times New Roman" w:hAnsi="Times New Roman" w:cs="Times New Roman"/>
          <w:color w:val="0000FF"/>
        </w:rPr>
        <w:t xml:space="preserve">macroeconomic </w:t>
      </w:r>
      <w:r w:rsidRPr="00E81D4B">
        <w:rPr>
          <w:rFonts w:ascii="Times New Roman" w:hAnsi="Times New Roman" w:cs="Times New Roman"/>
          <w:color w:val="0000FF"/>
        </w:rPr>
        <w:t xml:space="preserve">shocks. </w:t>
      </w:r>
      <w:r w:rsidR="00147233" w:rsidRPr="00E81D4B">
        <w:rPr>
          <w:rFonts w:ascii="Times New Roman" w:hAnsi="Times New Roman" w:cs="Times New Roman"/>
          <w:color w:val="0000FF"/>
        </w:rPr>
        <w:t>While</w:t>
      </w:r>
      <w:r w:rsidRPr="00E81D4B">
        <w:rPr>
          <w:rFonts w:ascii="Times New Roman" w:hAnsi="Times New Roman" w:cs="Times New Roman"/>
          <w:color w:val="0000FF"/>
        </w:rPr>
        <w:t xml:space="preserve"> the 1970s were </w:t>
      </w:r>
      <w:r w:rsidR="00147233" w:rsidRPr="00E81D4B">
        <w:rPr>
          <w:rFonts w:ascii="Times New Roman" w:hAnsi="Times New Roman" w:cs="Times New Roman"/>
          <w:color w:val="0000FF"/>
        </w:rPr>
        <w:t xml:space="preserve">also subject to </w:t>
      </w:r>
      <w:r w:rsidR="00FF1971">
        <w:rPr>
          <w:rFonts w:ascii="Times New Roman" w:hAnsi="Times New Roman" w:cs="Times New Roman"/>
          <w:color w:val="0000FF"/>
        </w:rPr>
        <w:t xml:space="preserve">mostly negative </w:t>
      </w:r>
      <w:r w:rsidR="00147233" w:rsidRPr="00E81D4B">
        <w:rPr>
          <w:rFonts w:ascii="Times New Roman" w:hAnsi="Times New Roman" w:cs="Times New Roman"/>
          <w:color w:val="0000FF"/>
        </w:rPr>
        <w:t xml:space="preserve">supply shocks, </w:t>
      </w:r>
      <w:r w:rsidR="00FF1971">
        <w:rPr>
          <w:rFonts w:ascii="Times New Roman" w:hAnsi="Times New Roman" w:cs="Times New Roman"/>
          <w:color w:val="0000FF"/>
        </w:rPr>
        <w:t>during the 1980s supply shocks were either positive or negative, but still quite volatile. However, a</w:t>
      </w:r>
      <w:r w:rsidR="00147233" w:rsidRPr="00E81D4B">
        <w:rPr>
          <w:rFonts w:ascii="Times New Roman" w:hAnsi="Times New Roman" w:cs="Times New Roman"/>
          <w:color w:val="0000FF"/>
        </w:rPr>
        <w:t xml:space="preserve"> less inflation-responsive monetary policy gave rise to </w:t>
      </w:r>
      <w:r w:rsidRPr="00E81D4B">
        <w:rPr>
          <w:rFonts w:ascii="Times New Roman" w:hAnsi="Times New Roman" w:cs="Times New Roman"/>
          <w:color w:val="0000FF"/>
        </w:rPr>
        <w:t xml:space="preserve">self-fulfilling inflation expectations (Clarida, Gali and Gertler (2000)), which are outside the scope of my relatively parsimonious model. </w:t>
      </w:r>
    </w:p>
    <w:p w14:paraId="5E71FCAA" w14:textId="77777777" w:rsidR="00FA683E" w:rsidRPr="00E81D4B" w:rsidRDefault="00FA683E" w:rsidP="00E81D4B">
      <w:pPr>
        <w:pStyle w:val="ListParagraph"/>
        <w:spacing w:after="0" w:line="240" w:lineRule="auto"/>
        <w:rPr>
          <w:rFonts w:ascii="Times New Roman" w:hAnsi="Times New Roman" w:cs="Times New Roman"/>
          <w:color w:val="0000FF"/>
        </w:rPr>
      </w:pPr>
    </w:p>
    <w:p w14:paraId="78D7358A" w14:textId="62F144DF" w:rsidR="00E81D4B" w:rsidRDefault="00877DC7"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The revised paper provides a</w:t>
      </w:r>
      <w:r w:rsidR="00FA683E" w:rsidRPr="00E81D4B">
        <w:rPr>
          <w:rFonts w:ascii="Times New Roman" w:hAnsi="Times New Roman" w:cs="Times New Roman"/>
          <w:color w:val="0000FF"/>
        </w:rPr>
        <w:t xml:space="preserve">n </w:t>
      </w:r>
      <w:r w:rsidR="00FA683E" w:rsidRPr="00E81D4B">
        <w:rPr>
          <w:rFonts w:ascii="Times New Roman" w:hAnsi="Times New Roman" w:cs="Times New Roman"/>
          <w:b/>
          <w:bCs/>
          <w:color w:val="0000FF"/>
        </w:rPr>
        <w:t xml:space="preserve">updated discussion </w:t>
      </w:r>
      <w:r w:rsidR="007C3CBB" w:rsidRPr="00E81D4B">
        <w:rPr>
          <w:rFonts w:ascii="Times New Roman" w:hAnsi="Times New Roman" w:cs="Times New Roman"/>
          <w:b/>
          <w:bCs/>
          <w:color w:val="0000FF"/>
        </w:rPr>
        <w:t>linking</w:t>
      </w:r>
      <w:r w:rsidR="00FA683E" w:rsidRPr="00E81D4B">
        <w:rPr>
          <w:rFonts w:ascii="Times New Roman" w:hAnsi="Times New Roman" w:cs="Times New Roman"/>
          <w:b/>
          <w:bCs/>
          <w:color w:val="0000FF"/>
        </w:rPr>
        <w:t xml:space="preserve"> </w:t>
      </w:r>
      <w:r w:rsidRPr="00E81D4B">
        <w:rPr>
          <w:rFonts w:ascii="Times New Roman" w:hAnsi="Times New Roman" w:cs="Times New Roman"/>
          <w:b/>
          <w:bCs/>
          <w:color w:val="0000FF"/>
        </w:rPr>
        <w:t xml:space="preserve">post-pandemic changes in monetary policy </w:t>
      </w:r>
      <w:r w:rsidR="00147233" w:rsidRPr="00E81D4B">
        <w:rPr>
          <w:rFonts w:ascii="Times New Roman" w:hAnsi="Times New Roman" w:cs="Times New Roman"/>
          <w:b/>
          <w:bCs/>
          <w:color w:val="0000FF"/>
        </w:rPr>
        <w:t>to changes in</w:t>
      </w:r>
      <w:r w:rsidRPr="00E81D4B">
        <w:rPr>
          <w:rFonts w:ascii="Times New Roman" w:hAnsi="Times New Roman" w:cs="Times New Roman"/>
          <w:b/>
          <w:bCs/>
          <w:color w:val="0000FF"/>
        </w:rPr>
        <w:t xml:space="preserve"> bond risks</w:t>
      </w:r>
      <w:r w:rsidRPr="00E81D4B">
        <w:rPr>
          <w:rFonts w:ascii="Times New Roman" w:hAnsi="Times New Roman" w:cs="Times New Roman"/>
          <w:color w:val="0000FF"/>
        </w:rPr>
        <w:t xml:space="preserve">. </w:t>
      </w:r>
      <w:r w:rsidR="00E81D4B" w:rsidRPr="00E81D4B">
        <w:rPr>
          <w:rFonts w:ascii="Times New Roman" w:hAnsi="Times New Roman" w:cs="Times New Roman"/>
          <w:color w:val="0000FF"/>
        </w:rPr>
        <w:t xml:space="preserve">The updated discussion around Table 3 emphasizes that the bond-risk implied monetary policy rule changed little during the initial run-up of inflation in 2021, but </w:t>
      </w:r>
      <w:r w:rsidR="0038330F">
        <w:rPr>
          <w:rFonts w:ascii="Times New Roman" w:hAnsi="Times New Roman" w:cs="Times New Roman"/>
          <w:color w:val="0000FF"/>
        </w:rPr>
        <w:t xml:space="preserve">bond betas and the implied monetary policy rule changed in the </w:t>
      </w:r>
      <w:r w:rsidR="00DA26D0">
        <w:rPr>
          <w:rFonts w:ascii="Times New Roman" w:hAnsi="Times New Roman" w:cs="Times New Roman"/>
          <w:color w:val="0000FF"/>
        </w:rPr>
        <w:t>second half</w:t>
      </w:r>
      <w:commentRangeStart w:id="0"/>
      <w:r w:rsidR="0038330F">
        <w:rPr>
          <w:rFonts w:ascii="Times New Roman" w:hAnsi="Times New Roman" w:cs="Times New Roman"/>
          <w:color w:val="0000FF"/>
        </w:rPr>
        <w:t xml:space="preserve"> of 2023</w:t>
      </w:r>
      <w:r w:rsidR="00B80F95">
        <w:rPr>
          <w:rFonts w:ascii="Times New Roman" w:hAnsi="Times New Roman" w:cs="Times New Roman"/>
          <w:color w:val="0000FF"/>
        </w:rPr>
        <w:t xml:space="preserve">, </w:t>
      </w:r>
      <w:commentRangeEnd w:id="0"/>
      <w:r w:rsidR="003B7156">
        <w:rPr>
          <w:rStyle w:val="CommentReference"/>
        </w:rPr>
        <w:commentReference w:id="0"/>
      </w:r>
      <w:r w:rsidR="0038330F">
        <w:rPr>
          <w:rFonts w:ascii="Times New Roman" w:hAnsi="Times New Roman" w:cs="Times New Roman"/>
          <w:color w:val="0000FF"/>
        </w:rPr>
        <w:t xml:space="preserve">around the peak of the Fed’s most recent hiking cycle. The revised manuscript newly discusses </w:t>
      </w:r>
      <w:r w:rsidR="00FB4945">
        <w:rPr>
          <w:rFonts w:ascii="Times New Roman" w:hAnsi="Times New Roman" w:cs="Times New Roman"/>
          <w:color w:val="0000FF"/>
        </w:rPr>
        <w:t xml:space="preserve">how these bond-risk implied changes in monetary policy are consistent with external evidence from </w:t>
      </w:r>
      <w:r w:rsidR="00E81D4B" w:rsidRPr="00E81D4B">
        <w:rPr>
          <w:rFonts w:ascii="Times New Roman" w:hAnsi="Times New Roman" w:cs="Times New Roman"/>
          <w:color w:val="0000FF"/>
        </w:rPr>
        <w:t>survey data and high-frequency market responses</w:t>
      </w:r>
      <w:r w:rsidR="00B80F95">
        <w:rPr>
          <w:rFonts w:ascii="Times New Roman" w:hAnsi="Times New Roman" w:cs="Times New Roman"/>
          <w:color w:val="0000FF"/>
        </w:rPr>
        <w:t xml:space="preserve"> during the post-pandemic period </w:t>
      </w:r>
      <w:r w:rsidR="00485C60" w:rsidRPr="00E81D4B">
        <w:rPr>
          <w:rFonts w:ascii="Times New Roman" w:hAnsi="Times New Roman" w:cs="Times New Roman"/>
          <w:color w:val="0000FF"/>
        </w:rPr>
        <w:t>(“</w:t>
      </w:r>
      <w:hyperlink r:id="rId12" w:tgtFrame="_blank" w:history="1">
        <w:r w:rsidR="00485C60" w:rsidRPr="00E81D4B">
          <w:rPr>
            <w:rFonts w:ascii="Times New Roman" w:hAnsi="Times New Roman" w:cs="Times New Roman"/>
            <w:color w:val="0000FF"/>
          </w:rPr>
          <w:t>Changing Perceptions and Post-Pandemic Monetary Policy</w:t>
        </w:r>
      </w:hyperlink>
      <w:r w:rsidR="00485C60" w:rsidRPr="00E81D4B">
        <w:rPr>
          <w:rFonts w:ascii="Times New Roman" w:hAnsi="Times New Roman" w:cs="Times New Roman"/>
          <w:color w:val="0000FF"/>
        </w:rPr>
        <w:t xml:space="preserve">” with Michael Bauer and Adi </w:t>
      </w:r>
      <w:proofErr w:type="spellStart"/>
      <w:r w:rsidR="00485C60" w:rsidRPr="00E81D4B">
        <w:rPr>
          <w:rFonts w:ascii="Times New Roman" w:hAnsi="Times New Roman" w:cs="Times New Roman"/>
          <w:color w:val="0000FF"/>
        </w:rPr>
        <w:t>Sunderam</w:t>
      </w:r>
      <w:proofErr w:type="spellEnd"/>
      <w:r w:rsidR="00485C60" w:rsidRPr="00E81D4B">
        <w:rPr>
          <w:rFonts w:ascii="Times New Roman" w:hAnsi="Times New Roman" w:cs="Times New Roman"/>
          <w:color w:val="0000FF"/>
        </w:rPr>
        <w:t xml:space="preserve">). </w:t>
      </w:r>
      <w:r w:rsidR="00E81D4B" w:rsidRPr="00E81D4B">
        <w:rPr>
          <w:rFonts w:ascii="Times New Roman" w:hAnsi="Times New Roman" w:cs="Times New Roman"/>
          <w:color w:val="0000FF"/>
        </w:rPr>
        <w:t xml:space="preserve">To be clear, this complementary work </w:t>
      </w:r>
      <w:r w:rsidR="0038330F">
        <w:rPr>
          <w:rFonts w:ascii="Times New Roman" w:hAnsi="Times New Roman" w:cs="Times New Roman"/>
          <w:color w:val="0000FF"/>
        </w:rPr>
        <w:t xml:space="preserve">does not contain any results </w:t>
      </w:r>
      <w:r w:rsidR="00E81D4B" w:rsidRPr="00E81D4B">
        <w:rPr>
          <w:rFonts w:ascii="Times New Roman" w:hAnsi="Times New Roman" w:cs="Times New Roman"/>
          <w:color w:val="0000FF"/>
        </w:rPr>
        <w:t xml:space="preserve">for bond-stock betas nor a structural model of asset prices, </w:t>
      </w:r>
      <w:r w:rsidR="00485C60" w:rsidRPr="00E81D4B">
        <w:rPr>
          <w:rFonts w:ascii="Times New Roman" w:hAnsi="Times New Roman" w:cs="Times New Roman"/>
          <w:color w:val="0000FF"/>
        </w:rPr>
        <w:t xml:space="preserve">so it would not be sufficient to reach the conclusions contained in this </w:t>
      </w:r>
      <w:r w:rsidR="000C1662" w:rsidRPr="00E81D4B">
        <w:rPr>
          <w:rFonts w:ascii="Times New Roman" w:hAnsi="Times New Roman" w:cs="Times New Roman"/>
          <w:color w:val="0000FF"/>
        </w:rPr>
        <w:t>manuscript</w:t>
      </w:r>
      <w:r w:rsidR="00485C60" w:rsidRPr="00E81D4B">
        <w:rPr>
          <w:rFonts w:ascii="Times New Roman" w:hAnsi="Times New Roman" w:cs="Times New Roman"/>
          <w:color w:val="0000FF"/>
        </w:rPr>
        <w:t xml:space="preserve">.  </w:t>
      </w:r>
    </w:p>
    <w:p w14:paraId="6FBBD899" w14:textId="77777777" w:rsidR="00B80F95" w:rsidRPr="00B80F95" w:rsidRDefault="00B80F95" w:rsidP="00B80F95">
      <w:pPr>
        <w:spacing w:after="0" w:line="240" w:lineRule="auto"/>
        <w:jc w:val="both"/>
        <w:rPr>
          <w:rFonts w:ascii="Times New Roman" w:hAnsi="Times New Roman" w:cs="Times New Roman"/>
          <w:color w:val="0000FF"/>
        </w:rPr>
      </w:pPr>
    </w:p>
    <w:p w14:paraId="7F61AFBA" w14:textId="77777777" w:rsidR="00E81D4B" w:rsidRPr="00E81D4B" w:rsidRDefault="00E81D4B"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lastRenderedPageBreak/>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771C29" w:rsidRPr="00E81D4B">
        <w:rPr>
          <w:rFonts w:ascii="Times New Roman" w:hAnsi="Times New Roman" w:cs="Times New Roman"/>
          <w:i/>
          <w:color w:val="0000FF"/>
          <w:sz w:val="22"/>
          <w:szCs w:val="22"/>
        </w:rPr>
        <w:t>,</w:t>
      </w:r>
      <w:r w:rsidR="00CE0A5F" w:rsidRPr="00E81D4B">
        <w:rPr>
          <w:rFonts w:ascii="Times New Roman" w:hAnsi="Times New Roman" w:cs="Times New Roman"/>
          <w:color w:val="0000FF"/>
          <w:sz w:val="22"/>
          <w:szCs w:val="22"/>
        </w:rPr>
        <w:t xml:space="preserve"> and </w:t>
      </w:r>
      <w:r w:rsidR="00877DC7" w:rsidRPr="00E81D4B">
        <w:rPr>
          <w:rFonts w:ascii="Times New Roman" w:hAnsi="Times New Roman" w:cs="Times New Roman"/>
          <w:color w:val="0000FF"/>
          <w:sz w:val="22"/>
          <w:szCs w:val="22"/>
        </w:rPr>
        <w:t xml:space="preserve">I look forward to your comments. </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Pr="00E81D4B"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42504DD3" w14:textId="77777777" w:rsidR="00CE0A5F" w:rsidRDefault="00CE0A5F" w:rsidP="00E81D4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D385D4F" w14:textId="15E04D6E" w:rsidR="00FC7B24" w:rsidRPr="00B84221" w:rsidRDefault="00C10E55" w:rsidP="00C10E55">
      <w:pPr>
        <w:autoSpaceDE w:val="0"/>
        <w:autoSpaceDN w:val="0"/>
        <w:adjustRightInd w:val="0"/>
        <w:spacing w:after="0" w:line="240" w:lineRule="auto"/>
        <w:jc w:val="both"/>
        <w:rPr>
          <w:rFonts w:ascii="Times New Roman" w:hAnsi="Times New Roman" w:cs="Times New Roman"/>
          <w:b/>
          <w:bCs/>
          <w:u w:val="single"/>
        </w:rPr>
      </w:pPr>
      <w:r w:rsidRPr="00B84221">
        <w:rPr>
          <w:rFonts w:ascii="Times New Roman" w:hAnsi="Times New Roman" w:cs="Times New Roman"/>
          <w:b/>
          <w:bCs/>
          <w:u w:val="single"/>
        </w:rPr>
        <w:lastRenderedPageBreak/>
        <w:t>Responses to Associate Editor</w:t>
      </w:r>
    </w:p>
    <w:p w14:paraId="0CC45CAD" w14:textId="77777777" w:rsidR="009E10F4" w:rsidRPr="00C10E55" w:rsidRDefault="009E10F4" w:rsidP="00C10E55">
      <w:pPr>
        <w:autoSpaceDE w:val="0"/>
        <w:autoSpaceDN w:val="0"/>
        <w:adjustRightInd w:val="0"/>
        <w:spacing w:after="0" w:line="240" w:lineRule="auto"/>
        <w:jc w:val="both"/>
        <w:rPr>
          <w:rFonts w:ascii="Times New Roman" w:hAnsi="Times New Roman" w:cs="Times New Roman"/>
        </w:rPr>
      </w:pPr>
    </w:p>
    <w:p w14:paraId="106616A8" w14:textId="77777777"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It’s useful to start with the common threads from both reports. Both referees want to see:</w:t>
      </w:r>
    </w:p>
    <w:p w14:paraId="5D76C2F3" w14:textId="77777777" w:rsidR="00C10E55" w:rsidRPr="00C10E55" w:rsidRDefault="00C10E55" w:rsidP="00C10E55">
      <w:pPr>
        <w:adjustRightInd w:val="0"/>
        <w:spacing w:after="0" w:line="240" w:lineRule="auto"/>
        <w:rPr>
          <w:rFonts w:ascii="Times New Roman" w:hAnsi="Times New Roman" w:cs="Times New Roman"/>
        </w:rPr>
      </w:pPr>
    </w:p>
    <w:p w14:paraId="377FDAE9" w14:textId="77777777" w:rsidR="009E10F4" w:rsidRDefault="009E10F4" w:rsidP="00C10E55">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55E24DBB"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8469D34" w14:textId="04A12D22" w:rsidR="00555A5B" w:rsidRPr="00C10E55" w:rsidRDefault="00555A5B"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Done. The introduction now contains an updated discussion of how the manuscript relates to the literature, both in terms of my own prior work and other authors’ contributions. </w:t>
      </w:r>
    </w:p>
    <w:p w14:paraId="76814516" w14:textId="77777777" w:rsidR="00555A5B" w:rsidRPr="00C10E55" w:rsidRDefault="00555A5B" w:rsidP="00C10E55">
      <w:pPr>
        <w:autoSpaceDE w:val="0"/>
        <w:autoSpaceDN w:val="0"/>
        <w:adjustRightInd w:val="0"/>
        <w:spacing w:after="0" w:line="240" w:lineRule="auto"/>
        <w:ind w:left="360" w:firstLine="720"/>
        <w:rPr>
          <w:rFonts w:ascii="Times New Roman" w:hAnsi="Times New Roman" w:cs="Times New Roman"/>
          <w:color w:val="0000FF"/>
        </w:rPr>
      </w:pPr>
    </w:p>
    <w:p w14:paraId="28B7552D" w14:textId="1791CAB4" w:rsidR="003904DA" w:rsidRDefault="009E10F4" w:rsidP="003904DA">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5CA6B8C" w14:textId="77777777" w:rsidR="003904DA" w:rsidRDefault="003904DA" w:rsidP="003904DA">
      <w:pPr>
        <w:widowControl w:val="0"/>
        <w:autoSpaceDE w:val="0"/>
        <w:autoSpaceDN w:val="0"/>
        <w:adjustRightInd w:val="0"/>
        <w:spacing w:after="0" w:line="240" w:lineRule="auto"/>
        <w:rPr>
          <w:rFonts w:ascii="Times New Roman" w:hAnsi="Times New Roman" w:cs="Times New Roman"/>
        </w:rPr>
      </w:pPr>
    </w:p>
    <w:p w14:paraId="5FC9597F" w14:textId="751DD0F3" w:rsidR="003904DA" w:rsidRPr="003904DA" w:rsidRDefault="003904DA" w:rsidP="003904DA">
      <w:pPr>
        <w:widowControl w:val="0"/>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Done.</w:t>
      </w:r>
      <w:r>
        <w:rPr>
          <w:rFonts w:ascii="Times New Roman" w:hAnsi="Times New Roman" w:cs="Times New Roman"/>
          <w:color w:val="0000FF"/>
        </w:rPr>
        <w:t xml:space="preserve"> I have followed your advice and added references to key papers in the literature, examples, and a simple text-based analysis to show that supply shocks were a significant concern throughout the 1980s and 1990s. Following your suggestion, I also used the model show that the empirical bond-stock betas during the 1980s can only be explained if volatile supply shocks were present, but not by monetary policy alone. </w:t>
      </w:r>
    </w:p>
    <w:p w14:paraId="015C964F"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0591A68" w14:textId="2B4745F0"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sidRPr="00C10E55">
        <w:rPr>
          <w:rFonts w:ascii="Times New Roman" w:hAnsi="Times New Roman" w:cs="Times New Roman"/>
        </w:rPr>
        <w:t xml:space="preserve"> </w:t>
      </w:r>
      <w:r w:rsidRPr="00C10E55">
        <w:rPr>
          <w:rFonts w:ascii="Times New Roman" w:hAnsi="Times New Roman" w:cs="Times New Roman"/>
        </w:rPr>
        <w:t>The more negative referee raises several additional relevant points that the author should carefully address:</w:t>
      </w:r>
    </w:p>
    <w:p w14:paraId="6DDDF889" w14:textId="77777777" w:rsidR="00C10E55" w:rsidRPr="00C10E55" w:rsidRDefault="00C10E55" w:rsidP="00C10E55">
      <w:pPr>
        <w:adjustRightInd w:val="0"/>
        <w:spacing w:after="0" w:line="240" w:lineRule="auto"/>
        <w:rPr>
          <w:rFonts w:ascii="Times New Roman" w:hAnsi="Times New Roman" w:cs="Times New Roman"/>
        </w:rPr>
      </w:pPr>
    </w:p>
    <w:p w14:paraId="6556E31E" w14:textId="2467E40E" w:rsidR="009E10F4" w:rsidRPr="00C10E55"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C10E55">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provides a compelling argument about why the previous papers aren’t enough to fully examine this empirical fact in both the response and the next draft.</w:t>
      </w:r>
    </w:p>
    <w:p w14:paraId="2EEF60B2" w14:textId="77777777" w:rsidR="001965F2" w:rsidRPr="00C10E55" w:rsidRDefault="001965F2"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19CE010B" w14:textId="150BCF53" w:rsidR="009413BE" w:rsidRPr="00C10E55" w:rsidRDefault="000141B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Thank you for th</w:t>
      </w:r>
      <w:r w:rsidR="00825167">
        <w:rPr>
          <w:rFonts w:ascii="Times New Roman" w:hAnsi="Times New Roman" w:cs="Times New Roman"/>
          <w:color w:val="0000FF"/>
        </w:rPr>
        <w:t>ese</w:t>
      </w:r>
      <w:r w:rsidRPr="00C10E55">
        <w:rPr>
          <w:rFonts w:ascii="Times New Roman" w:hAnsi="Times New Roman" w:cs="Times New Roman"/>
          <w:color w:val="0000FF"/>
        </w:rPr>
        <w:t xml:space="preserve"> fantastic suggestion</w:t>
      </w:r>
      <w:r w:rsidR="00825167">
        <w:rPr>
          <w:rFonts w:ascii="Times New Roman" w:hAnsi="Times New Roman" w:cs="Times New Roman"/>
          <w:color w:val="0000FF"/>
        </w:rPr>
        <w:t>s</w:t>
      </w:r>
      <w:r w:rsidRPr="00C10E55">
        <w:rPr>
          <w:rFonts w:ascii="Times New Roman" w:hAnsi="Times New Roman" w:cs="Times New Roman"/>
          <w:color w:val="0000FF"/>
        </w:rPr>
        <w:t xml:space="preserve"> for framing the paper. </w:t>
      </w:r>
      <w:r w:rsidR="00B562AD" w:rsidRPr="00C10E55">
        <w:rPr>
          <w:rFonts w:ascii="Times New Roman" w:hAnsi="Times New Roman" w:cs="Times New Roman"/>
          <w:color w:val="0000FF"/>
        </w:rPr>
        <w:t xml:space="preserve">I made substantial changes to the introduction to reflect this new framing. The </w:t>
      </w:r>
      <w:r w:rsidR="009413BE" w:rsidRPr="00C10E55">
        <w:rPr>
          <w:rFonts w:ascii="Times New Roman" w:hAnsi="Times New Roman" w:cs="Times New Roman"/>
          <w:color w:val="0000FF"/>
        </w:rPr>
        <w:t xml:space="preserve">paper’s </w:t>
      </w:r>
      <w:r w:rsidR="00B562AD" w:rsidRPr="00C10E55">
        <w:rPr>
          <w:rFonts w:ascii="Times New Roman" w:hAnsi="Times New Roman" w:cs="Times New Roman"/>
          <w:color w:val="0000FF"/>
        </w:rPr>
        <w:t xml:space="preserve">main </w:t>
      </w:r>
      <w:r w:rsidR="009413BE" w:rsidRPr="00C10E55">
        <w:rPr>
          <w:rFonts w:ascii="Times New Roman" w:hAnsi="Times New Roman" w:cs="Times New Roman"/>
          <w:color w:val="0000FF"/>
        </w:rPr>
        <w:t>conclusion that a “perfect storm” is needed</w:t>
      </w:r>
      <w:r w:rsidR="00B562AD" w:rsidRPr="00C10E55">
        <w:rPr>
          <w:rFonts w:ascii="Times New Roman" w:hAnsi="Times New Roman" w:cs="Times New Roman"/>
          <w:color w:val="0000FF"/>
        </w:rPr>
        <w:t xml:space="preserve"> is now </w:t>
      </w:r>
      <w:r w:rsidR="009413BE" w:rsidRPr="00C10E55">
        <w:rPr>
          <w:rFonts w:ascii="Times New Roman" w:hAnsi="Times New Roman" w:cs="Times New Roman"/>
          <w:color w:val="0000FF"/>
        </w:rPr>
        <w:t xml:space="preserve">stated up-front </w:t>
      </w:r>
      <w:r w:rsidR="00B562AD" w:rsidRPr="00C10E55">
        <w:rPr>
          <w:rFonts w:ascii="Times New Roman" w:hAnsi="Times New Roman" w:cs="Times New Roman"/>
          <w:color w:val="0000FF"/>
        </w:rPr>
        <w:t xml:space="preserve">at the beginning of the introduction </w:t>
      </w:r>
      <w:r w:rsidR="006C7784" w:rsidRPr="00193958">
        <w:rPr>
          <w:rFonts w:ascii="Times New Roman" w:hAnsi="Times New Roman" w:cs="Times New Roman"/>
          <w:b/>
          <w:bCs/>
          <w:color w:val="0000FF"/>
        </w:rPr>
        <w:t>(</w:t>
      </w:r>
      <w:r w:rsidR="00193958" w:rsidRPr="00193958">
        <w:rPr>
          <w:rFonts w:ascii="Times New Roman" w:hAnsi="Times New Roman" w:cs="Times New Roman"/>
          <w:b/>
          <w:bCs/>
          <w:color w:val="0000FF"/>
        </w:rPr>
        <w:t>see</w:t>
      </w:r>
      <w:r w:rsidR="00193958">
        <w:rPr>
          <w:rFonts w:ascii="Times New Roman" w:hAnsi="Times New Roman" w:cs="Times New Roman"/>
          <w:color w:val="0000FF"/>
        </w:rPr>
        <w:t xml:space="preserve"> </w:t>
      </w:r>
      <w:r w:rsidR="006C7784" w:rsidRPr="00C10E55">
        <w:rPr>
          <w:rFonts w:ascii="Times New Roman" w:hAnsi="Times New Roman" w:cs="Times New Roman"/>
          <w:b/>
          <w:bCs/>
          <w:color w:val="0000FF"/>
        </w:rPr>
        <w:t>p.1, paragraph starting “This paper uses a New Keynesian equilibrium model for the macroeconomy and asset prices (…)”</w:t>
      </w:r>
      <w:r w:rsidR="006C7784" w:rsidRPr="00C10E55">
        <w:rPr>
          <w:rFonts w:ascii="Times New Roman" w:hAnsi="Times New Roman" w:cs="Times New Roman"/>
          <w:color w:val="0000FF"/>
        </w:rPr>
        <w:t xml:space="preserve">). </w:t>
      </w:r>
    </w:p>
    <w:p w14:paraId="2CCA064E" w14:textId="77777777" w:rsidR="009413BE" w:rsidRPr="00C10E55" w:rsidRDefault="009413B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028EA95B" w14:textId="10E08FFA" w:rsidR="009413BE" w:rsidRPr="00C10E55" w:rsidRDefault="00B562A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Next, the model overview starting on the first page of the revised introduction now clarifies how the model in this paper differs from Campbell, Pflueger, and </w:t>
      </w:r>
      <w:proofErr w:type="spellStart"/>
      <w:r w:rsidRPr="00C10E55">
        <w:rPr>
          <w:rFonts w:ascii="Times New Roman" w:hAnsi="Times New Roman" w:cs="Times New Roman"/>
          <w:color w:val="0000FF"/>
        </w:rPr>
        <w:t>Viceira</w:t>
      </w:r>
      <w:proofErr w:type="spellEnd"/>
      <w:r w:rsidRPr="00C10E55">
        <w:rPr>
          <w:rFonts w:ascii="Times New Roman" w:hAnsi="Times New Roman" w:cs="Times New Roman"/>
          <w:color w:val="0000FF"/>
        </w:rPr>
        <w:t xml:space="preserve"> (2020) and Pflueger and Rinaldi </w:t>
      </w:r>
      <w:r w:rsidRPr="00C10E55">
        <w:rPr>
          <w:rFonts w:ascii="Times New Roman" w:hAnsi="Times New Roman" w:cs="Times New Roman"/>
          <w:color w:val="0000FF"/>
        </w:rPr>
        <w:lastRenderedPageBreak/>
        <w:t xml:space="preserve">(2022) </w:t>
      </w:r>
      <w:r w:rsidR="006C7784" w:rsidRPr="00C10E55">
        <w:rPr>
          <w:rFonts w:ascii="Times New Roman" w:hAnsi="Times New Roman" w:cs="Times New Roman"/>
          <w:b/>
          <w:bCs/>
          <w:color w:val="0000FF"/>
        </w:rPr>
        <w:t>(</w:t>
      </w:r>
      <w:r w:rsidR="00193958">
        <w:rPr>
          <w:rFonts w:ascii="Times New Roman" w:hAnsi="Times New Roman" w:cs="Times New Roman"/>
          <w:b/>
          <w:bCs/>
          <w:color w:val="0000FF"/>
        </w:rPr>
        <w:t xml:space="preserve">see </w:t>
      </w:r>
      <w:r w:rsidR="006C7784" w:rsidRPr="00C10E55">
        <w:rPr>
          <w:rFonts w:ascii="Times New Roman" w:hAnsi="Times New Roman" w:cs="Times New Roman"/>
          <w:b/>
          <w:bCs/>
          <w:color w:val="0000FF"/>
        </w:rPr>
        <w:t>p.</w:t>
      </w:r>
      <w:r w:rsidRPr="00C10E55">
        <w:rPr>
          <w:rFonts w:ascii="Times New Roman" w:hAnsi="Times New Roman" w:cs="Times New Roman"/>
          <w:b/>
          <w:bCs/>
          <w:color w:val="0000FF"/>
        </w:rPr>
        <w:t>1</w:t>
      </w:r>
      <w:r w:rsidR="006C7784" w:rsidRPr="00C10E55">
        <w:rPr>
          <w:rFonts w:ascii="Times New Roman" w:hAnsi="Times New Roman" w:cs="Times New Roman"/>
          <w:b/>
          <w:bCs/>
          <w:color w:val="0000FF"/>
        </w:rPr>
        <w:t>, paragraph starting "</w:t>
      </w:r>
      <w:r w:rsidRPr="00C10E55">
        <w:rPr>
          <w:rFonts w:ascii="Times New Roman" w:hAnsi="Times New Roman" w:cs="Times New Roman"/>
          <w:b/>
          <w:bCs/>
          <w:color w:val="0000FF"/>
        </w:rPr>
        <w:t xml:space="preserve"> The habit formation preferences in this paper build on Campbell, Pflueger, and </w:t>
      </w:r>
      <w:proofErr w:type="spellStart"/>
      <w:r w:rsidRPr="00C10E55">
        <w:rPr>
          <w:rFonts w:ascii="Times New Roman" w:hAnsi="Times New Roman" w:cs="Times New Roman"/>
          <w:b/>
          <w:bCs/>
          <w:color w:val="0000FF"/>
        </w:rPr>
        <w:t>Viceira</w:t>
      </w:r>
      <w:proofErr w:type="spellEnd"/>
      <w:r w:rsidRPr="00C10E55">
        <w:rPr>
          <w:rFonts w:ascii="Times New Roman" w:hAnsi="Times New Roman" w:cs="Times New Roman"/>
          <w:b/>
          <w:bCs/>
          <w:color w:val="0000FF"/>
        </w:rPr>
        <w:t xml:space="preserve"> (2020)  and Pflueger and Rinaldi (2022) but the model in this paper also contains several changes</w:t>
      </w:r>
      <w:r w:rsidR="006C7784" w:rsidRPr="00C10E55">
        <w:rPr>
          <w:rFonts w:ascii="Times New Roman" w:hAnsi="Times New Roman" w:cs="Times New Roman"/>
          <w:b/>
          <w:bCs/>
          <w:color w:val="0000FF"/>
        </w:rPr>
        <w:t xml:space="preserve"> (…)”).</w:t>
      </w:r>
      <w:r w:rsidR="006C7784" w:rsidRPr="00C10E55">
        <w:rPr>
          <w:rFonts w:ascii="Times New Roman" w:hAnsi="Times New Roman" w:cs="Times New Roman"/>
          <w:color w:val="0000FF"/>
        </w:rPr>
        <w:t xml:space="preserve"> </w:t>
      </w:r>
    </w:p>
    <w:p w14:paraId="492CDDB6" w14:textId="77777777" w:rsidR="009413BE" w:rsidRPr="00C10E55" w:rsidRDefault="009413B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52CD829" w14:textId="0BBFE019" w:rsidR="00CB106E" w:rsidRPr="00C10E55" w:rsidRDefault="009D51D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Finally, </w:t>
      </w:r>
      <w:r w:rsidR="00C11758">
        <w:rPr>
          <w:rFonts w:ascii="Times New Roman" w:hAnsi="Times New Roman" w:cs="Times New Roman"/>
          <w:color w:val="0000FF"/>
        </w:rPr>
        <w:t xml:space="preserve">the revised manuscript now clarifies </w:t>
      </w:r>
      <w:r w:rsidRPr="00C10E55">
        <w:rPr>
          <w:rFonts w:ascii="Times New Roman" w:hAnsi="Times New Roman" w:cs="Times New Roman"/>
          <w:color w:val="0000FF"/>
        </w:rPr>
        <w:t xml:space="preserve">how this paper contributes over my own prior work and the broader literature on bond-stock comovements. </w:t>
      </w:r>
      <w:r w:rsidR="006C7784" w:rsidRPr="00C10E55">
        <w:rPr>
          <w:rFonts w:ascii="Times New Roman" w:hAnsi="Times New Roman" w:cs="Times New Roman"/>
          <w:color w:val="0000FF"/>
        </w:rPr>
        <w:t xml:space="preserve">In summary, while this paper builds on the previous literature, it contains several changes giving it a unique ability to conduct counterfactual exercises with respect to the composition of macroeconomic shocks and the Taylor rule coefficients on bond-stock betas. One important predecessor paper, </w:t>
      </w:r>
      <w:r w:rsidR="001302C0" w:rsidRPr="00C10E55">
        <w:rPr>
          <w:rFonts w:ascii="Times New Roman" w:hAnsi="Times New Roman" w:cs="Times New Roman"/>
          <w:color w:val="0000FF"/>
        </w:rPr>
        <w:t xml:space="preserve">Campbell, Pflueger, and </w:t>
      </w:r>
      <w:proofErr w:type="spellStart"/>
      <w:r w:rsidR="001302C0" w:rsidRPr="00C10E55">
        <w:rPr>
          <w:rFonts w:ascii="Times New Roman" w:hAnsi="Times New Roman" w:cs="Times New Roman"/>
          <w:color w:val="0000FF"/>
        </w:rPr>
        <w:t>Viceira</w:t>
      </w:r>
      <w:proofErr w:type="spellEnd"/>
      <w:r w:rsidR="001302C0" w:rsidRPr="00C10E55">
        <w:rPr>
          <w:rFonts w:ascii="Times New Roman" w:hAnsi="Times New Roman" w:cs="Times New Roman"/>
          <w:color w:val="0000FF"/>
        </w:rPr>
        <w:t xml:space="preserve"> (2020</w:t>
      </w:r>
      <w:r w:rsidR="00CB106E" w:rsidRPr="00C10E55">
        <w:rPr>
          <w:rFonts w:ascii="Times New Roman" w:hAnsi="Times New Roman" w:cs="Times New Roman"/>
          <w:color w:val="0000FF"/>
        </w:rPr>
        <w:t>, CPV</w:t>
      </w:r>
      <w:r w:rsidR="001302C0" w:rsidRPr="00C10E55">
        <w:rPr>
          <w:rFonts w:ascii="Times New Roman" w:hAnsi="Times New Roman" w:cs="Times New Roman"/>
          <w:color w:val="0000FF"/>
        </w:rPr>
        <w:t>)</w:t>
      </w:r>
      <w:r w:rsidR="006C7784" w:rsidRPr="00C10E55">
        <w:rPr>
          <w:rFonts w:ascii="Times New Roman" w:hAnsi="Times New Roman" w:cs="Times New Roman"/>
          <w:color w:val="0000FF"/>
        </w:rPr>
        <w:t>,</w:t>
      </w:r>
      <w:r w:rsidR="001302C0" w:rsidRPr="00C10E55">
        <w:rPr>
          <w:rFonts w:ascii="Times New Roman" w:hAnsi="Times New Roman" w:cs="Times New Roman"/>
          <w:color w:val="0000FF"/>
        </w:rPr>
        <w:t xml:space="preserve"> </w:t>
      </w:r>
      <w:r w:rsidR="004D5E67" w:rsidRPr="00C10E55">
        <w:rPr>
          <w:rFonts w:ascii="Times New Roman" w:hAnsi="Times New Roman" w:cs="Times New Roman"/>
          <w:color w:val="0000FF"/>
        </w:rPr>
        <w:t>contains</w:t>
      </w:r>
      <w:r w:rsidR="001302C0" w:rsidRPr="00C10E55">
        <w:rPr>
          <w:rFonts w:ascii="Times New Roman" w:hAnsi="Times New Roman" w:cs="Times New Roman"/>
          <w:color w:val="0000FF"/>
        </w:rPr>
        <w:t xml:space="preserve"> the same Euler equation, and </w:t>
      </w:r>
      <w:r w:rsidR="00172FE9" w:rsidRPr="00C10E55">
        <w:rPr>
          <w:rFonts w:ascii="Times New Roman" w:hAnsi="Times New Roman" w:cs="Times New Roman"/>
          <w:color w:val="0000FF"/>
        </w:rPr>
        <w:t xml:space="preserve"> </w:t>
      </w:r>
      <w:r w:rsidR="00CB106E" w:rsidRPr="00C10E55">
        <w:rPr>
          <w:rFonts w:ascii="Times New Roman" w:hAnsi="Times New Roman" w:cs="Times New Roman"/>
          <w:color w:val="0000FF"/>
        </w:rPr>
        <w:t xml:space="preserve"> </w:t>
      </w:r>
      <w:r w:rsidR="001302C0" w:rsidRPr="00C10E55">
        <w:rPr>
          <w:rFonts w:ascii="Times New Roman" w:hAnsi="Times New Roman" w:cs="Times New Roman"/>
          <w:color w:val="0000FF"/>
        </w:rPr>
        <w:t>price</w:t>
      </w:r>
      <w:r w:rsidR="0054647D" w:rsidRPr="00C10E55">
        <w:rPr>
          <w:rFonts w:ascii="Times New Roman" w:hAnsi="Times New Roman" w:cs="Times New Roman"/>
          <w:color w:val="0000FF"/>
        </w:rPr>
        <w:t>s</w:t>
      </w:r>
      <w:r w:rsidR="001302C0" w:rsidRPr="00C10E55">
        <w:rPr>
          <w:rFonts w:ascii="Times New Roman" w:hAnsi="Times New Roman" w:cs="Times New Roman"/>
          <w:color w:val="0000FF"/>
        </w:rPr>
        <w:t xml:space="preserve"> bonds and stocks using the </w:t>
      </w:r>
      <w:r w:rsidR="00172FE9" w:rsidRPr="00C10E55">
        <w:rPr>
          <w:rFonts w:ascii="Times New Roman" w:hAnsi="Times New Roman" w:cs="Times New Roman"/>
          <w:color w:val="0000FF"/>
        </w:rPr>
        <w:t xml:space="preserve">same </w:t>
      </w:r>
      <w:r w:rsidR="001302C0" w:rsidRPr="00C10E55">
        <w:rPr>
          <w:rFonts w:ascii="Times New Roman" w:hAnsi="Times New Roman" w:cs="Times New Roman"/>
          <w:color w:val="0000FF"/>
        </w:rPr>
        <w:t>habit-formation preferences with countercyclical risk premia.</w:t>
      </w:r>
      <w:r w:rsidR="00CB106E" w:rsidRPr="00C10E55">
        <w:rPr>
          <w:rFonts w:ascii="Times New Roman" w:hAnsi="Times New Roman" w:cs="Times New Roman"/>
          <w:color w:val="0000FF"/>
        </w:rPr>
        <w:t xml:space="preserve"> However, CPV is not as </w:t>
      </w:r>
      <w:proofErr w:type="spellStart"/>
      <w:r w:rsidR="00CB106E" w:rsidRPr="00C10E55">
        <w:rPr>
          <w:rFonts w:ascii="Times New Roman" w:hAnsi="Times New Roman" w:cs="Times New Roman"/>
          <w:color w:val="0000FF"/>
        </w:rPr>
        <w:t>microfounded</w:t>
      </w:r>
      <w:proofErr w:type="spellEnd"/>
      <w:r w:rsidR="00CB106E" w:rsidRPr="00C10E55">
        <w:rPr>
          <w:rFonts w:ascii="Times New Roman" w:hAnsi="Times New Roman" w:cs="Times New Roman"/>
          <w:color w:val="0000FF"/>
        </w:rPr>
        <w:t xml:space="preserve"> as the current manuscript</w:t>
      </w:r>
      <w:r w:rsidR="00172FE9" w:rsidRPr="00C10E55">
        <w:rPr>
          <w:rFonts w:ascii="Times New Roman" w:hAnsi="Times New Roman" w:cs="Times New Roman"/>
          <w:color w:val="0000FF"/>
        </w:rPr>
        <w:t>, limiting its ability to conduct counterfactual exercises</w:t>
      </w:r>
      <w:r w:rsidR="00CB106E" w:rsidRPr="00C10E55">
        <w:rPr>
          <w:rFonts w:ascii="Times New Roman" w:hAnsi="Times New Roman" w:cs="Times New Roman"/>
          <w:color w:val="0000FF"/>
        </w:rPr>
        <w:t xml:space="preserve">. While CPV contains reduced-form equations </w:t>
      </w:r>
      <w:r w:rsidR="004D5E67" w:rsidRPr="00C10E55">
        <w:rPr>
          <w:rFonts w:ascii="Times New Roman" w:hAnsi="Times New Roman" w:cs="Times New Roman"/>
          <w:color w:val="0000FF"/>
        </w:rPr>
        <w:t>describing inflation and interest rate dynamics that bear some resemblance to a Phillips curve and Taylor rule</w:t>
      </w:r>
      <w:r w:rsidR="00CB106E" w:rsidRPr="00C10E55">
        <w:rPr>
          <w:rFonts w:ascii="Times New Roman" w:hAnsi="Times New Roman" w:cs="Times New Roman"/>
          <w:color w:val="0000FF"/>
        </w:rPr>
        <w:t xml:space="preserve">, in CPV </w:t>
      </w:r>
      <w:r w:rsidR="004D5E67" w:rsidRPr="00C10E55">
        <w:rPr>
          <w:rFonts w:ascii="Times New Roman" w:hAnsi="Times New Roman" w:cs="Times New Roman"/>
          <w:color w:val="0000FF"/>
        </w:rPr>
        <w:t xml:space="preserve">these are equilibrium dynamics and not structural equations. Concretely, </w:t>
      </w:r>
      <w:r w:rsidR="00CB106E" w:rsidRPr="00C10E55">
        <w:rPr>
          <w:rFonts w:ascii="Times New Roman" w:hAnsi="Times New Roman" w:cs="Times New Roman"/>
          <w:color w:val="0000FF"/>
        </w:rPr>
        <w:t xml:space="preserve">the coefficients in </w:t>
      </w:r>
      <w:r w:rsidR="004D5E67" w:rsidRPr="00C10E55">
        <w:rPr>
          <w:rFonts w:ascii="Times New Roman" w:hAnsi="Times New Roman" w:cs="Times New Roman"/>
          <w:color w:val="0000FF"/>
        </w:rPr>
        <w:t>CPV’s</w:t>
      </w:r>
      <w:r w:rsidR="00CB106E" w:rsidRPr="00C10E55">
        <w:rPr>
          <w:rFonts w:ascii="Times New Roman" w:hAnsi="Times New Roman" w:cs="Times New Roman"/>
          <w:color w:val="0000FF"/>
        </w:rPr>
        <w:t xml:space="preserve"> reduced-form </w:t>
      </w:r>
      <w:r w:rsidR="0054647D" w:rsidRPr="00C10E55">
        <w:rPr>
          <w:rFonts w:ascii="Times New Roman" w:hAnsi="Times New Roman" w:cs="Times New Roman"/>
          <w:color w:val="0000FF"/>
        </w:rPr>
        <w:t xml:space="preserve">inflation and interest rate dynamics </w:t>
      </w:r>
      <w:r w:rsidR="00CB106E" w:rsidRPr="00C10E55">
        <w:rPr>
          <w:rFonts w:ascii="Times New Roman" w:hAnsi="Times New Roman" w:cs="Times New Roman"/>
          <w:color w:val="0000FF"/>
        </w:rPr>
        <w:t>can take either sign</w:t>
      </w:r>
      <w:r w:rsidR="004D5E67" w:rsidRPr="00C10E55">
        <w:rPr>
          <w:rFonts w:ascii="Times New Roman" w:hAnsi="Times New Roman" w:cs="Times New Roman"/>
          <w:color w:val="0000FF"/>
        </w:rPr>
        <w:t>,</w:t>
      </w:r>
      <w:r w:rsidR="00BF4140" w:rsidRPr="00C10E55">
        <w:rPr>
          <w:rFonts w:ascii="Times New Roman" w:hAnsi="Times New Roman" w:cs="Times New Roman"/>
          <w:color w:val="0000FF"/>
        </w:rPr>
        <w:t xml:space="preserve"> and their shocks are correlated</w:t>
      </w:r>
      <w:r w:rsidR="0054647D" w:rsidRPr="00C10E55">
        <w:rPr>
          <w:rFonts w:ascii="Times New Roman" w:hAnsi="Times New Roman" w:cs="Times New Roman"/>
          <w:color w:val="0000FF"/>
        </w:rPr>
        <w:t xml:space="preserve">, so any change </w:t>
      </w:r>
      <w:r w:rsidR="004D5E67" w:rsidRPr="00C10E55">
        <w:rPr>
          <w:rFonts w:ascii="Times New Roman" w:hAnsi="Times New Roman" w:cs="Times New Roman"/>
          <w:color w:val="0000FF"/>
        </w:rPr>
        <w:t xml:space="preserve">in these </w:t>
      </w:r>
      <w:r w:rsidR="0054647D" w:rsidRPr="00C10E55">
        <w:rPr>
          <w:rFonts w:ascii="Times New Roman" w:hAnsi="Times New Roman" w:cs="Times New Roman"/>
          <w:color w:val="0000FF"/>
        </w:rPr>
        <w:t xml:space="preserve">reduced-form dynamics </w:t>
      </w:r>
      <w:r w:rsidR="00BA7B56" w:rsidRPr="00C10E55">
        <w:rPr>
          <w:rFonts w:ascii="Times New Roman" w:hAnsi="Times New Roman" w:cs="Times New Roman"/>
          <w:color w:val="0000FF"/>
        </w:rPr>
        <w:t xml:space="preserve">in CPV </w:t>
      </w:r>
      <w:r w:rsidR="004D5E67" w:rsidRPr="00C10E55">
        <w:rPr>
          <w:rFonts w:ascii="Times New Roman" w:hAnsi="Times New Roman" w:cs="Times New Roman"/>
          <w:color w:val="0000FF"/>
        </w:rPr>
        <w:t xml:space="preserve">must be interpreted as a combination of changes </w:t>
      </w:r>
      <w:r w:rsidR="0054647D" w:rsidRPr="00C10E55">
        <w:rPr>
          <w:rFonts w:ascii="Times New Roman" w:hAnsi="Times New Roman" w:cs="Times New Roman"/>
          <w:color w:val="0000FF"/>
        </w:rPr>
        <w:t xml:space="preserve">to </w:t>
      </w:r>
      <w:r w:rsidR="004D5E67" w:rsidRPr="00C10E55">
        <w:rPr>
          <w:rFonts w:ascii="Times New Roman" w:hAnsi="Times New Roman" w:cs="Times New Roman"/>
          <w:color w:val="0000FF"/>
        </w:rPr>
        <w:t>monetary policy and the macroeconomic environment</w:t>
      </w:r>
      <w:r w:rsidR="00CB106E" w:rsidRPr="00C10E55">
        <w:rPr>
          <w:rFonts w:ascii="Times New Roman" w:hAnsi="Times New Roman" w:cs="Times New Roman"/>
          <w:color w:val="0000FF"/>
        </w:rPr>
        <w:t xml:space="preserve">. By contrast, the current manuscript </w:t>
      </w:r>
      <w:r w:rsidR="00515149" w:rsidRPr="00C10E55">
        <w:rPr>
          <w:rFonts w:ascii="Times New Roman" w:hAnsi="Times New Roman" w:cs="Times New Roman"/>
          <w:color w:val="0000FF"/>
        </w:rPr>
        <w:t xml:space="preserve">requires that the </w:t>
      </w:r>
      <w:r w:rsidR="00CB106E" w:rsidRPr="00C10E55">
        <w:rPr>
          <w:rFonts w:ascii="Times New Roman" w:hAnsi="Times New Roman" w:cs="Times New Roman"/>
          <w:color w:val="0000FF"/>
        </w:rPr>
        <w:t xml:space="preserve">Phillips curve (20) and Taylor rule (24) have coefficients in line with the prior </w:t>
      </w:r>
      <w:r w:rsidR="004D5E67" w:rsidRPr="00C10E55">
        <w:rPr>
          <w:rFonts w:ascii="Times New Roman" w:hAnsi="Times New Roman" w:cs="Times New Roman"/>
          <w:color w:val="0000FF"/>
        </w:rPr>
        <w:t xml:space="preserve">structural </w:t>
      </w:r>
      <w:r w:rsidR="00CB106E" w:rsidRPr="00C10E55">
        <w:rPr>
          <w:rFonts w:ascii="Times New Roman" w:hAnsi="Times New Roman" w:cs="Times New Roman"/>
          <w:color w:val="0000FF"/>
        </w:rPr>
        <w:t xml:space="preserve">literature, and that </w:t>
      </w:r>
      <w:r w:rsidR="00172FE9" w:rsidRPr="00C10E55">
        <w:rPr>
          <w:rFonts w:ascii="Times New Roman" w:hAnsi="Times New Roman" w:cs="Times New Roman"/>
          <w:color w:val="0000FF"/>
        </w:rPr>
        <w:t>their</w:t>
      </w:r>
      <w:r w:rsidR="004D5E67" w:rsidRPr="00C10E55">
        <w:rPr>
          <w:rFonts w:ascii="Times New Roman" w:hAnsi="Times New Roman" w:cs="Times New Roman"/>
          <w:color w:val="0000FF"/>
        </w:rPr>
        <w:t xml:space="preserve"> shocks </w:t>
      </w:r>
      <w:r w:rsidR="00CB106E" w:rsidRPr="00C10E55">
        <w:rPr>
          <w:rFonts w:ascii="Times New Roman" w:hAnsi="Times New Roman" w:cs="Times New Roman"/>
          <w:color w:val="0000FF"/>
        </w:rPr>
        <w:t>are uncorrelated</w:t>
      </w:r>
      <w:r w:rsidR="006C7784" w:rsidRPr="00C10E55">
        <w:rPr>
          <w:rFonts w:ascii="Times New Roman" w:hAnsi="Times New Roman" w:cs="Times New Roman"/>
          <w:color w:val="0000FF"/>
        </w:rPr>
        <w:t>,</w:t>
      </w:r>
      <w:r w:rsidR="00172FE9" w:rsidRPr="00C10E55">
        <w:rPr>
          <w:rFonts w:ascii="Times New Roman" w:hAnsi="Times New Roman" w:cs="Times New Roman"/>
          <w:color w:val="0000FF"/>
        </w:rPr>
        <w:t xml:space="preserve"> as is standard for structural shocks</w:t>
      </w:r>
      <w:r w:rsidR="00CB106E" w:rsidRPr="00C10E55">
        <w:rPr>
          <w:rFonts w:ascii="Times New Roman" w:hAnsi="Times New Roman" w:cs="Times New Roman"/>
          <w:color w:val="0000FF"/>
        </w:rPr>
        <w:t xml:space="preserve">. </w:t>
      </w:r>
      <w:r w:rsidR="00172FE9" w:rsidRPr="00C10E55">
        <w:rPr>
          <w:rFonts w:ascii="Times New Roman" w:hAnsi="Times New Roman" w:cs="Times New Roman"/>
          <w:color w:val="0000FF"/>
        </w:rPr>
        <w:t>The model</w:t>
      </w:r>
      <w:r w:rsidR="0054647D" w:rsidRPr="00C10E55">
        <w:rPr>
          <w:rFonts w:ascii="Times New Roman" w:hAnsi="Times New Roman" w:cs="Times New Roman"/>
          <w:color w:val="0000FF"/>
        </w:rPr>
        <w:t xml:space="preserve"> in CPV </w:t>
      </w:r>
      <w:r w:rsidR="00172FE9" w:rsidRPr="00C10E55">
        <w:rPr>
          <w:rFonts w:ascii="Times New Roman" w:hAnsi="Times New Roman" w:cs="Times New Roman"/>
          <w:color w:val="0000FF"/>
        </w:rPr>
        <w:t xml:space="preserve">is therefore not sufficient to understand how counterfactual changes in </w:t>
      </w:r>
      <w:r w:rsidR="00BA7B56" w:rsidRPr="00C10E55">
        <w:rPr>
          <w:rFonts w:ascii="Times New Roman" w:hAnsi="Times New Roman" w:cs="Times New Roman"/>
          <w:color w:val="0000FF"/>
        </w:rPr>
        <w:t xml:space="preserve">macroeconomic volatilities </w:t>
      </w:r>
      <w:r w:rsidR="00172FE9" w:rsidRPr="00C10E55">
        <w:rPr>
          <w:rFonts w:ascii="Times New Roman" w:hAnsi="Times New Roman" w:cs="Times New Roman"/>
          <w:color w:val="0000FF"/>
        </w:rPr>
        <w:t>and</w:t>
      </w:r>
      <w:r w:rsidR="00BA7B56" w:rsidRPr="00C10E55">
        <w:rPr>
          <w:rFonts w:ascii="Times New Roman" w:hAnsi="Times New Roman" w:cs="Times New Roman"/>
          <w:color w:val="0000FF"/>
        </w:rPr>
        <w:t xml:space="preserve"> Taylor rule coefficients </w:t>
      </w:r>
      <w:r w:rsidR="00172FE9" w:rsidRPr="00C10E55">
        <w:rPr>
          <w:rFonts w:ascii="Times New Roman" w:hAnsi="Times New Roman" w:cs="Times New Roman"/>
          <w:color w:val="0000FF"/>
        </w:rPr>
        <w:t xml:space="preserve">impact bond-stock betas. </w:t>
      </w:r>
      <w:r w:rsidR="00515149" w:rsidRPr="00C10E55">
        <w:rPr>
          <w:rFonts w:ascii="Times New Roman" w:hAnsi="Times New Roman" w:cs="Times New Roman"/>
          <w:color w:val="0000FF"/>
        </w:rPr>
        <w:t xml:space="preserve"> </w:t>
      </w:r>
    </w:p>
    <w:p w14:paraId="4959E729" w14:textId="7777777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0A8DFC0" w14:textId="7CB8803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The model in Pflueger and Rinaldi (2022, PR) is more </w:t>
      </w:r>
      <w:proofErr w:type="gramStart"/>
      <w:r w:rsidRPr="00C10E55">
        <w:rPr>
          <w:rFonts w:ascii="Times New Roman" w:hAnsi="Times New Roman" w:cs="Times New Roman"/>
          <w:color w:val="0000FF"/>
        </w:rPr>
        <w:t>similar to</w:t>
      </w:r>
      <w:proofErr w:type="gramEnd"/>
      <w:r w:rsidRPr="00C10E55">
        <w:rPr>
          <w:rFonts w:ascii="Times New Roman" w:hAnsi="Times New Roman" w:cs="Times New Roman"/>
          <w:color w:val="0000FF"/>
        </w:rPr>
        <w:t xml:space="preserve"> the current one, containing a structural Phillips curve and a Taylor-type monetary policy rule</w:t>
      </w:r>
      <w:r w:rsidR="006C7784" w:rsidRPr="00C10E55">
        <w:rPr>
          <w:rFonts w:ascii="Times New Roman" w:hAnsi="Times New Roman" w:cs="Times New Roman"/>
          <w:color w:val="0000FF"/>
        </w:rPr>
        <w:t xml:space="preserve">. However, </w:t>
      </w:r>
      <w:r w:rsidR="00172FE9" w:rsidRPr="00C10E55">
        <w:rPr>
          <w:rFonts w:ascii="Times New Roman" w:hAnsi="Times New Roman" w:cs="Times New Roman"/>
          <w:color w:val="0000FF"/>
        </w:rPr>
        <w:t xml:space="preserve">PR do not </w:t>
      </w:r>
      <w:r w:rsidR="006C7784" w:rsidRPr="00C10E55">
        <w:rPr>
          <w:rFonts w:ascii="Times New Roman" w:hAnsi="Times New Roman" w:cs="Times New Roman"/>
          <w:color w:val="0000FF"/>
        </w:rPr>
        <w:t xml:space="preserve">study the implications for bond-stock betas </w:t>
      </w:r>
      <w:r w:rsidR="00490D4F" w:rsidRPr="00C10E55">
        <w:rPr>
          <w:rFonts w:ascii="Times New Roman" w:hAnsi="Times New Roman" w:cs="Times New Roman"/>
          <w:color w:val="0000FF"/>
        </w:rPr>
        <w:t xml:space="preserve">and </w:t>
      </w:r>
      <w:r w:rsidR="006C7784" w:rsidRPr="00C10E55">
        <w:rPr>
          <w:rFonts w:ascii="Times New Roman" w:hAnsi="Times New Roman" w:cs="Times New Roman"/>
          <w:color w:val="0000FF"/>
        </w:rPr>
        <w:t>the PR</w:t>
      </w:r>
      <w:r w:rsidR="00490D4F" w:rsidRPr="00C10E55">
        <w:rPr>
          <w:rFonts w:ascii="Times New Roman" w:hAnsi="Times New Roman" w:cs="Times New Roman"/>
          <w:color w:val="0000FF"/>
        </w:rPr>
        <w:t xml:space="preserve"> model </w:t>
      </w:r>
      <w:r w:rsidR="005325D4" w:rsidRPr="00C10E55">
        <w:rPr>
          <w:rFonts w:ascii="Times New Roman" w:hAnsi="Times New Roman" w:cs="Times New Roman"/>
          <w:color w:val="0000FF"/>
        </w:rPr>
        <w:t>is</w:t>
      </w:r>
      <w:r w:rsidR="00490D4F" w:rsidRPr="00C10E55">
        <w:rPr>
          <w:rFonts w:ascii="Times New Roman" w:hAnsi="Times New Roman" w:cs="Times New Roman"/>
          <w:color w:val="0000FF"/>
        </w:rPr>
        <w:t xml:space="preserve"> insufficient to reach the central conclusion of this manuscript. </w:t>
      </w:r>
      <w:r w:rsidR="00172FE9" w:rsidRPr="00C10E55">
        <w:rPr>
          <w:rFonts w:ascii="Times New Roman" w:hAnsi="Times New Roman" w:cs="Times New Roman"/>
          <w:color w:val="0000FF"/>
        </w:rPr>
        <w:t>The</w:t>
      </w:r>
      <w:r w:rsidRPr="00C10E55">
        <w:rPr>
          <w:rFonts w:ascii="Times New Roman" w:hAnsi="Times New Roman" w:cs="Times New Roman"/>
          <w:color w:val="0000FF"/>
        </w:rPr>
        <w:t xml:space="preserve"> current model contains some important changes compared to PR, in particular both demand and supply shocks (PR </w:t>
      </w:r>
      <w:r w:rsidR="006C7784" w:rsidRPr="00C10E55">
        <w:rPr>
          <w:rFonts w:ascii="Times New Roman" w:hAnsi="Times New Roman" w:cs="Times New Roman"/>
          <w:color w:val="0000FF"/>
        </w:rPr>
        <w:t>has neither</w:t>
      </w:r>
      <w:r w:rsidRPr="00C10E55">
        <w:rPr>
          <w:rFonts w:ascii="Times New Roman" w:hAnsi="Times New Roman" w:cs="Times New Roman"/>
          <w:color w:val="0000FF"/>
        </w:rPr>
        <w:t xml:space="preserve">), </w:t>
      </w:r>
      <w:proofErr w:type="gramStart"/>
      <w:r w:rsidRPr="00C10E55">
        <w:rPr>
          <w:rFonts w:ascii="Times New Roman" w:hAnsi="Times New Roman" w:cs="Times New Roman"/>
          <w:color w:val="0000FF"/>
        </w:rPr>
        <w:t>and</w:t>
      </w:r>
      <w:proofErr w:type="gramEnd"/>
      <w:r w:rsidRPr="00C10E55">
        <w:rPr>
          <w:rFonts w:ascii="Times New Roman" w:hAnsi="Times New Roman" w:cs="Times New Roman"/>
          <w:color w:val="0000FF"/>
        </w:rPr>
        <w:t xml:space="preserve"> potentially adaptive inflation expectations. </w:t>
      </w:r>
      <w:r w:rsidR="000C4316" w:rsidRPr="00C10E55">
        <w:rPr>
          <w:rFonts w:ascii="Times New Roman" w:hAnsi="Times New Roman" w:cs="Times New Roman"/>
          <w:color w:val="0000FF"/>
        </w:rPr>
        <w:t xml:space="preserve">The ability to perform counterfactual exercises to assess the </w:t>
      </w:r>
      <w:r w:rsidR="00477650" w:rsidRPr="00C10E55">
        <w:rPr>
          <w:rFonts w:ascii="Times New Roman" w:hAnsi="Times New Roman" w:cs="Times New Roman"/>
          <w:color w:val="0000FF"/>
        </w:rPr>
        <w:t>impact</w:t>
      </w:r>
      <w:r w:rsidR="000C4316" w:rsidRPr="00C10E55">
        <w:rPr>
          <w:rFonts w:ascii="Times New Roman" w:hAnsi="Times New Roman" w:cs="Times New Roman"/>
          <w:color w:val="0000FF"/>
        </w:rPr>
        <w:t xml:space="preserve"> of changes in the macroeconomic shock volatilities </w:t>
      </w:r>
      <w:r w:rsidR="00477650" w:rsidRPr="00C10E55">
        <w:rPr>
          <w:rFonts w:ascii="Times New Roman" w:hAnsi="Times New Roman" w:cs="Times New Roman"/>
          <w:color w:val="0000FF"/>
        </w:rPr>
        <w:t xml:space="preserve">and Taylor rule coefficients on bond-stock betas </w:t>
      </w:r>
      <w:r w:rsidR="000C4316" w:rsidRPr="00C10E55">
        <w:rPr>
          <w:rFonts w:ascii="Times New Roman" w:hAnsi="Times New Roman" w:cs="Times New Roman"/>
          <w:color w:val="0000FF"/>
        </w:rPr>
        <w:t xml:space="preserve">therefore sets this paper apart from </w:t>
      </w:r>
      <w:r w:rsidR="00490D4F" w:rsidRPr="00C10E55">
        <w:rPr>
          <w:rFonts w:ascii="Times New Roman" w:hAnsi="Times New Roman" w:cs="Times New Roman"/>
          <w:color w:val="0000FF"/>
        </w:rPr>
        <w:t xml:space="preserve">CPV and </w:t>
      </w:r>
      <w:r w:rsidR="000C4316" w:rsidRPr="00C10E55">
        <w:rPr>
          <w:rFonts w:ascii="Times New Roman" w:hAnsi="Times New Roman" w:cs="Times New Roman"/>
          <w:color w:val="0000FF"/>
        </w:rPr>
        <w:t xml:space="preserve">PR. </w:t>
      </w:r>
    </w:p>
    <w:p w14:paraId="2539DC6E" w14:textId="77777777" w:rsidR="000077A2" w:rsidRPr="00C10E55" w:rsidRDefault="000077A2"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2A5566DE" w14:textId="44FE94E7" w:rsidR="002F1B72" w:rsidRPr="00C10E55" w:rsidRDefault="000077A2"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Regarding the broader literature on changing bond-stock comovements, there are several features that set the current manuscript apart.</w:t>
      </w:r>
      <w:r w:rsidR="002F1B72" w:rsidRPr="00C10E55">
        <w:rPr>
          <w:rFonts w:ascii="Times New Roman" w:hAnsi="Times New Roman" w:cs="Times New Roman"/>
          <w:color w:val="0000FF"/>
        </w:rPr>
        <w:t xml:space="preserve"> As discussed by </w:t>
      </w:r>
      <w:r w:rsidR="00F771D3">
        <w:rPr>
          <w:rFonts w:ascii="Times New Roman" w:hAnsi="Times New Roman" w:cs="Times New Roman"/>
          <w:color w:val="0000FF"/>
        </w:rPr>
        <w:t>r</w:t>
      </w:r>
      <w:r w:rsidR="002F1B72"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proofErr w:type="spellStart"/>
      <w:r w:rsidR="006D4542" w:rsidRPr="00C10E55">
        <w:rPr>
          <w:rFonts w:ascii="Times New Roman" w:hAnsi="Times New Roman" w:cs="Times New Roman"/>
          <w:color w:val="0000FF"/>
        </w:rPr>
        <w:t>Piazzesi</w:t>
      </w:r>
      <w:proofErr w:type="spellEnd"/>
      <w:r w:rsidR="006D4542" w:rsidRPr="00C10E55">
        <w:rPr>
          <w:rFonts w:ascii="Times New Roman" w:hAnsi="Times New Roman" w:cs="Times New Roman"/>
          <w:color w:val="0000FF"/>
        </w:rPr>
        <w:t xml:space="preserve"> and Schneider (2006), </w:t>
      </w:r>
      <w:r w:rsidR="002F1B72" w:rsidRPr="00C10E55">
        <w:rPr>
          <w:rFonts w:ascii="Times New Roman" w:hAnsi="Times New Roman" w:cs="Times New Roman"/>
          <w:color w:val="0000FF"/>
        </w:rPr>
        <w:t xml:space="preserve">David and Veronesi (2013), Song (2017), </w:t>
      </w:r>
      <w:r w:rsidR="00A6172C" w:rsidRPr="00C10E55">
        <w:rPr>
          <w:rFonts w:ascii="Times New Roman" w:hAnsi="Times New Roman" w:cs="Times New Roman"/>
          <w:color w:val="0000FF"/>
        </w:rPr>
        <w:t xml:space="preserve">Bekaert and Engstrom (2017), </w:t>
      </w:r>
      <w:r w:rsidR="002F1B72" w:rsidRPr="00C10E55">
        <w:rPr>
          <w:rFonts w:ascii="Times New Roman" w:hAnsi="Times New Roman" w:cs="Times New Roman"/>
          <w:color w:val="0000FF"/>
        </w:rPr>
        <w:t xml:space="preserve">Campbell, Pflueger, and </w:t>
      </w:r>
      <w:proofErr w:type="spellStart"/>
      <w:r w:rsidR="002F1B72" w:rsidRPr="00C10E55">
        <w:rPr>
          <w:rFonts w:ascii="Times New Roman" w:hAnsi="Times New Roman" w:cs="Times New Roman"/>
          <w:color w:val="0000FF"/>
        </w:rPr>
        <w:t>Viceira</w:t>
      </w:r>
      <w:proofErr w:type="spellEnd"/>
      <w:r w:rsidR="002F1B72" w:rsidRPr="00C10E55">
        <w:rPr>
          <w:rFonts w:ascii="Times New Roman" w:hAnsi="Times New Roman" w:cs="Times New Roman"/>
          <w:color w:val="0000FF"/>
        </w:rPr>
        <w:t xml:space="preserve"> (2020), </w:t>
      </w:r>
      <w:proofErr w:type="spellStart"/>
      <w:r w:rsidR="002F1B72" w:rsidRPr="00C10E55">
        <w:rPr>
          <w:rFonts w:ascii="Times New Roman" w:hAnsi="Times New Roman" w:cs="Times New Roman"/>
          <w:color w:val="0000FF"/>
        </w:rPr>
        <w:t>Gourio</w:t>
      </w:r>
      <w:proofErr w:type="spellEnd"/>
      <w:r w:rsidR="002F1B72" w:rsidRPr="00C10E55">
        <w:rPr>
          <w:rFonts w:ascii="Times New Roman" w:hAnsi="Times New Roman" w:cs="Times New Roman"/>
          <w:color w:val="0000FF"/>
        </w:rPr>
        <w:t xml:space="preserve"> and Ngo (2020), and Fang, Liu, and </w:t>
      </w:r>
      <w:proofErr w:type="spellStart"/>
      <w:r w:rsidR="002F1B72" w:rsidRPr="00C10E55">
        <w:rPr>
          <w:rFonts w:ascii="Times New Roman" w:hAnsi="Times New Roman" w:cs="Times New Roman"/>
          <w:color w:val="0000FF"/>
        </w:rPr>
        <w:t>Roussanov</w:t>
      </w:r>
      <w:proofErr w:type="spellEnd"/>
      <w:r w:rsidR="002F1B72" w:rsidRPr="00C10E55">
        <w:rPr>
          <w:rFonts w:ascii="Times New Roman" w:hAnsi="Times New Roman" w:cs="Times New Roman"/>
          <w:color w:val="0000FF"/>
        </w:rPr>
        <w:t xml:space="preserve"> (2022)); liquidity, flight-to-safety, and time-varying risk aversion  (Baele, Bekaert, and </w:t>
      </w:r>
      <w:proofErr w:type="spellStart"/>
      <w:r w:rsidR="002F1B72" w:rsidRPr="00C10E55">
        <w:rPr>
          <w:rFonts w:ascii="Times New Roman" w:hAnsi="Times New Roman" w:cs="Times New Roman"/>
          <w:color w:val="0000FF"/>
        </w:rPr>
        <w:t>Inghelbrecht</w:t>
      </w:r>
      <w:proofErr w:type="spellEnd"/>
      <w:r w:rsidR="002F1B72" w:rsidRPr="00C10E55">
        <w:rPr>
          <w:rFonts w:ascii="Times New Roman" w:hAnsi="Times New Roman" w:cs="Times New Roman"/>
          <w:color w:val="0000FF"/>
        </w:rPr>
        <w:t xml:space="preserve"> (2010), Kozak (2022), and </w:t>
      </w:r>
      <w:proofErr w:type="spellStart"/>
      <w:r w:rsidR="002F1B72" w:rsidRPr="00C10E55">
        <w:rPr>
          <w:rFonts w:ascii="Times New Roman" w:hAnsi="Times New Roman" w:cs="Times New Roman"/>
          <w:color w:val="0000FF"/>
        </w:rPr>
        <w:t>Laarits</w:t>
      </w:r>
      <w:proofErr w:type="spellEnd"/>
      <w:r w:rsidR="002F1B72" w:rsidRPr="00C10E55">
        <w:rPr>
          <w:rFonts w:ascii="Times New Roman" w:hAnsi="Times New Roman" w:cs="Times New Roman"/>
          <w:color w:val="0000FF"/>
        </w:rPr>
        <w:t xml:space="preserve"> (2022)); permanent-transitory compositional changes of consumption growth (Chernov, </w:t>
      </w:r>
      <w:proofErr w:type="spellStart"/>
      <w:r w:rsidR="002F1B72" w:rsidRPr="00C10E55">
        <w:rPr>
          <w:rFonts w:ascii="Times New Roman" w:hAnsi="Times New Roman" w:cs="Times New Roman"/>
          <w:color w:val="0000FF"/>
        </w:rPr>
        <w:t>Lochstoer</w:t>
      </w:r>
      <w:proofErr w:type="spellEnd"/>
      <w:r w:rsidR="002F1B72" w:rsidRPr="00C10E55">
        <w:rPr>
          <w:rFonts w:ascii="Times New Roman" w:hAnsi="Times New Roman" w:cs="Times New Roman"/>
          <w:color w:val="0000FF"/>
        </w:rPr>
        <w:t>,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w:t>
      </w:r>
      <w:r w:rsidR="00B33C77" w:rsidRPr="00C10E55">
        <w:rPr>
          <w:rFonts w:ascii="Times New Roman" w:hAnsi="Times New Roman" w:cs="Times New Roman"/>
          <w:color w:val="0000FF"/>
        </w:rPr>
        <w:t>ly to</w:t>
      </w:r>
      <w:r w:rsidR="002F1B72" w:rsidRPr="00C10E55">
        <w:rPr>
          <w:rFonts w:ascii="Times New Roman" w:hAnsi="Times New Roman" w:cs="Times New Roman"/>
          <w:color w:val="0000FF"/>
        </w:rPr>
        <w:t xml:space="preserve"> supply-type shock</w:t>
      </w:r>
      <w:r w:rsidR="00B33C77" w:rsidRPr="00C10E55">
        <w:rPr>
          <w:rFonts w:ascii="Times New Roman" w:hAnsi="Times New Roman" w:cs="Times New Roman"/>
          <w:color w:val="0000FF"/>
        </w:rPr>
        <w:t>s</w:t>
      </w:r>
      <w:r w:rsidR="002F1B72" w:rsidRPr="00C10E55">
        <w:rPr>
          <w:rFonts w:ascii="Times New Roman" w:hAnsi="Times New Roman" w:cs="Times New Roman"/>
          <w:color w:val="0000FF"/>
        </w:rPr>
        <w:t xml:space="preserve"> (Bianchi, Faccini, and </w:t>
      </w:r>
      <w:proofErr w:type="spellStart"/>
      <w:r w:rsidR="002F1B72" w:rsidRPr="00C10E55">
        <w:rPr>
          <w:rFonts w:ascii="Times New Roman" w:hAnsi="Times New Roman" w:cs="Times New Roman"/>
          <w:color w:val="0000FF"/>
        </w:rPr>
        <w:t>Melosi</w:t>
      </w:r>
      <w:proofErr w:type="spellEnd"/>
      <w:r w:rsidR="002F1B72" w:rsidRPr="00C10E55">
        <w:rPr>
          <w:rFonts w:ascii="Times New Roman" w:hAnsi="Times New Roman" w:cs="Times New Roman"/>
          <w:color w:val="0000FF"/>
        </w:rPr>
        <w:t xml:space="preserve"> (2023)).</w:t>
      </w:r>
    </w:p>
    <w:p w14:paraId="351FFB0F" w14:textId="77777777" w:rsidR="002F1B72" w:rsidRPr="00C10E55" w:rsidRDefault="002F1B72" w:rsidP="00C10E55">
      <w:pPr>
        <w:autoSpaceDE w:val="0"/>
        <w:autoSpaceDN w:val="0"/>
        <w:adjustRightInd w:val="0"/>
        <w:spacing w:after="0" w:line="240" w:lineRule="auto"/>
        <w:ind w:left="360"/>
        <w:rPr>
          <w:rFonts w:ascii="Times New Roman" w:hAnsi="Times New Roman" w:cs="Times New Roman"/>
          <w:color w:val="0000FF"/>
        </w:rPr>
      </w:pPr>
    </w:p>
    <w:p w14:paraId="262171E6" w14:textId="20254F63" w:rsidR="00FC1403"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w:t>
      </w:r>
      <w:r w:rsidR="00FC1403" w:rsidRPr="00C10E55">
        <w:rPr>
          <w:rFonts w:ascii="Times New Roman" w:hAnsi="Times New Roman" w:cs="Times New Roman"/>
          <w:color w:val="0000FF"/>
        </w:rPr>
        <w:t xml:space="preserve">particularly </w:t>
      </w:r>
      <w:r w:rsidRPr="00C10E55">
        <w:rPr>
          <w:rFonts w:ascii="Times New Roman" w:hAnsi="Times New Roman" w:cs="Times New Roman"/>
          <w:color w:val="0000FF"/>
        </w:rPr>
        <w:t xml:space="preserve">closely related paper is </w:t>
      </w:r>
      <w:r w:rsidR="002F1B72" w:rsidRPr="00C10E55">
        <w:rPr>
          <w:rFonts w:ascii="Times New Roman" w:hAnsi="Times New Roman" w:cs="Times New Roman"/>
          <w:color w:val="0000FF"/>
        </w:rPr>
        <w:t>Song (2017)</w:t>
      </w:r>
      <w:r w:rsidR="00FC1403" w:rsidRPr="00C10E55">
        <w:rPr>
          <w:rFonts w:ascii="Times New Roman" w:hAnsi="Times New Roman" w:cs="Times New Roman"/>
          <w:color w:val="0000FF"/>
        </w:rPr>
        <w:t xml:space="preserve">, which however </w:t>
      </w:r>
      <w:r w:rsidRPr="00C10E55">
        <w:rPr>
          <w:rFonts w:ascii="Times New Roman" w:hAnsi="Times New Roman" w:cs="Times New Roman"/>
          <w:color w:val="0000FF"/>
        </w:rPr>
        <w:t>considers a more reduced-form setup featuring an endowment economy and an exogenous process for the correlation between the central bank’s inflation target and real consumption growth</w:t>
      </w:r>
      <w:r w:rsidR="00FC1403" w:rsidRPr="00C10E55">
        <w:rPr>
          <w:rFonts w:ascii="Times New Roman" w:hAnsi="Times New Roman" w:cs="Times New Roman"/>
          <w:color w:val="0000FF"/>
        </w:rPr>
        <w:t xml:space="preserve">. </w:t>
      </w:r>
      <w:r w:rsidRPr="00C10E55">
        <w:rPr>
          <w:rFonts w:ascii="Times New Roman" w:hAnsi="Times New Roman" w:cs="Times New Roman"/>
          <w:color w:val="0000FF"/>
        </w:rPr>
        <w:t>By contrast, in the current manuscript, the inflation-consumption correlation and the permanent-transitory decomposition of consumption growth are endogenous to the volatilities of macroeconomic shocks and monetary policy</w:t>
      </w:r>
      <w:r w:rsidR="00FC1403" w:rsidRPr="00C10E55">
        <w:rPr>
          <w:rFonts w:ascii="Times New Roman" w:hAnsi="Times New Roman" w:cs="Times New Roman"/>
          <w:color w:val="0000FF"/>
        </w:rPr>
        <w:t>.</w:t>
      </w:r>
    </w:p>
    <w:p w14:paraId="3363E768" w14:textId="33142021" w:rsidR="00AB2B45"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5739D2D1" w14:textId="1B13AE2B" w:rsidR="000077A2" w:rsidRPr="00C10E55" w:rsidRDefault="005950B5"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Different from the current paper, t</w:t>
      </w:r>
      <w:r w:rsidR="003C397E" w:rsidRPr="00C10E55">
        <w:rPr>
          <w:rFonts w:ascii="Times New Roman" w:hAnsi="Times New Roman" w:cs="Times New Roman"/>
          <w:color w:val="0000FF"/>
        </w:rPr>
        <w:t>he production-based models of</w:t>
      </w:r>
      <w:r w:rsidR="00AB2B45" w:rsidRPr="00C10E55">
        <w:rPr>
          <w:rFonts w:ascii="Times New Roman" w:hAnsi="Times New Roman" w:cs="Times New Roman"/>
          <w:color w:val="0000FF"/>
        </w:rPr>
        <w:t xml:space="preserve"> Fang, Liu, and </w:t>
      </w:r>
      <w:proofErr w:type="spellStart"/>
      <w:r w:rsidR="00AB2B45" w:rsidRPr="00C10E55">
        <w:rPr>
          <w:rFonts w:ascii="Times New Roman" w:hAnsi="Times New Roman" w:cs="Times New Roman"/>
          <w:color w:val="0000FF"/>
        </w:rPr>
        <w:t>Roussanov</w:t>
      </w:r>
      <w:proofErr w:type="spellEnd"/>
      <w:r w:rsidR="00AB2B45" w:rsidRPr="00C10E55">
        <w:rPr>
          <w:rFonts w:ascii="Times New Roman" w:hAnsi="Times New Roman" w:cs="Times New Roman"/>
          <w:color w:val="0000FF"/>
        </w:rPr>
        <w:t xml:space="preserve"> (2022), and Kozak (2022) do not </w:t>
      </w:r>
      <w:r w:rsidR="006B4B24" w:rsidRPr="00C10E55">
        <w:rPr>
          <w:rFonts w:ascii="Times New Roman" w:hAnsi="Times New Roman" w:cs="Times New Roman"/>
          <w:color w:val="0000FF"/>
        </w:rPr>
        <w:t xml:space="preserve">incorporate </w:t>
      </w:r>
      <w:r w:rsidR="00AB2B45" w:rsidRPr="00C10E55">
        <w:rPr>
          <w:rFonts w:ascii="Times New Roman" w:hAnsi="Times New Roman" w:cs="Times New Roman"/>
          <w:color w:val="0000FF"/>
        </w:rPr>
        <w:t xml:space="preserve">changes in monetary policy. </w:t>
      </w:r>
      <w:r w:rsidR="00AB0CFA" w:rsidRPr="00C10E55">
        <w:rPr>
          <w:rFonts w:ascii="Times New Roman" w:hAnsi="Times New Roman" w:cs="Times New Roman"/>
          <w:color w:val="0000FF"/>
        </w:rPr>
        <w:t xml:space="preserve">Conversely, </w:t>
      </w:r>
      <w:proofErr w:type="spellStart"/>
      <w:r w:rsidR="00EF7188" w:rsidRPr="00C10E55">
        <w:rPr>
          <w:rFonts w:ascii="Times New Roman" w:hAnsi="Times New Roman" w:cs="Times New Roman"/>
          <w:color w:val="0000FF"/>
        </w:rPr>
        <w:t>Gourio</w:t>
      </w:r>
      <w:proofErr w:type="spellEnd"/>
      <w:r w:rsidR="00EF7188" w:rsidRPr="00C10E55">
        <w:rPr>
          <w:rFonts w:ascii="Times New Roman" w:hAnsi="Times New Roman" w:cs="Times New Roman"/>
          <w:color w:val="0000FF"/>
        </w:rPr>
        <w:t xml:space="preserve"> and Ngo (2020) and Li et al. (2022) </w:t>
      </w:r>
      <w:r w:rsidR="00340704" w:rsidRPr="00C10E55">
        <w:rPr>
          <w:rFonts w:ascii="Times New Roman" w:hAnsi="Times New Roman" w:cs="Times New Roman"/>
          <w:color w:val="0000FF"/>
        </w:rPr>
        <w:t xml:space="preserve">model changes in monetary </w:t>
      </w:r>
      <w:r w:rsidR="00AB0CFA" w:rsidRPr="00C10E55">
        <w:rPr>
          <w:rFonts w:ascii="Times New Roman" w:hAnsi="Times New Roman" w:cs="Times New Roman"/>
          <w:color w:val="0000FF"/>
        </w:rPr>
        <w:t xml:space="preserve">and/or fiscal </w:t>
      </w:r>
      <w:r w:rsidR="00340704" w:rsidRPr="00C10E55">
        <w:rPr>
          <w:rFonts w:ascii="Times New Roman" w:hAnsi="Times New Roman" w:cs="Times New Roman"/>
          <w:color w:val="0000FF"/>
        </w:rPr>
        <w:t xml:space="preserve">policy but do not </w:t>
      </w:r>
      <w:r w:rsidR="006B4B24" w:rsidRPr="00C10E55">
        <w:rPr>
          <w:rFonts w:ascii="Times New Roman" w:hAnsi="Times New Roman" w:cs="Times New Roman"/>
          <w:color w:val="0000FF"/>
        </w:rPr>
        <w:t>incorporate</w:t>
      </w:r>
      <w:r w:rsidR="00340704" w:rsidRPr="00C10E55">
        <w:rPr>
          <w:rFonts w:ascii="Times New Roman" w:hAnsi="Times New Roman" w:cs="Times New Roman"/>
          <w:color w:val="0000FF"/>
        </w:rPr>
        <w:t xml:space="preserve"> changes in the composition of macroeconomic shocks. </w:t>
      </w:r>
      <w:r w:rsidR="00AA4EDE" w:rsidRPr="00C10E55">
        <w:rPr>
          <w:rFonts w:ascii="Times New Roman" w:hAnsi="Times New Roman" w:cs="Times New Roman"/>
          <w:color w:val="0000FF"/>
        </w:rPr>
        <w:t>Those</w:t>
      </w:r>
      <w:r w:rsidR="00340704" w:rsidRPr="00C10E55">
        <w:rPr>
          <w:rFonts w:ascii="Times New Roman" w:hAnsi="Times New Roman" w:cs="Times New Roman"/>
          <w:color w:val="0000FF"/>
        </w:rPr>
        <w:t xml:space="preserve"> latter two </w:t>
      </w:r>
      <w:r w:rsidR="00AB0CFA" w:rsidRPr="00C10E55">
        <w:rPr>
          <w:rFonts w:ascii="Times New Roman" w:hAnsi="Times New Roman" w:cs="Times New Roman"/>
          <w:color w:val="0000FF"/>
        </w:rPr>
        <w:t>models</w:t>
      </w:r>
      <w:r w:rsidR="00340704"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also </w:t>
      </w:r>
      <w:r w:rsidR="00EF7188" w:rsidRPr="00C10E55">
        <w:rPr>
          <w:rFonts w:ascii="Times New Roman" w:hAnsi="Times New Roman" w:cs="Times New Roman"/>
          <w:color w:val="0000FF"/>
        </w:rPr>
        <w:t xml:space="preserve">acknowledge their limitations as models of asset prices, </w:t>
      </w:r>
      <w:r w:rsidR="006C7784" w:rsidRPr="00C10E55">
        <w:rPr>
          <w:rFonts w:ascii="Times New Roman" w:hAnsi="Times New Roman" w:cs="Times New Roman"/>
          <w:color w:val="0000FF"/>
        </w:rPr>
        <w:t>with</w:t>
      </w:r>
      <w:r w:rsidR="00EF7188" w:rsidRPr="00C10E55">
        <w:rPr>
          <w:rFonts w:ascii="Times New Roman" w:hAnsi="Times New Roman" w:cs="Times New Roman"/>
          <w:color w:val="0000FF"/>
        </w:rPr>
        <w:t xml:space="preserve"> basic moments such as the equity premium and equity return volatility either not reported or deviat</w:t>
      </w:r>
      <w:r w:rsidR="006C7784" w:rsidRPr="00C10E55">
        <w:rPr>
          <w:rFonts w:ascii="Times New Roman" w:hAnsi="Times New Roman" w:cs="Times New Roman"/>
          <w:color w:val="0000FF"/>
        </w:rPr>
        <w:t>ing</w:t>
      </w:r>
      <w:r w:rsidR="00EF7188" w:rsidRPr="00C10E55">
        <w:rPr>
          <w:rFonts w:ascii="Times New Roman" w:hAnsi="Times New Roman" w:cs="Times New Roman"/>
          <w:color w:val="0000FF"/>
        </w:rPr>
        <w:t xml:space="preserve"> substantially from the data. </w:t>
      </w:r>
      <w:r w:rsidR="00AB0CFA" w:rsidRPr="00C10E55">
        <w:rPr>
          <w:rFonts w:ascii="Times New Roman" w:hAnsi="Times New Roman" w:cs="Times New Roman"/>
          <w:color w:val="0000FF"/>
        </w:rPr>
        <w:t xml:space="preserve">Finally, </w:t>
      </w:r>
      <w:proofErr w:type="spellStart"/>
      <w:r w:rsidR="00AB0CFA" w:rsidRPr="00C10E55">
        <w:rPr>
          <w:rFonts w:ascii="Times New Roman" w:hAnsi="Times New Roman" w:cs="Times New Roman"/>
          <w:color w:val="0000FF"/>
        </w:rPr>
        <w:t>Gourio</w:t>
      </w:r>
      <w:proofErr w:type="spellEnd"/>
      <w:r w:rsidR="00AB0CFA" w:rsidRPr="00C10E55">
        <w:rPr>
          <w:rFonts w:ascii="Times New Roman" w:hAnsi="Times New Roman" w:cs="Times New Roman"/>
          <w:color w:val="0000FF"/>
        </w:rPr>
        <w:t xml:space="preserve"> and Ngo (2022) consider a model where bond-stock comovements are closely linked to </w:t>
      </w:r>
      <w:r w:rsidR="00B3630A" w:rsidRPr="00C10E55">
        <w:rPr>
          <w:rFonts w:ascii="Times New Roman" w:hAnsi="Times New Roman" w:cs="Times New Roman"/>
          <w:color w:val="0000FF"/>
        </w:rPr>
        <w:t xml:space="preserve">the level of </w:t>
      </w:r>
      <w:r w:rsidR="00AB0CFA" w:rsidRPr="00C10E55">
        <w:rPr>
          <w:rFonts w:ascii="Times New Roman" w:hAnsi="Times New Roman" w:cs="Times New Roman"/>
          <w:color w:val="0000FF"/>
        </w:rPr>
        <w:t xml:space="preserve">inflation, </w:t>
      </w:r>
      <w:r w:rsidR="00B3630A" w:rsidRPr="00C10E55">
        <w:rPr>
          <w:rFonts w:ascii="Times New Roman" w:hAnsi="Times New Roman" w:cs="Times New Roman"/>
          <w:color w:val="0000FF"/>
        </w:rPr>
        <w:t xml:space="preserve">assuming </w:t>
      </w:r>
      <w:r w:rsidR="00AA4EDE" w:rsidRPr="00C10E55">
        <w:rPr>
          <w:rFonts w:ascii="Times New Roman" w:hAnsi="Times New Roman" w:cs="Times New Roman"/>
          <w:color w:val="0000FF"/>
        </w:rPr>
        <w:t xml:space="preserve">a constant volatility of technology shocks and no other shocks. Because of the close link between the level of inflation and bond-stock comovements in </w:t>
      </w:r>
      <w:proofErr w:type="spellStart"/>
      <w:r w:rsidR="00B3630A" w:rsidRPr="00C10E55">
        <w:rPr>
          <w:rFonts w:ascii="Times New Roman" w:hAnsi="Times New Roman" w:cs="Times New Roman"/>
          <w:color w:val="0000FF"/>
        </w:rPr>
        <w:t>Gourio</w:t>
      </w:r>
      <w:proofErr w:type="spellEnd"/>
      <w:r w:rsidR="00B3630A" w:rsidRPr="00C10E55">
        <w:rPr>
          <w:rFonts w:ascii="Times New Roman" w:hAnsi="Times New Roman" w:cs="Times New Roman"/>
          <w:color w:val="0000FF"/>
        </w:rPr>
        <w:t xml:space="preserve"> and Ngo (2022)</w:t>
      </w:r>
      <w:r w:rsidR="00AA4EDE" w:rsidRPr="00C10E55">
        <w:rPr>
          <w:rFonts w:ascii="Times New Roman" w:hAnsi="Times New Roman" w:cs="Times New Roman"/>
          <w:color w:val="0000FF"/>
        </w:rPr>
        <w:t xml:space="preserve">, </w:t>
      </w:r>
      <w:r w:rsidR="00B3630A" w:rsidRPr="00C10E55">
        <w:rPr>
          <w:rFonts w:ascii="Times New Roman" w:hAnsi="Times New Roman" w:cs="Times New Roman"/>
          <w:color w:val="0000FF"/>
        </w:rPr>
        <w:t xml:space="preserve">their model </w:t>
      </w:r>
      <w:r w:rsidR="00AA4EDE" w:rsidRPr="00C10E55">
        <w:rPr>
          <w:rFonts w:ascii="Times New Roman" w:hAnsi="Times New Roman" w:cs="Times New Roman"/>
          <w:color w:val="0000FF"/>
        </w:rPr>
        <w:t>is</w:t>
      </w:r>
      <w:r w:rsidR="00AB0CFA" w:rsidRPr="00C10E55">
        <w:rPr>
          <w:rFonts w:ascii="Times New Roman" w:hAnsi="Times New Roman" w:cs="Times New Roman"/>
          <w:color w:val="0000FF"/>
        </w:rPr>
        <w:t xml:space="preserve"> not suited to understanding the key empirical finding in this paper, namely </w:t>
      </w:r>
      <w:r w:rsidR="00AA4EDE" w:rsidRPr="00C10E55">
        <w:rPr>
          <w:rFonts w:ascii="Times New Roman" w:hAnsi="Times New Roman" w:cs="Times New Roman"/>
          <w:color w:val="0000FF"/>
        </w:rPr>
        <w:t>that</w:t>
      </w:r>
      <w:r w:rsidR="00AB0CFA"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during 2021 </w:t>
      </w:r>
      <w:r w:rsidR="00AB0CFA" w:rsidRPr="00C10E55">
        <w:rPr>
          <w:rFonts w:ascii="Times New Roman" w:hAnsi="Times New Roman" w:cs="Times New Roman"/>
          <w:color w:val="0000FF"/>
        </w:rPr>
        <w:t xml:space="preserve">bond-stock betas remained negative even as inflation rose </w:t>
      </w:r>
      <w:r w:rsidR="00AA4EDE" w:rsidRPr="00C10E55">
        <w:rPr>
          <w:rFonts w:ascii="Times New Roman" w:hAnsi="Times New Roman" w:cs="Times New Roman"/>
          <w:color w:val="0000FF"/>
        </w:rPr>
        <w:t xml:space="preserve">to levels not seen in 40 years. </w:t>
      </w:r>
      <w:r w:rsidR="000528D6" w:rsidRPr="00C10E55">
        <w:rPr>
          <w:rFonts w:ascii="Times New Roman" w:hAnsi="Times New Roman" w:cs="Times New Roman"/>
          <w:color w:val="0000FF"/>
        </w:rPr>
        <w:t xml:space="preserve">Hence, different from the current manuscript, none of these previous papers </w:t>
      </w:r>
      <w:proofErr w:type="gramStart"/>
      <w:r w:rsidR="000528D6" w:rsidRPr="00C10E55">
        <w:rPr>
          <w:rFonts w:ascii="Times New Roman" w:hAnsi="Times New Roman" w:cs="Times New Roman"/>
          <w:color w:val="0000FF"/>
        </w:rPr>
        <w:t>are able to</w:t>
      </w:r>
      <w:proofErr w:type="gramEnd"/>
      <w:r w:rsidR="000528D6" w:rsidRPr="00C10E55">
        <w:rPr>
          <w:rFonts w:ascii="Times New Roman" w:hAnsi="Times New Roman" w:cs="Times New Roman"/>
          <w:color w:val="0000FF"/>
        </w:rPr>
        <w:t xml:space="preserve"> assess how the </w:t>
      </w:r>
      <w:r w:rsidR="00AB0CFA" w:rsidRPr="00C10E55">
        <w:rPr>
          <w:rFonts w:ascii="Times New Roman" w:hAnsi="Times New Roman" w:cs="Times New Roman"/>
          <w:color w:val="0000FF"/>
        </w:rPr>
        <w:t xml:space="preserve">composition </w:t>
      </w:r>
      <w:r w:rsidR="000528D6" w:rsidRPr="00C10E55">
        <w:rPr>
          <w:rFonts w:ascii="Times New Roman" w:hAnsi="Times New Roman" w:cs="Times New Roman"/>
          <w:color w:val="0000FF"/>
        </w:rPr>
        <w:t xml:space="preserve">of macroeconomic shocks and monetary policy </w:t>
      </w:r>
      <w:r w:rsidR="00F52C31" w:rsidRPr="00C10E55">
        <w:rPr>
          <w:rFonts w:ascii="Times New Roman" w:hAnsi="Times New Roman" w:cs="Times New Roman"/>
          <w:color w:val="0000FF"/>
        </w:rPr>
        <w:t>combine</w:t>
      </w:r>
      <w:r w:rsidR="000528D6" w:rsidRPr="00C10E55">
        <w:rPr>
          <w:rFonts w:ascii="Times New Roman" w:hAnsi="Times New Roman" w:cs="Times New Roman"/>
          <w:color w:val="0000FF"/>
        </w:rPr>
        <w:t xml:space="preserve"> to </w:t>
      </w:r>
      <w:r w:rsidR="00B41D41" w:rsidRPr="00C10E55">
        <w:rPr>
          <w:rFonts w:ascii="Times New Roman" w:hAnsi="Times New Roman" w:cs="Times New Roman"/>
          <w:color w:val="0000FF"/>
        </w:rPr>
        <w:t>impact</w:t>
      </w:r>
      <w:r w:rsidR="000528D6" w:rsidRPr="00C10E55">
        <w:rPr>
          <w:rFonts w:ascii="Times New Roman" w:hAnsi="Times New Roman" w:cs="Times New Roman"/>
          <w:color w:val="0000FF"/>
        </w:rPr>
        <w:t xml:space="preserve"> bond-stock beta</w:t>
      </w:r>
      <w:r w:rsidR="00340704" w:rsidRPr="00C10E55">
        <w:rPr>
          <w:rFonts w:ascii="Times New Roman" w:hAnsi="Times New Roman" w:cs="Times New Roman"/>
          <w:color w:val="0000FF"/>
        </w:rPr>
        <w:t>s</w:t>
      </w:r>
      <w:r w:rsidR="00DC616B" w:rsidRPr="00C10E55">
        <w:rPr>
          <w:rFonts w:ascii="Times New Roman" w:hAnsi="Times New Roman" w:cs="Times New Roman"/>
          <w:color w:val="0000FF"/>
        </w:rPr>
        <w:t>.</w:t>
      </w:r>
      <w:r w:rsidR="000528D6" w:rsidRPr="00C10E55">
        <w:rPr>
          <w:rFonts w:ascii="Times New Roman" w:hAnsi="Times New Roman" w:cs="Times New Roman"/>
          <w:color w:val="0000FF"/>
        </w:rPr>
        <w:t xml:space="preserve"> </w:t>
      </w:r>
    </w:p>
    <w:p w14:paraId="6412AD12" w14:textId="77777777" w:rsidR="00AA4EDE" w:rsidRPr="00C10E55" w:rsidRDefault="00AA4EDE" w:rsidP="00C10E55">
      <w:pPr>
        <w:pStyle w:val="ListParagraph"/>
        <w:widowControl w:val="0"/>
        <w:autoSpaceDE w:val="0"/>
        <w:autoSpaceDN w:val="0"/>
        <w:adjustRightInd w:val="0"/>
        <w:spacing w:after="0" w:line="240" w:lineRule="auto"/>
        <w:ind w:left="360"/>
        <w:jc w:val="both"/>
        <w:rPr>
          <w:rFonts w:ascii="Times New Roman" w:hAnsi="Times New Roman" w:cs="Times New Roman"/>
          <w:color w:val="0000FF"/>
        </w:rPr>
      </w:pPr>
    </w:p>
    <w:p w14:paraId="01693F46" w14:textId="2AF7BF0B" w:rsidR="00F761D5" w:rsidRPr="00F761D5" w:rsidRDefault="0078498D"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w:t>
      </w:r>
      <w:r w:rsidR="00607E1A" w:rsidRPr="00C10E55">
        <w:rPr>
          <w:rFonts w:ascii="Times New Roman" w:hAnsi="Times New Roman" w:cs="Times New Roman"/>
          <w:color w:val="0000FF"/>
        </w:rPr>
        <w:t xml:space="preserve"> </w:t>
      </w:r>
      <w:r>
        <w:rPr>
          <w:rFonts w:ascii="Times New Roman" w:hAnsi="Times New Roman" w:cs="Times New Roman"/>
          <w:color w:val="0000FF"/>
        </w:rPr>
        <w:t>revised manuscript contains a new summary of the current paper</w:t>
      </w:r>
      <w:r w:rsidR="00161208">
        <w:rPr>
          <w:rFonts w:ascii="Times New Roman" w:hAnsi="Times New Roman" w:cs="Times New Roman"/>
          <w:color w:val="0000FF"/>
        </w:rPr>
        <w:t>’</w:t>
      </w:r>
      <w:r>
        <w:rPr>
          <w:rFonts w:ascii="Times New Roman" w:hAnsi="Times New Roman" w:cs="Times New Roman"/>
          <w:color w:val="0000FF"/>
        </w:rPr>
        <w:t>s contribution over my own prior work and the broader literature on bond-stock comovements at</w:t>
      </w:r>
      <w:r w:rsidR="00CC137A" w:rsidRPr="00C10E55">
        <w:rPr>
          <w:rFonts w:ascii="Times New Roman" w:hAnsi="Times New Roman" w:cs="Times New Roman"/>
          <w:color w:val="0000FF"/>
        </w:rPr>
        <w:t xml:space="preserve"> the end of the introduction</w:t>
      </w:r>
      <w:r w:rsidR="00161208">
        <w:rPr>
          <w:rFonts w:ascii="Times New Roman" w:hAnsi="Times New Roman" w:cs="Times New Roman"/>
          <w:color w:val="0000FF"/>
        </w:rPr>
        <w:t xml:space="preserve"> </w:t>
      </w:r>
      <w:r w:rsidRPr="0078498D">
        <w:rPr>
          <w:rFonts w:ascii="Times New Roman" w:hAnsi="Times New Roman" w:cs="Times New Roman"/>
          <w:b/>
          <w:bCs/>
          <w:color w:val="0000FF"/>
        </w:rPr>
        <w:t>(</w:t>
      </w:r>
      <w:r w:rsidR="00193958">
        <w:rPr>
          <w:rFonts w:ascii="Times New Roman" w:hAnsi="Times New Roman" w:cs="Times New Roman"/>
          <w:b/>
          <w:bCs/>
          <w:color w:val="0000FF"/>
        </w:rPr>
        <w:t xml:space="preserve">see </w:t>
      </w:r>
      <w:r w:rsidRPr="0078498D">
        <w:rPr>
          <w:rFonts w:ascii="Times New Roman" w:hAnsi="Times New Roman" w:cs="Times New Roman"/>
          <w:b/>
          <w:bCs/>
          <w:color w:val="0000FF"/>
        </w:rPr>
        <w:t>p</w:t>
      </w:r>
      <w:r w:rsidR="00A4220F">
        <w:rPr>
          <w:rFonts w:ascii="Times New Roman" w:hAnsi="Times New Roman" w:cs="Times New Roman"/>
          <w:b/>
          <w:bCs/>
          <w:color w:val="0000FF"/>
        </w:rPr>
        <w:t>p</w:t>
      </w:r>
      <w:r w:rsidRPr="0078498D">
        <w:rPr>
          <w:rFonts w:ascii="Times New Roman" w:hAnsi="Times New Roman" w:cs="Times New Roman"/>
          <w:b/>
          <w:bCs/>
          <w:color w:val="0000FF"/>
        </w:rPr>
        <w:t>. 5</w:t>
      </w:r>
      <w:r w:rsidR="00A4220F">
        <w:rPr>
          <w:rFonts w:ascii="Times New Roman" w:hAnsi="Times New Roman" w:cs="Times New Roman"/>
          <w:b/>
          <w:bCs/>
          <w:color w:val="0000FF"/>
        </w:rPr>
        <w:t>-7</w:t>
      </w:r>
      <w:r>
        <w:rPr>
          <w:rFonts w:ascii="Times New Roman" w:hAnsi="Times New Roman" w:cs="Times New Roman"/>
          <w:b/>
          <w:bCs/>
          <w:color w:val="0000FF"/>
        </w:rPr>
        <w:t xml:space="preserve">, </w:t>
      </w:r>
      <w:r w:rsidR="00A4220F">
        <w:rPr>
          <w:rFonts w:ascii="Times New Roman" w:hAnsi="Times New Roman" w:cs="Times New Roman"/>
          <w:b/>
          <w:bCs/>
          <w:color w:val="0000FF"/>
        </w:rPr>
        <w:t xml:space="preserve">starting with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 xml:space="preserve">Campbell, Pflueger, and </w:t>
      </w:r>
      <w:proofErr w:type="spellStart"/>
      <w:r>
        <w:rPr>
          <w:rFonts w:ascii="Times New Roman" w:hAnsi="Times New Roman" w:cs="Times New Roman"/>
          <w:b/>
          <w:bCs/>
          <w:color w:val="0000FF"/>
        </w:rPr>
        <w:t>Viceira</w:t>
      </w:r>
      <w:proofErr w:type="spellEnd"/>
      <w:r>
        <w:rPr>
          <w:rFonts w:ascii="Times New Roman" w:hAnsi="Times New Roman" w:cs="Times New Roman"/>
          <w:b/>
          <w:bCs/>
          <w:color w:val="0000FF"/>
        </w:rPr>
        <w:t xml:space="preserve">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Pflueger and Rinaldi (2022)</w:t>
      </w:r>
      <w:r w:rsidRPr="0078498D">
        <w:rPr>
          <w:rFonts w:ascii="Times New Roman" w:hAnsi="Times New Roman" w:cs="Times New Roman"/>
          <w:b/>
          <w:bCs/>
          <w:color w:val="0000FF"/>
        </w:rPr>
        <w:t>, it also contains substantial changes)</w:t>
      </w:r>
      <w:r>
        <w:rPr>
          <w:rFonts w:ascii="Times New Roman" w:hAnsi="Times New Roman" w:cs="Times New Roman"/>
          <w:color w:val="0000FF"/>
        </w:rPr>
        <w:t>.</w:t>
      </w:r>
      <w:r w:rsidR="009D51DE" w:rsidRPr="00C10E55">
        <w:rPr>
          <w:rFonts w:ascii="Times New Roman" w:hAnsi="Times New Roman" w:cs="Times New Roman"/>
          <w:color w:val="0000FF"/>
        </w:rPr>
        <w:t xml:space="preserve"> </w:t>
      </w:r>
    </w:p>
    <w:p w14:paraId="344BD82C" w14:textId="77777777" w:rsidR="00F761D5" w:rsidRDefault="00F761D5"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5153DFD9" w14:textId="190E78BB" w:rsidR="009E10F4"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F761D5">
        <w:rPr>
          <w:rFonts w:ascii="Times New Roman" w:hAnsi="Times New Roman" w:cs="Times New Roman"/>
        </w:rPr>
        <w:t>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latter (e.g., by introducing an additional shock to break the connection between the two inflation processes) and acknowledge some limitations in the modeling approaches.</w:t>
      </w:r>
    </w:p>
    <w:p w14:paraId="5553FD52" w14:textId="46268CD7" w:rsidR="007B31A8" w:rsidRDefault="00F761D5"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007B31A8">
        <w:rPr>
          <w:rFonts w:ascii="Times New Roman" w:hAnsi="Times New Roman" w:cs="Times New Roman"/>
          <w:b/>
          <w:color w:val="0000FF"/>
        </w:rPr>
        <w:t xml:space="preserve"> </w:t>
      </w:r>
      <w:r w:rsidR="007B31A8">
        <w:rPr>
          <w:rFonts w:ascii="Times New Roman" w:hAnsi="Times New Roman" w:cs="Times New Roman"/>
          <w:bCs/>
          <w:color w:val="0000FF"/>
        </w:rPr>
        <w:t>Done. T</w:t>
      </w:r>
      <w:r w:rsidR="007B31A8">
        <w:rPr>
          <w:rFonts w:ascii="Times New Roman" w:hAnsi="Times New Roman" w:cs="Times New Roman"/>
          <w:color w:val="0000FF"/>
        </w:rPr>
        <w:t xml:space="preserve">he revised manuscript now clearly acknowledges the limitations of the Taylor rule as a model of monetary policy. While a monetary policy rule is a standard feature of many models of monetary policy, in practice monetary policy clearly also contains a discretionary component as captured by the monetary policy shock in equation (24) of the revised manuscript. This is now discussed at the </w:t>
      </w:r>
      <w:r w:rsidR="007B31A8" w:rsidRPr="00552B46">
        <w:rPr>
          <w:rFonts w:ascii="Times New Roman" w:hAnsi="Times New Roman" w:cs="Times New Roman"/>
          <w:b/>
          <w:bCs/>
          <w:color w:val="0000FF"/>
        </w:rPr>
        <w:t>top of p.14 in the paragraph starting “While there is an active debate to what extent monetary policy can be described by rules versus discretion, rules such as (24) are often found to provide a good description of historical policy rates …”</w:t>
      </w:r>
      <w:r w:rsidR="007B31A8">
        <w:rPr>
          <w:rFonts w:ascii="Times New Roman" w:hAnsi="Times New Roman" w:cs="Times New Roman"/>
          <w:color w:val="0000FF"/>
        </w:rPr>
        <w:t>.</w:t>
      </w:r>
    </w:p>
    <w:p w14:paraId="3CC11494" w14:textId="577670E3" w:rsidR="007E23C9" w:rsidRDefault="007E23C9"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Following your advice, the </w:t>
      </w:r>
      <w:r w:rsidRPr="007E23C9">
        <w:rPr>
          <w:rFonts w:ascii="Times New Roman" w:hAnsi="Times New Roman" w:cs="Times New Roman"/>
          <w:b/>
          <w:bCs/>
          <w:color w:val="0000FF"/>
        </w:rPr>
        <w:t>new Appendix Section C.6</w:t>
      </w:r>
      <w:r>
        <w:rPr>
          <w:rFonts w:ascii="Times New Roman" w:hAnsi="Times New Roman" w:cs="Times New Roman"/>
          <w:color w:val="0000FF"/>
        </w:rPr>
        <w:t xml:space="preserve"> now solves the model with richer price-wage dynamics, adding an additional shock to the relationship (2</w:t>
      </w:r>
      <w:r w:rsidR="0077604B">
        <w:rPr>
          <w:rFonts w:ascii="Times New Roman" w:hAnsi="Times New Roman" w:cs="Times New Roman"/>
          <w:color w:val="0000FF"/>
        </w:rPr>
        <w:t>3</w:t>
      </w:r>
      <w:r>
        <w:rPr>
          <w:rFonts w:ascii="Times New Roman" w:hAnsi="Times New Roman" w:cs="Times New Roman"/>
          <w:color w:val="0000FF"/>
        </w:rPr>
        <w:t xml:space="preserve">) in the main paper. </w:t>
      </w:r>
      <w:r w:rsidR="0016253D">
        <w:rPr>
          <w:rFonts w:ascii="Times New Roman" w:hAnsi="Times New Roman" w:cs="Times New Roman"/>
          <w:color w:val="0000FF"/>
        </w:rPr>
        <w:t>I find that the key counterfactuals in Figure 4 are qualitatively and quantitatively unchanged even when this additional shock to the price-wage relationship is set to a very high value of 0.55 percent per quarter, implying that a one standard deviation move in this shock should increase price inflation by 0.55 percent annualized relative to wage inflation.</w:t>
      </w:r>
      <w:r w:rsidR="004E2577">
        <w:rPr>
          <w:rFonts w:ascii="Times New Roman" w:hAnsi="Times New Roman" w:cs="Times New Roman"/>
          <w:color w:val="0000FF"/>
        </w:rPr>
        <w:t xml:space="preserve"> </w:t>
      </w:r>
    </w:p>
    <w:p w14:paraId="04AD2F58" w14:textId="77777777" w:rsidR="007B31A8" w:rsidRDefault="007B31A8" w:rsidP="00F761D5">
      <w:pPr>
        <w:pStyle w:val="ListParagraph"/>
        <w:widowControl w:val="0"/>
        <w:autoSpaceDE w:val="0"/>
        <w:autoSpaceDN w:val="0"/>
        <w:adjustRightInd w:val="0"/>
        <w:spacing w:after="0" w:line="240" w:lineRule="auto"/>
        <w:ind w:left="360"/>
        <w:rPr>
          <w:rFonts w:ascii="Times New Roman" w:hAnsi="Times New Roman" w:cs="Times New Roman"/>
          <w:color w:val="0000FF"/>
          <w:highlight w:val="yellow"/>
        </w:rPr>
      </w:pPr>
    </w:p>
    <w:p w14:paraId="062F86C4" w14:textId="637E7075" w:rsidR="00F761D5" w:rsidRDefault="005F071F"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242991">
        <w:rPr>
          <w:rFonts w:ascii="Times New Roman" w:hAnsi="Times New Roman" w:cs="Times New Roman"/>
          <w:color w:val="0000FF"/>
          <w:highlight w:val="yellow"/>
        </w:rPr>
        <w:t xml:space="preserve">[CP </w:t>
      </w:r>
      <w:r w:rsidR="00CC1FCE" w:rsidRPr="00242991">
        <w:rPr>
          <w:rFonts w:ascii="Times New Roman" w:hAnsi="Times New Roman" w:cs="Times New Roman"/>
          <w:color w:val="0000FF"/>
          <w:highlight w:val="yellow"/>
        </w:rPr>
        <w:t>11/15/2024: add exercise with additional price inflation shock to appendix</w:t>
      </w:r>
      <w:r w:rsidR="00242991">
        <w:rPr>
          <w:rFonts w:ascii="Times New Roman" w:hAnsi="Times New Roman" w:cs="Times New Roman"/>
          <w:color w:val="0000FF"/>
          <w:highlight w:val="yellow"/>
        </w:rPr>
        <w:t xml:space="preserve"> once available</w:t>
      </w:r>
      <w:r w:rsidR="00CC1FCE" w:rsidRPr="00242991">
        <w:rPr>
          <w:rFonts w:ascii="Times New Roman" w:hAnsi="Times New Roman" w:cs="Times New Roman"/>
          <w:color w:val="0000FF"/>
          <w:highlight w:val="yellow"/>
        </w:rPr>
        <w:t>.]</w:t>
      </w:r>
    </w:p>
    <w:p w14:paraId="77524682" w14:textId="77777777" w:rsidR="00F761D5" w:rsidRPr="00F761D5" w:rsidRDefault="00F761D5" w:rsidP="00F761D5">
      <w:pPr>
        <w:pStyle w:val="ListParagraph"/>
        <w:widowControl w:val="0"/>
        <w:autoSpaceDE w:val="0"/>
        <w:autoSpaceDN w:val="0"/>
        <w:adjustRightInd w:val="0"/>
        <w:spacing w:after="0" w:line="240" w:lineRule="auto"/>
        <w:ind w:left="360"/>
        <w:rPr>
          <w:rFonts w:ascii="Times New Roman" w:hAnsi="Times New Roman" w:cs="Times New Roman"/>
        </w:rPr>
      </w:pPr>
    </w:p>
    <w:p w14:paraId="19BF5B88"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hanging="720"/>
        <w:jc w:val="both"/>
        <w:rPr>
          <w:rFonts w:ascii="Times New Roman" w:hAnsi="Times New Roman" w:cs="Times New Roman"/>
        </w:rPr>
      </w:pPr>
      <w:r w:rsidRPr="00C10E55">
        <w:rPr>
          <w:rFonts w:ascii="Times New Roman" w:hAnsi="Times New Roman" w:cs="Times New Roman"/>
        </w:rPr>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Pr="00C10E55"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 xml:space="preserve">Calculate the necessary changes in parameters to replicate the stock betas from the </w:t>
      </w:r>
      <w:r w:rsidRPr="002A387A">
        <w:rPr>
          <w:rFonts w:ascii="Times New Roman" w:hAnsi="Times New Roman" w:cs="Times New Roman"/>
        </w:rPr>
        <w:t>first half of the sample in the second half. For example, is there a degree of MP inertia that would make the betas as big as they were in the first half of the sample? How much bigger should the volatilities of the shocks be to engineer the same betas?</w:t>
      </w:r>
    </w:p>
    <w:p w14:paraId="549167FC" w14:textId="77777777" w:rsidR="00F761D5" w:rsidRPr="00C10E55" w:rsidRDefault="00F761D5" w:rsidP="00F761D5">
      <w:pPr>
        <w:pStyle w:val="ListParagraph"/>
        <w:widowControl w:val="0"/>
        <w:autoSpaceDE w:val="0"/>
        <w:autoSpaceDN w:val="0"/>
        <w:adjustRightInd w:val="0"/>
        <w:spacing w:after="0" w:line="240" w:lineRule="auto"/>
        <w:ind w:left="2040"/>
        <w:jc w:val="both"/>
        <w:rPr>
          <w:rFonts w:ascii="Times New Roman" w:hAnsi="Times New Roman" w:cs="Times New Roman"/>
        </w:rPr>
      </w:pPr>
    </w:p>
    <w:p w14:paraId="53F059D4" w14:textId="1A7398E5" w:rsidR="0049070C" w:rsidRDefault="001302C0" w:rsidP="00F761D5">
      <w:pPr>
        <w:widowControl w:val="0"/>
        <w:autoSpaceDE w:val="0"/>
        <w:autoSpaceDN w:val="0"/>
        <w:adjustRightInd w:val="0"/>
        <w:spacing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CC63E0">
        <w:rPr>
          <w:rFonts w:ascii="Times New Roman" w:hAnsi="Times New Roman" w:cs="Times New Roman"/>
          <w:color w:val="0000FF"/>
        </w:rPr>
        <w:t>I have substantially changed the manuscript</w:t>
      </w:r>
      <w:r w:rsidR="00AD3567">
        <w:rPr>
          <w:rFonts w:ascii="Times New Roman" w:hAnsi="Times New Roman" w:cs="Times New Roman"/>
          <w:color w:val="0000FF"/>
        </w:rPr>
        <w:t xml:space="preserve"> to clarify the nature of macroeconomic shocks in the 1980s subperiod. I have addressed the issue twofold. First,</w:t>
      </w:r>
      <w:r w:rsidR="002348CC">
        <w:rPr>
          <w:rFonts w:ascii="Times New Roman" w:hAnsi="Times New Roman" w:cs="Times New Roman"/>
          <w:color w:val="0000FF"/>
        </w:rPr>
        <w:t xml:space="preserve"> the revised manuscript includes a much more extensive </w:t>
      </w:r>
      <w:r w:rsidR="00FA29E2">
        <w:rPr>
          <w:rFonts w:ascii="Times New Roman" w:hAnsi="Times New Roman" w:cs="Times New Roman"/>
          <w:color w:val="0000FF"/>
        </w:rPr>
        <w:t>narrative</w:t>
      </w:r>
      <w:r w:rsidR="00AD3567">
        <w:rPr>
          <w:rFonts w:ascii="Times New Roman" w:hAnsi="Times New Roman" w:cs="Times New Roman"/>
          <w:color w:val="0000FF"/>
        </w:rPr>
        <w:t xml:space="preserve"> </w:t>
      </w:r>
      <w:r w:rsidR="002348CC">
        <w:rPr>
          <w:rFonts w:ascii="Times New Roman" w:hAnsi="Times New Roman" w:cs="Times New Roman"/>
          <w:color w:val="0000FF"/>
        </w:rPr>
        <w:t xml:space="preserve">for </w:t>
      </w:r>
      <w:r w:rsidR="00AD3567">
        <w:rPr>
          <w:rFonts w:ascii="Times New Roman" w:hAnsi="Times New Roman" w:cs="Times New Roman"/>
          <w:color w:val="0000FF"/>
        </w:rPr>
        <w:t xml:space="preserve">why the 1980s and 1990s </w:t>
      </w:r>
      <w:r w:rsidR="002348CC">
        <w:rPr>
          <w:rFonts w:ascii="Times New Roman" w:hAnsi="Times New Roman" w:cs="Times New Roman"/>
          <w:color w:val="0000FF"/>
        </w:rPr>
        <w:t>should</w:t>
      </w:r>
      <w:r w:rsidR="00FA29E2">
        <w:rPr>
          <w:rFonts w:ascii="Times New Roman" w:hAnsi="Times New Roman" w:cs="Times New Roman"/>
          <w:color w:val="0000FF"/>
        </w:rPr>
        <w:t xml:space="preserve"> </w:t>
      </w:r>
      <w:r w:rsidR="00AD3567">
        <w:rPr>
          <w:rFonts w:ascii="Times New Roman" w:hAnsi="Times New Roman" w:cs="Times New Roman"/>
          <w:color w:val="0000FF"/>
        </w:rPr>
        <w:t xml:space="preserve">be viewed as a period of dominant actual and perceived supply shocks, </w:t>
      </w:r>
      <w:r w:rsidR="00FA29E2">
        <w:rPr>
          <w:rFonts w:ascii="Times New Roman" w:hAnsi="Times New Roman" w:cs="Times New Roman"/>
          <w:color w:val="0000FF"/>
        </w:rPr>
        <w:t>consistent with my model calibration for the first subperiod</w:t>
      </w:r>
      <w:r w:rsidR="00AD3567">
        <w:rPr>
          <w:rFonts w:ascii="Times New Roman" w:hAnsi="Times New Roman" w:cs="Times New Roman"/>
          <w:color w:val="0000FF"/>
        </w:rPr>
        <w:t xml:space="preserve">. </w:t>
      </w:r>
      <w:r w:rsidR="0049070C">
        <w:rPr>
          <w:rFonts w:ascii="Times New Roman" w:hAnsi="Times New Roman" w:cs="Times New Roman"/>
          <w:color w:val="0000FF"/>
        </w:rPr>
        <w:t>Second, I followed your suggestion to calculate the necessary changes in parameters to explain the bond-stock betas during the 1980s. This second exercise clearly shows that volatile supply shocks are required to explain asset markets during the 1980s</w:t>
      </w:r>
      <w:r w:rsidR="00B437D7">
        <w:rPr>
          <w:rFonts w:ascii="Times New Roman" w:hAnsi="Times New Roman" w:cs="Times New Roman"/>
          <w:color w:val="0000FF"/>
        </w:rPr>
        <w:t xml:space="preserve"> using my model</w:t>
      </w:r>
      <w:r w:rsidR="0049070C">
        <w:rPr>
          <w:rFonts w:ascii="Times New Roman" w:hAnsi="Times New Roman" w:cs="Times New Roman"/>
          <w:color w:val="0000FF"/>
        </w:rPr>
        <w:t xml:space="preserve">. </w:t>
      </w:r>
    </w:p>
    <w:p w14:paraId="5D7AE51D" w14:textId="77777777" w:rsidR="0049070C" w:rsidRDefault="0049070C"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56D61383" w14:textId="2046ABE9" w:rsidR="00713C40" w:rsidRDefault="0049070C"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First, the narrative of </w:t>
      </w:r>
      <w:r w:rsidR="00FA29E2">
        <w:rPr>
          <w:rFonts w:ascii="Times New Roman" w:hAnsi="Times New Roman" w:cs="Times New Roman"/>
          <w:color w:val="0000FF"/>
        </w:rPr>
        <w:t>supply shocks</w:t>
      </w:r>
      <w:r>
        <w:rPr>
          <w:rFonts w:ascii="Times New Roman" w:hAnsi="Times New Roman" w:cs="Times New Roman"/>
          <w:color w:val="0000FF"/>
        </w:rPr>
        <w:t xml:space="preserve"> </w:t>
      </w:r>
      <w:r w:rsidR="002715AD">
        <w:rPr>
          <w:rFonts w:ascii="Times New Roman" w:hAnsi="Times New Roman" w:cs="Times New Roman"/>
          <w:color w:val="0000FF"/>
        </w:rPr>
        <w:t xml:space="preserve">during the 1980s </w:t>
      </w:r>
      <w:r>
        <w:rPr>
          <w:rFonts w:ascii="Times New Roman" w:hAnsi="Times New Roman" w:cs="Times New Roman"/>
          <w:color w:val="0000FF"/>
        </w:rPr>
        <w:t>sometimes tends to overlook</w:t>
      </w:r>
      <w:r w:rsidR="00AD3567">
        <w:rPr>
          <w:rFonts w:ascii="Times New Roman" w:hAnsi="Times New Roman" w:cs="Times New Roman"/>
          <w:color w:val="0000FF"/>
        </w:rPr>
        <w:t xml:space="preserve"> that supply shocks can be either negative (i.e. reducing output) or positive (i.e. good for output)</w:t>
      </w:r>
      <w:r>
        <w:rPr>
          <w:rFonts w:ascii="Times New Roman" w:hAnsi="Times New Roman" w:cs="Times New Roman"/>
          <w:color w:val="0000FF"/>
        </w:rPr>
        <w:t xml:space="preserve">, and in my model only the volatility of these shocks matters but not their sign. </w:t>
      </w:r>
      <w:r w:rsidR="00713C40">
        <w:rPr>
          <w:rFonts w:ascii="Times New Roman" w:hAnsi="Times New Roman" w:cs="Times New Roman"/>
          <w:color w:val="0000FF"/>
        </w:rPr>
        <w:t>While the 1970s were a period of dramatic adverse supply shocks, the 1980s and 1990s featured substantial supply shocks that tended to be positive, such as in 1986 when Saudi Arabia more than doubled its own oil output leading to</w:t>
      </w:r>
      <w:r w:rsidR="00BB0E92">
        <w:rPr>
          <w:rFonts w:ascii="Times New Roman" w:hAnsi="Times New Roman" w:cs="Times New Roman"/>
          <w:color w:val="0000FF"/>
        </w:rPr>
        <w:t xml:space="preserve"> </w:t>
      </w:r>
      <w:r w:rsidR="00713C40">
        <w:rPr>
          <w:rFonts w:ascii="Times New Roman" w:hAnsi="Times New Roman" w:cs="Times New Roman"/>
          <w:color w:val="0000FF"/>
        </w:rPr>
        <w:t xml:space="preserve">a </w:t>
      </w:r>
      <w:r w:rsidR="00417DAB">
        <w:rPr>
          <w:rFonts w:ascii="Times New Roman" w:hAnsi="Times New Roman" w:cs="Times New Roman"/>
          <w:color w:val="0000FF"/>
        </w:rPr>
        <w:t>dramatic</w:t>
      </w:r>
      <w:r w:rsidR="00713C40">
        <w:rPr>
          <w:rFonts w:ascii="Times New Roman" w:hAnsi="Times New Roman" w:cs="Times New Roman"/>
          <w:color w:val="0000FF"/>
        </w:rPr>
        <w:t xml:space="preserve"> drop in oil prices</w:t>
      </w:r>
      <w:r w:rsidR="00915876">
        <w:rPr>
          <w:rFonts w:ascii="Times New Roman" w:hAnsi="Times New Roman" w:cs="Times New Roman"/>
          <w:color w:val="0000FF"/>
        </w:rPr>
        <w:t xml:space="preserve"> (Gately, 1986)</w:t>
      </w:r>
      <w:r w:rsidR="00713C40">
        <w:rPr>
          <w:rFonts w:ascii="Times New Roman" w:hAnsi="Times New Roman" w:cs="Times New Roman"/>
          <w:color w:val="0000FF"/>
        </w:rPr>
        <w:t xml:space="preserve">. These shocks were viewed as highly relevant for monetary policy during </w:t>
      </w:r>
      <w:r w:rsidR="00417DAB">
        <w:rPr>
          <w:rFonts w:ascii="Times New Roman" w:hAnsi="Times New Roman" w:cs="Times New Roman"/>
          <w:color w:val="0000FF"/>
        </w:rPr>
        <w:t>1980s and 1990s</w:t>
      </w:r>
      <w:r w:rsidR="00713C40">
        <w:rPr>
          <w:rFonts w:ascii="Times New Roman" w:hAnsi="Times New Roman" w:cs="Times New Roman"/>
          <w:color w:val="0000FF"/>
        </w:rPr>
        <w:t xml:space="preserve">, as illustrated by the following quote from Greg Mankiw in a </w:t>
      </w:r>
      <w:r w:rsidR="00713C40" w:rsidRPr="00A4499C">
        <w:rPr>
          <w:rFonts w:ascii="Times New Roman" w:hAnsi="Times New Roman" w:cs="Times New Roman"/>
          <w:color w:val="0000FF"/>
        </w:rPr>
        <w:t>Fortune</w:t>
      </w:r>
      <w:r w:rsidR="00713C40">
        <w:rPr>
          <w:rFonts w:ascii="Times New Roman" w:hAnsi="Times New Roman" w:cs="Times New Roman"/>
          <w:color w:val="0000FF"/>
        </w:rPr>
        <w:t xml:space="preserve"> article from December 1997: </w:t>
      </w:r>
    </w:p>
    <w:p w14:paraId="3324BB25" w14:textId="77777777" w:rsidR="00713C40" w:rsidRDefault="00713C40"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76FC039B" w14:textId="77777777" w:rsidR="00713C40" w:rsidRPr="00A4499C" w:rsidRDefault="00713C40" w:rsidP="00713C40">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F75F130" w14:textId="6BFA28CC" w:rsidR="00AD3567" w:rsidRPr="00A4499C" w:rsidRDefault="00713C40" w:rsidP="00713C40">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3BD6A436" w14:textId="77777777" w:rsidR="003623A0" w:rsidRPr="00A4499C" w:rsidRDefault="003623A0" w:rsidP="00713C40">
      <w:pPr>
        <w:pStyle w:val="Default"/>
        <w:ind w:left="720" w:firstLine="720"/>
        <w:rPr>
          <w:rFonts w:ascii="Times New Roman" w:hAnsi="Times New Roman" w:cs="Times New Roman"/>
          <w:color w:val="0000FF"/>
          <w:sz w:val="22"/>
          <w:szCs w:val="22"/>
        </w:rPr>
      </w:pPr>
    </w:p>
    <w:p w14:paraId="27700372" w14:textId="76855810"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w:t>
      </w:r>
      <w:r>
        <w:rPr>
          <w:rFonts w:ascii="Times New Roman" w:hAnsi="Times New Roman" w:cs="Times New Roman"/>
          <w:color w:val="0000FF"/>
        </w:rPr>
        <w:lastRenderedPageBreak/>
        <w:t xml:space="preserve">monetary policy makers during </w:t>
      </w:r>
      <w:r w:rsidR="00A4499C">
        <w:rPr>
          <w:rFonts w:ascii="Times New Roman" w:hAnsi="Times New Roman" w:cs="Times New Roman"/>
          <w:color w:val="0000FF"/>
        </w:rPr>
        <w:t xml:space="preserve">my first subperiod, and </w:t>
      </w:r>
      <w:proofErr w:type="gramStart"/>
      <w:r w:rsidR="00A4499C">
        <w:rPr>
          <w:rFonts w:ascii="Times New Roman" w:hAnsi="Times New Roman" w:cs="Times New Roman"/>
          <w:color w:val="0000FF"/>
        </w:rPr>
        <w:t>in particular during</w:t>
      </w:r>
      <w:proofErr w:type="gramEnd"/>
      <w:r w:rsidR="00A4499C">
        <w:rPr>
          <w:rFonts w:ascii="Times New Roman" w:hAnsi="Times New Roman" w:cs="Times New Roman"/>
          <w:color w:val="0000FF"/>
        </w:rPr>
        <w:t xml:space="preserve"> the 1990s. </w:t>
      </w:r>
      <w:r>
        <w:rPr>
          <w:rFonts w:ascii="Times New Roman" w:hAnsi="Times New Roman" w:cs="Times New Roman"/>
          <w:color w:val="0000FF"/>
        </w:rPr>
        <w:t xml:space="preserve">The puzzle for economists and policy makers </w:t>
      </w:r>
      <w:r w:rsidR="00A4499C">
        <w:rPr>
          <w:rFonts w:ascii="Times New Roman" w:hAnsi="Times New Roman" w:cs="Times New Roman"/>
          <w:color w:val="0000FF"/>
        </w:rPr>
        <w:t xml:space="preserve">during the 1990s </w:t>
      </w:r>
      <w:r>
        <w:rPr>
          <w:rFonts w:ascii="Times New Roman" w:hAnsi="Times New Roman" w:cs="Times New Roman"/>
          <w:color w:val="0000FF"/>
        </w:rPr>
        <w:t xml:space="preserve">was how the US economy was able to perform so well while inflation remained low. </w:t>
      </w:r>
      <w:r w:rsidR="00F73FE3">
        <w:rPr>
          <w:rFonts w:ascii="Times New Roman" w:hAnsi="Times New Roman" w:cs="Times New Roman"/>
          <w:color w:val="0000FF"/>
        </w:rPr>
        <w:t xml:space="preserve">It is immediate that these empirical observations would contribute to the negative empirical inflation-output gap relationship displayed in the </w:t>
      </w:r>
      <w:r>
        <w:rPr>
          <w:rFonts w:ascii="Times New Roman" w:hAnsi="Times New Roman" w:cs="Times New Roman"/>
          <w:color w:val="0000FF"/>
        </w:rPr>
        <w:t>top-left panel of Figure 2</w:t>
      </w:r>
      <w:r w:rsidR="00F73FE3">
        <w:rPr>
          <w:rFonts w:ascii="Times New Roman" w:hAnsi="Times New Roman" w:cs="Times New Roman"/>
          <w:color w:val="0000FF"/>
        </w:rPr>
        <w:t xml:space="preserve">, and hence to the identification of volatile supply shocks during my first calibration period. Fed Chair </w:t>
      </w:r>
      <w:r>
        <w:rPr>
          <w:rFonts w:ascii="Times New Roman" w:hAnsi="Times New Roman" w:cs="Times New Roman"/>
          <w:color w:val="0000FF"/>
        </w:rPr>
        <w:t xml:space="preserve">Alan Greenspan </w:t>
      </w:r>
      <w:r w:rsidR="00F73FE3">
        <w:rPr>
          <w:rFonts w:ascii="Times New Roman" w:hAnsi="Times New Roman" w:cs="Times New Roman"/>
          <w:color w:val="0000FF"/>
        </w:rPr>
        <w:t xml:space="preserve">himself </w:t>
      </w:r>
      <w:r>
        <w:rPr>
          <w:rFonts w:ascii="Times New Roman" w:hAnsi="Times New Roman" w:cs="Times New Roman"/>
          <w:color w:val="0000FF"/>
        </w:rPr>
        <w:t>famously attributed th</w:t>
      </w:r>
      <w:r w:rsidR="00F73FE3">
        <w:rPr>
          <w:rFonts w:ascii="Times New Roman" w:hAnsi="Times New Roman" w:cs="Times New Roman"/>
          <w:color w:val="0000FF"/>
        </w:rPr>
        <w:t>e</w:t>
      </w:r>
      <w:r>
        <w:rPr>
          <w:rFonts w:ascii="Times New Roman" w:hAnsi="Times New Roman" w:cs="Times New Roman"/>
          <w:color w:val="0000FF"/>
        </w:rPr>
        <w:t xml:space="preserve"> performance of the US economy </w:t>
      </w:r>
      <w:r w:rsidR="00F73FE3">
        <w:rPr>
          <w:rFonts w:ascii="Times New Roman" w:hAnsi="Times New Roman" w:cs="Times New Roman"/>
          <w:color w:val="0000FF"/>
        </w:rPr>
        <w:t xml:space="preserve">with low inflation during this period </w:t>
      </w:r>
      <w:r>
        <w:rPr>
          <w:rFonts w:ascii="Times New Roman" w:hAnsi="Times New Roman" w:cs="Times New Roman"/>
          <w:color w:val="0000FF"/>
        </w:rPr>
        <w:t>to technology shocks and the “New Economy”</w:t>
      </w:r>
      <w:r w:rsidR="00F73FE3">
        <w:rPr>
          <w:rFonts w:ascii="Times New Roman" w:hAnsi="Times New Roman" w:cs="Times New Roman"/>
          <w:color w:val="0000FF"/>
        </w:rPr>
        <w:t xml:space="preserve"> in statements such as the following:</w:t>
      </w:r>
    </w:p>
    <w:p w14:paraId="1A5EA6B0"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36EA4F8E" w14:textId="3EA62FEA" w:rsidR="00417DAB" w:rsidRPr="00A4499C" w:rsidRDefault="00417DAB" w:rsidP="00417DAB">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w:t>
      </w:r>
      <w:r w:rsidR="00FD39E2" w:rsidRPr="00A4499C">
        <w:rPr>
          <w:rFonts w:ascii="Times New Roman" w:hAnsi="Times New Roman" w:cs="Times New Roman"/>
          <w:color w:val="0000FF"/>
        </w:rPr>
        <w:t xml:space="preserve"> </w:t>
      </w:r>
      <w:r w:rsidRPr="00A4499C">
        <w:rPr>
          <w:rFonts w:ascii="Times New Roman" w:hAnsi="Times New Roman" w:cs="Times New Roman"/>
          <w:color w:val="0000FF"/>
        </w:rPr>
        <w:t>contain inflationary tendencies. An ever-increasing share of our nation's workforce uses the tools of new technologies. Microchips embodied in physical capital make it work more efficiently, and sophisticated software adds to intellectual capital.”</w:t>
      </w:r>
    </w:p>
    <w:p w14:paraId="501446D3" w14:textId="34EDF5DA" w:rsidR="003623A0" w:rsidRPr="00A4499C" w:rsidRDefault="00EA4C67" w:rsidP="003623A0">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 xml:space="preserve">(Chairman Alan Greenspan, </w:t>
      </w:r>
      <w:r w:rsidR="00BF1FBE" w:rsidRPr="00A4499C">
        <w:rPr>
          <w:rFonts w:ascii="Times New Roman" w:hAnsi="Times New Roman" w:cs="Times New Roman"/>
          <w:color w:val="0000FF"/>
          <w:sz w:val="22"/>
          <w:szCs w:val="22"/>
        </w:rPr>
        <w:t>Semiannual</w:t>
      </w:r>
      <w:r w:rsidRPr="00A4499C">
        <w:rPr>
          <w:rFonts w:ascii="Times New Roman" w:hAnsi="Times New Roman" w:cs="Times New Roman"/>
          <w:color w:val="0000FF"/>
          <w:sz w:val="22"/>
          <w:szCs w:val="22"/>
        </w:rPr>
        <w:t xml:space="preserve"> monetary policy report</w:t>
      </w:r>
      <w:r w:rsidR="00BF1FBE" w:rsidRPr="00A4499C">
        <w:rPr>
          <w:rFonts w:ascii="Times New Roman" w:hAnsi="Times New Roman" w:cs="Times New Roman"/>
          <w:color w:val="0000FF"/>
          <w:sz w:val="22"/>
          <w:szCs w:val="22"/>
        </w:rPr>
        <w:t xml:space="preserve">, </w:t>
      </w:r>
      <w:r w:rsidRPr="00A4499C">
        <w:rPr>
          <w:rFonts w:ascii="Times New Roman" w:hAnsi="Times New Roman" w:cs="Times New Roman"/>
          <w:color w:val="0000FF"/>
          <w:sz w:val="22"/>
          <w:szCs w:val="22"/>
        </w:rPr>
        <w:t>U.S. Senate July 18, 1996)</w:t>
      </w:r>
    </w:p>
    <w:p w14:paraId="1E2D8913" w14:textId="77777777" w:rsidR="003623A0" w:rsidRDefault="003623A0" w:rsidP="003623A0">
      <w:pPr>
        <w:pStyle w:val="Default"/>
        <w:ind w:left="1080"/>
        <w:rPr>
          <w:rFonts w:ascii="Times New Roman" w:hAnsi="Times New Roman" w:cs="Times New Roman"/>
          <w:color w:val="0000FF"/>
        </w:rPr>
      </w:pPr>
    </w:p>
    <w:p w14:paraId="64E2C47B" w14:textId="217E2D47" w:rsidR="003623A0" w:rsidRPr="003623A0" w:rsidRDefault="003623A0" w:rsidP="003623A0">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 xml:space="preserve">Not all supply shocks during the 1980s and 1990s were positive, and as you mention Goodfriend (2007) </w:t>
      </w:r>
      <w:r w:rsidR="00C0361C">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Also consistent with my break date, Goodfriend (2007) argues that the late 1990s represented a significant break in monetary policy towards a “new consensus”. I therefore view </w:t>
      </w:r>
      <w:r w:rsidR="00A4499C">
        <w:rPr>
          <w:rFonts w:ascii="Times New Roman" w:hAnsi="Times New Roman" w:cs="Times New Roman"/>
          <w:color w:val="0000FF"/>
          <w:sz w:val="22"/>
          <w:szCs w:val="22"/>
        </w:rPr>
        <w:t xml:space="preserve">his </w:t>
      </w:r>
      <w:r w:rsidR="00A4499C" w:rsidRPr="003623A0">
        <w:rPr>
          <w:rFonts w:ascii="Times New Roman" w:hAnsi="Times New Roman" w:cs="Times New Roman"/>
          <w:color w:val="0000FF"/>
          <w:sz w:val="22"/>
          <w:szCs w:val="22"/>
        </w:rPr>
        <w:t>insightful</w:t>
      </w:r>
      <w:r w:rsidRPr="003623A0">
        <w:rPr>
          <w:rFonts w:ascii="Times New Roman" w:hAnsi="Times New Roman" w:cs="Times New Roman"/>
          <w:color w:val="0000FF"/>
          <w:sz w:val="22"/>
          <w:szCs w:val="22"/>
        </w:rPr>
        <w:t xml:space="preserve"> account of US monetary policy as </w:t>
      </w:r>
      <w:r w:rsidR="004F7184">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48C58963"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B59B5AE" w14:textId="6C6F6BD1" w:rsidR="00FD39E2" w:rsidRDefault="00A4499C" w:rsidP="002C333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I also added a simple quantification for the perceived relevance of supply shocks across the decades using newspaper counts</w:t>
      </w:r>
      <w:r w:rsidR="002D604B">
        <w:rPr>
          <w:rFonts w:ascii="Times New Roman" w:hAnsi="Times New Roman" w:cs="Times New Roman"/>
          <w:color w:val="0000FF"/>
        </w:rPr>
        <w:t xml:space="preserve"> to the revised manuscript</w:t>
      </w:r>
      <w:r>
        <w:rPr>
          <w:rFonts w:ascii="Times New Roman" w:hAnsi="Times New Roman" w:cs="Times New Roman"/>
          <w:color w:val="0000FF"/>
        </w:rPr>
        <w:t xml:space="preserve">. The results are shown in the </w:t>
      </w:r>
      <w:r w:rsidR="00A21E01">
        <w:rPr>
          <w:rFonts w:ascii="Times New Roman" w:hAnsi="Times New Roman" w:cs="Times New Roman"/>
          <w:color w:val="0000FF"/>
        </w:rPr>
        <w:t xml:space="preserve">new </w:t>
      </w:r>
      <w:r w:rsidR="00660085">
        <w:rPr>
          <w:rFonts w:ascii="Times New Roman" w:hAnsi="Times New Roman" w:cs="Times New Roman"/>
          <w:color w:val="0000FF"/>
        </w:rPr>
        <w:t>Appendix Figure A1</w:t>
      </w:r>
      <w:r>
        <w:rPr>
          <w:rFonts w:ascii="Times New Roman" w:hAnsi="Times New Roman" w:cs="Times New Roman"/>
          <w:color w:val="0000FF"/>
        </w:rPr>
        <w:t xml:space="preserve">, </w:t>
      </w:r>
      <w:r w:rsidR="00660085">
        <w:rPr>
          <w:rFonts w:ascii="Times New Roman" w:hAnsi="Times New Roman" w:cs="Times New Roman"/>
          <w:color w:val="0000FF"/>
        </w:rPr>
        <w:t xml:space="preserve">reproduced below for your convenience. </w:t>
      </w:r>
      <w:r>
        <w:rPr>
          <w:rFonts w:ascii="Times New Roman" w:hAnsi="Times New Roman" w:cs="Times New Roman"/>
          <w:color w:val="0000FF"/>
        </w:rPr>
        <w:t xml:space="preserve">This figure shows for each decade the number of Wall Street Journal articles mentioning both “supply” and “inflation”, scaled by the number of articles </w:t>
      </w:r>
      <w:r w:rsidR="002D604B">
        <w:rPr>
          <w:rFonts w:ascii="Times New Roman" w:hAnsi="Times New Roman" w:cs="Times New Roman"/>
          <w:color w:val="0000FF"/>
        </w:rPr>
        <w:t>mentioning</w:t>
      </w:r>
      <w:r>
        <w:rPr>
          <w:rFonts w:ascii="Times New Roman" w:hAnsi="Times New Roman" w:cs="Times New Roman"/>
          <w:color w:val="0000FF"/>
        </w:rPr>
        <w:t xml:space="preserve"> “inflation”. </w:t>
      </w:r>
      <w:r w:rsidR="00660085">
        <w:rPr>
          <w:rFonts w:ascii="Times New Roman" w:hAnsi="Times New Roman" w:cs="Times New Roman"/>
          <w:color w:val="0000FF"/>
        </w:rPr>
        <w:t xml:space="preserve">This new analysis shows that the </w:t>
      </w:r>
      <w:r>
        <w:rPr>
          <w:rFonts w:ascii="Times New Roman" w:hAnsi="Times New Roman" w:cs="Times New Roman"/>
          <w:color w:val="0000FF"/>
        </w:rPr>
        <w:t>share of supply mentions</w:t>
      </w:r>
      <w:r w:rsidR="00FD39E2">
        <w:rPr>
          <w:rFonts w:ascii="Times New Roman" w:hAnsi="Times New Roman" w:cs="Times New Roman"/>
          <w:color w:val="0000FF"/>
        </w:rPr>
        <w:t xml:space="preserve"> peaked in the 1980s, and was lower before and after, reaching a trough during the decade of the 2010s. </w:t>
      </w:r>
      <w:r>
        <w:rPr>
          <w:rFonts w:ascii="Times New Roman" w:hAnsi="Times New Roman" w:cs="Times New Roman"/>
          <w:color w:val="0000FF"/>
        </w:rPr>
        <w:t xml:space="preserve">It </w:t>
      </w:r>
      <w:r w:rsidR="006314EB">
        <w:rPr>
          <w:rFonts w:ascii="Times New Roman" w:hAnsi="Times New Roman" w:cs="Times New Roman"/>
          <w:color w:val="0000FF"/>
        </w:rPr>
        <w:t xml:space="preserve">even slightly increased </w:t>
      </w:r>
      <w:r w:rsidR="002C3333">
        <w:rPr>
          <w:rFonts w:ascii="Times New Roman" w:hAnsi="Times New Roman" w:cs="Times New Roman"/>
          <w:color w:val="0000FF"/>
        </w:rPr>
        <w:t>from the 1970s to the 1980s</w:t>
      </w:r>
      <w:r>
        <w:rPr>
          <w:rFonts w:ascii="Times New Roman" w:hAnsi="Times New Roman" w:cs="Times New Roman"/>
          <w:color w:val="0000FF"/>
        </w:rPr>
        <w:t>. This seems plausible</w:t>
      </w:r>
      <w:r w:rsidR="002C3333">
        <w:rPr>
          <w:rFonts w:ascii="Times New Roman" w:hAnsi="Times New Roman" w:cs="Times New Roman"/>
          <w:color w:val="0000FF"/>
        </w:rPr>
        <w:t xml:space="preserve"> </w:t>
      </w:r>
      <w:r w:rsidR="006314EB">
        <w:rPr>
          <w:rFonts w:ascii="Times New Roman" w:hAnsi="Times New Roman" w:cs="Times New Roman"/>
          <w:color w:val="0000FF"/>
        </w:rPr>
        <w:t>because the</w:t>
      </w:r>
      <w:r w:rsidR="002C3333">
        <w:rPr>
          <w:rFonts w:ascii="Times New Roman" w:hAnsi="Times New Roman" w:cs="Times New Roman"/>
          <w:color w:val="0000FF"/>
        </w:rPr>
        <w:t xml:space="preserve"> dramatic supply shocks during the 1970s </w:t>
      </w:r>
      <w:r w:rsidR="006314EB">
        <w:rPr>
          <w:rFonts w:ascii="Times New Roman" w:hAnsi="Times New Roman" w:cs="Times New Roman"/>
          <w:color w:val="0000FF"/>
        </w:rPr>
        <w:t xml:space="preserve">arguably </w:t>
      </w:r>
      <w:r w:rsidR="002C3333">
        <w:rPr>
          <w:rFonts w:ascii="Times New Roman" w:hAnsi="Times New Roman" w:cs="Times New Roman"/>
          <w:color w:val="0000FF"/>
        </w:rPr>
        <w:t>struck as a surprise, whereas by the 1980s and 1990s economists, the public, and investors had learned to worry about supply shocks</w:t>
      </w:r>
      <w:r w:rsidR="006314EB">
        <w:rPr>
          <w:rFonts w:ascii="Times New Roman" w:hAnsi="Times New Roman" w:cs="Times New Roman"/>
          <w:color w:val="0000FF"/>
        </w:rPr>
        <w:t xml:space="preserve"> and these worries were </w:t>
      </w:r>
      <w:r>
        <w:rPr>
          <w:rFonts w:ascii="Times New Roman" w:hAnsi="Times New Roman" w:cs="Times New Roman"/>
          <w:color w:val="0000FF"/>
        </w:rPr>
        <w:t xml:space="preserve">plausibly </w:t>
      </w:r>
      <w:r w:rsidR="006314EB">
        <w:rPr>
          <w:rFonts w:ascii="Times New Roman" w:hAnsi="Times New Roman" w:cs="Times New Roman"/>
          <w:color w:val="0000FF"/>
        </w:rPr>
        <w:t>reflected in more frequent news mentions</w:t>
      </w:r>
      <w:r w:rsidR="002C3333">
        <w:rPr>
          <w:rFonts w:ascii="Times New Roman" w:hAnsi="Times New Roman" w:cs="Times New Roman"/>
          <w:color w:val="0000FF"/>
        </w:rPr>
        <w:t xml:space="preserve">. </w:t>
      </w:r>
      <w:r>
        <w:rPr>
          <w:rFonts w:ascii="Times New Roman" w:hAnsi="Times New Roman" w:cs="Times New Roman"/>
          <w:color w:val="0000FF"/>
        </w:rPr>
        <w:t xml:space="preserve">The figure also shows a spike in the concern about supply-driven inflation during the post-pandemic period starting in 2020, </w:t>
      </w:r>
      <w:proofErr w:type="gramStart"/>
      <w:r>
        <w:rPr>
          <w:rFonts w:ascii="Times New Roman" w:hAnsi="Times New Roman" w:cs="Times New Roman"/>
          <w:color w:val="0000FF"/>
        </w:rPr>
        <w:t>similar to</w:t>
      </w:r>
      <w:proofErr w:type="gramEnd"/>
      <w:r>
        <w:rPr>
          <w:rFonts w:ascii="Times New Roman" w:hAnsi="Times New Roman" w:cs="Times New Roman"/>
          <w:color w:val="0000FF"/>
        </w:rPr>
        <w:t xml:space="preserve"> the level last observed during the 1980s. </w:t>
      </w:r>
      <w:r w:rsidR="002C3333">
        <w:rPr>
          <w:rFonts w:ascii="Times New Roman" w:hAnsi="Times New Roman" w:cs="Times New Roman"/>
          <w:color w:val="0000FF"/>
        </w:rPr>
        <w:t xml:space="preserve">Overall, this analysis </w:t>
      </w:r>
      <w:r w:rsidR="0099367B">
        <w:rPr>
          <w:rFonts w:ascii="Times New Roman" w:hAnsi="Times New Roman" w:cs="Times New Roman"/>
          <w:color w:val="0000FF"/>
        </w:rPr>
        <w:t xml:space="preserve">based on newspaper counts </w:t>
      </w:r>
      <w:r w:rsidR="002C3333">
        <w:rPr>
          <w:rFonts w:ascii="Times New Roman" w:hAnsi="Times New Roman" w:cs="Times New Roman"/>
          <w:color w:val="0000FF"/>
        </w:rPr>
        <w:t xml:space="preserve">further supports the notion that the public and investors were highly attuned to macroeconomic supply shocks during the 1980s and the post-pandemic period after 2020. </w:t>
      </w:r>
    </w:p>
    <w:p w14:paraId="67AE883F" w14:textId="26F3084D" w:rsidR="00FD39E2" w:rsidRDefault="00660085"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lastRenderedPageBreak/>
        <w:drawing>
          <wp:inline distT="0" distB="0" distL="0" distR="0" wp14:anchorId="53B23212" wp14:editId="71A9659D">
            <wp:extent cx="5943600" cy="4556125"/>
            <wp:effectExtent l="0" t="0" r="0" b="0"/>
            <wp:docPr id="1619704179"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179" name="Picture 2" descr="A graph with blue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71E267B0" w14:textId="6CEABA99" w:rsidR="005F7CBB" w:rsidRPr="00662D76" w:rsidRDefault="00D36292" w:rsidP="00F46E0E">
      <w:pPr>
        <w:autoSpaceDE w:val="0"/>
        <w:autoSpaceDN w:val="0"/>
        <w:adjustRightInd w:val="0"/>
        <w:spacing w:after="0" w:line="240" w:lineRule="auto"/>
        <w:rPr>
          <w:rFonts w:ascii="Times New Roman" w:hAnsi="Times New Roman" w:cs="Times New Roman"/>
          <w:b/>
          <w:bCs/>
          <w:color w:val="0000FF"/>
        </w:rPr>
      </w:pPr>
      <w:r>
        <w:rPr>
          <w:rFonts w:ascii="Times New Roman" w:hAnsi="Times New Roman" w:cs="Times New Roman"/>
          <w:color w:val="0000FF"/>
        </w:rPr>
        <w:t>The revised manuscript discusses</w:t>
      </w:r>
      <w:r w:rsidR="00A06F7B">
        <w:rPr>
          <w:rFonts w:ascii="Times New Roman" w:hAnsi="Times New Roman" w:cs="Times New Roman"/>
          <w:color w:val="0000FF"/>
        </w:rPr>
        <w:t xml:space="preserve"> </w:t>
      </w:r>
      <w:r w:rsidR="00C81D32">
        <w:rPr>
          <w:rFonts w:ascii="Times New Roman" w:hAnsi="Times New Roman" w:cs="Times New Roman"/>
          <w:color w:val="0000FF"/>
        </w:rPr>
        <w:t xml:space="preserve">these anecdotes </w:t>
      </w:r>
      <w:r w:rsidR="004C60DE">
        <w:rPr>
          <w:rFonts w:ascii="Times New Roman" w:hAnsi="Times New Roman" w:cs="Times New Roman"/>
          <w:color w:val="0000FF"/>
        </w:rPr>
        <w:t xml:space="preserve">of 1980s and 1990s supply shocks </w:t>
      </w:r>
      <w:r w:rsidR="00A06F7B">
        <w:rPr>
          <w:rFonts w:ascii="Times New Roman" w:hAnsi="Times New Roman" w:cs="Times New Roman"/>
          <w:color w:val="0000FF"/>
        </w:rPr>
        <w:t xml:space="preserve">prominently in a new paragraph in the introduction </w:t>
      </w:r>
      <w:r w:rsidR="00A06F7B" w:rsidRPr="00662D76">
        <w:rPr>
          <w:rFonts w:ascii="Times New Roman" w:hAnsi="Times New Roman" w:cs="Times New Roman"/>
          <w:b/>
          <w:bCs/>
          <w:color w:val="0000FF"/>
        </w:rPr>
        <w:t>(</w:t>
      </w:r>
      <w:r w:rsidR="00620642">
        <w:rPr>
          <w:rFonts w:ascii="Times New Roman" w:hAnsi="Times New Roman" w:cs="Times New Roman"/>
          <w:b/>
          <w:bCs/>
          <w:color w:val="0000FF"/>
        </w:rPr>
        <w:t xml:space="preserve">see </w:t>
      </w:r>
      <w:r w:rsidR="00A06F7B">
        <w:rPr>
          <w:rFonts w:ascii="Times New Roman" w:hAnsi="Times New Roman" w:cs="Times New Roman"/>
          <w:b/>
          <w:bCs/>
          <w:color w:val="0000FF"/>
        </w:rPr>
        <w:t xml:space="preserve">p.3, </w:t>
      </w:r>
      <w:r w:rsidR="00C81D32">
        <w:rPr>
          <w:rFonts w:ascii="Times New Roman" w:hAnsi="Times New Roman" w:cs="Times New Roman"/>
          <w:b/>
          <w:bCs/>
          <w:color w:val="0000FF"/>
        </w:rPr>
        <w:t xml:space="preserve">paragraph starting </w:t>
      </w:r>
      <w:r w:rsidR="00A06F7B" w:rsidRPr="0078498D">
        <w:rPr>
          <w:rFonts w:ascii="Times New Roman" w:hAnsi="Times New Roman" w:cs="Times New Roman"/>
          <w:b/>
          <w:bCs/>
          <w:color w:val="0000FF"/>
        </w:rPr>
        <w:t>“</w:t>
      </w:r>
      <w:r w:rsidR="00A06F7B" w:rsidRPr="00A06F7B">
        <w:rPr>
          <w:rFonts w:ascii="Times New Roman" w:hAnsi="Times New Roman" w:cs="Times New Roman"/>
          <w:b/>
          <w:bCs/>
          <w:color w:val="0000FF"/>
        </w:rPr>
        <w:t>The calibrated changes in the monetary policy rule and the nature of macroeconomic shocks are consistent with anecdotal evidence…”</w:t>
      </w:r>
      <w:r w:rsidR="00A06F7B" w:rsidRPr="0078498D">
        <w:rPr>
          <w:rFonts w:ascii="Times New Roman" w:hAnsi="Times New Roman" w:cs="Times New Roman"/>
          <w:b/>
          <w:bCs/>
          <w:color w:val="0000FF"/>
        </w:rPr>
        <w:t>)</w:t>
      </w:r>
      <w:r w:rsidR="00A06F7B">
        <w:rPr>
          <w:rFonts w:ascii="Times New Roman" w:hAnsi="Times New Roman" w:cs="Times New Roman"/>
          <w:color w:val="0000FF"/>
        </w:rPr>
        <w:t xml:space="preserve">, and in the </w:t>
      </w:r>
      <w:r w:rsidR="00A06F7B" w:rsidRPr="00A06F7B">
        <w:rPr>
          <w:rFonts w:ascii="Times New Roman" w:hAnsi="Times New Roman" w:cs="Times New Roman"/>
          <w:b/>
          <w:bCs/>
          <w:color w:val="0000FF"/>
        </w:rPr>
        <w:t>new footnote 4 on p.3.</w:t>
      </w:r>
      <w:r w:rsidR="00A06F7B">
        <w:rPr>
          <w:rFonts w:ascii="Times New Roman" w:hAnsi="Times New Roman" w:cs="Times New Roman"/>
          <w:color w:val="0000FF"/>
        </w:rPr>
        <w:t xml:space="preserve">  </w:t>
      </w:r>
      <w:r w:rsidR="00FC7076">
        <w:rPr>
          <w:rFonts w:ascii="Times New Roman" w:hAnsi="Times New Roman" w:cs="Times New Roman"/>
          <w:color w:val="0000FF"/>
        </w:rPr>
        <w:t xml:space="preserve">I also revised the </w:t>
      </w:r>
      <w:r w:rsidR="00D95858">
        <w:rPr>
          <w:rFonts w:ascii="Times New Roman" w:hAnsi="Times New Roman" w:cs="Times New Roman"/>
          <w:color w:val="0000FF"/>
        </w:rPr>
        <w:t>discussion of the calibration</w:t>
      </w:r>
      <w:r w:rsidR="00662D76">
        <w:rPr>
          <w:rFonts w:ascii="Times New Roman" w:hAnsi="Times New Roman" w:cs="Times New Roman"/>
          <w:color w:val="0000FF"/>
        </w:rPr>
        <w:t xml:space="preserve"> </w:t>
      </w:r>
      <w:r w:rsidR="00662D76">
        <w:rPr>
          <w:rFonts w:ascii="Times New Roman" w:hAnsi="Times New Roman" w:cs="Times New Roman"/>
          <w:b/>
          <w:bCs/>
          <w:color w:val="0000FF"/>
        </w:rPr>
        <w:t>(</w:t>
      </w:r>
      <w:r w:rsidR="00620642">
        <w:rPr>
          <w:rFonts w:ascii="Times New Roman" w:hAnsi="Times New Roman" w:cs="Times New Roman"/>
          <w:b/>
          <w:bCs/>
          <w:color w:val="0000FF"/>
        </w:rPr>
        <w:t xml:space="preserve">see </w:t>
      </w:r>
      <w:r w:rsidR="00662D76">
        <w:rPr>
          <w:rFonts w:ascii="Times New Roman" w:hAnsi="Times New Roman" w:cs="Times New Roman"/>
          <w:b/>
          <w:bCs/>
          <w:color w:val="0000FF"/>
        </w:rPr>
        <w:t>p.20</w:t>
      </w:r>
      <w:r w:rsidR="00620642">
        <w:rPr>
          <w:rFonts w:ascii="Times New Roman" w:hAnsi="Times New Roman" w:cs="Times New Roman"/>
          <w:b/>
          <w:bCs/>
          <w:color w:val="0000FF"/>
        </w:rPr>
        <w:t>,</w:t>
      </w:r>
      <w:r w:rsidR="00662D76">
        <w:rPr>
          <w:rFonts w:ascii="Times New Roman" w:hAnsi="Times New Roman" w:cs="Times New Roman"/>
          <w:b/>
          <w:bCs/>
          <w:color w:val="0000FF"/>
        </w:rPr>
        <w:t xml:space="preserve"> the two paragraphs starting “</w:t>
      </w:r>
      <w:r w:rsidR="00662D76" w:rsidRPr="00662D76">
        <w:rPr>
          <w:rFonts w:ascii="Times New Roman" w:hAnsi="Times New Roman" w:cs="Times New Roman"/>
          <w:b/>
          <w:bCs/>
          <w:color w:val="0000FF"/>
        </w:rPr>
        <w:t xml:space="preserve">The top-left plot in Figure </w:t>
      </w:r>
      <w:r w:rsidR="00662D76">
        <w:rPr>
          <w:rFonts w:ascii="Times New Roman" w:hAnsi="Times New Roman" w:cs="Times New Roman"/>
          <w:b/>
          <w:bCs/>
          <w:color w:val="0000FF"/>
        </w:rPr>
        <w:t xml:space="preserve">2, </w:t>
      </w:r>
      <w:r w:rsidR="00662D76" w:rsidRPr="00662D76">
        <w:rPr>
          <w:rFonts w:ascii="Times New Roman" w:hAnsi="Times New Roman" w:cs="Times New Roman"/>
          <w:b/>
          <w:bCs/>
          <w:color w:val="0000FF"/>
        </w:rPr>
        <w:t xml:space="preserve">Panel A shows </w:t>
      </w:r>
      <w:proofErr w:type="gramStart"/>
      <w:r w:rsidR="00662D76" w:rsidRPr="00662D76">
        <w:rPr>
          <w:rFonts w:ascii="Times New Roman" w:hAnsi="Times New Roman" w:cs="Times New Roman"/>
          <w:b/>
          <w:bCs/>
          <w:color w:val="0000FF"/>
        </w:rPr>
        <w:t>that..</w:t>
      </w:r>
      <w:proofErr w:type="gramEnd"/>
      <w:r w:rsidR="00662D76" w:rsidRPr="00662D76">
        <w:rPr>
          <w:rFonts w:ascii="Times New Roman" w:hAnsi="Times New Roman" w:cs="Times New Roman"/>
          <w:b/>
          <w:bCs/>
          <w:color w:val="0000FF"/>
        </w:rPr>
        <w:t xml:space="preserve">” </w:t>
      </w:r>
      <w:r w:rsidR="00662D76" w:rsidRPr="00141F18">
        <w:rPr>
          <w:rFonts w:ascii="Times New Roman" w:hAnsi="Times New Roman" w:cs="Times New Roman"/>
          <w:color w:val="0000FF"/>
        </w:rPr>
        <w:t xml:space="preserve">and </w:t>
      </w:r>
      <w:r w:rsidR="00620642" w:rsidRPr="00141F18">
        <w:rPr>
          <w:rFonts w:ascii="Times New Roman" w:hAnsi="Times New Roman" w:cs="Times New Roman"/>
          <w:color w:val="0000FF"/>
        </w:rPr>
        <w:t>the</w:t>
      </w:r>
      <w:r w:rsidR="00620642">
        <w:rPr>
          <w:rFonts w:ascii="Times New Roman" w:hAnsi="Times New Roman" w:cs="Times New Roman"/>
          <w:b/>
          <w:bCs/>
          <w:color w:val="0000FF"/>
        </w:rPr>
        <w:t xml:space="preserve"> new </w:t>
      </w:r>
      <w:r w:rsidR="00662D76" w:rsidRPr="00662D76">
        <w:rPr>
          <w:rFonts w:ascii="Times New Roman" w:hAnsi="Times New Roman" w:cs="Times New Roman"/>
          <w:b/>
          <w:bCs/>
          <w:color w:val="0000FF"/>
        </w:rPr>
        <w:t>footnote 14 on the same page).</w:t>
      </w:r>
      <w:r w:rsidR="00662D76">
        <w:t xml:space="preserve"> </w:t>
      </w:r>
    </w:p>
    <w:p w14:paraId="35E21B11" w14:textId="77777777" w:rsidR="00C56EE6" w:rsidRDefault="00C56EE6" w:rsidP="00580590">
      <w:pPr>
        <w:widowControl w:val="0"/>
        <w:autoSpaceDE w:val="0"/>
        <w:autoSpaceDN w:val="0"/>
        <w:adjustRightInd w:val="0"/>
        <w:spacing w:after="0" w:line="240" w:lineRule="auto"/>
        <w:jc w:val="both"/>
        <w:rPr>
          <w:rFonts w:ascii="Times New Roman" w:hAnsi="Times New Roman" w:cs="Times New Roman"/>
          <w:color w:val="0000FF"/>
        </w:rPr>
      </w:pPr>
    </w:p>
    <w:p w14:paraId="4F14F3DE" w14:textId="60B3A85D" w:rsidR="00F45B94" w:rsidRDefault="00DF5E42" w:rsidP="00F45B94">
      <w:pPr>
        <w:autoSpaceDE w:val="0"/>
        <w:autoSpaceDN w:val="0"/>
        <w:adjustRightInd w:val="0"/>
        <w:spacing w:after="0" w:line="240" w:lineRule="auto"/>
        <w:rPr>
          <w:rFonts w:ascii="Segoe UI" w:hAnsi="Segoe UI" w:cs="Segoe UI"/>
          <w:color w:val="000000"/>
          <w:sz w:val="21"/>
          <w:szCs w:val="21"/>
        </w:rPr>
      </w:pPr>
      <w:r>
        <w:rPr>
          <w:rFonts w:ascii="Times New Roman" w:hAnsi="Times New Roman" w:cs="Times New Roman"/>
          <w:color w:val="0000FF"/>
        </w:rPr>
        <w:t>Thank you also</w:t>
      </w:r>
      <w:r w:rsidR="00F45B94">
        <w:rPr>
          <w:rFonts w:ascii="Times New Roman" w:hAnsi="Times New Roman" w:cs="Times New Roman"/>
          <w:color w:val="0000FF"/>
        </w:rPr>
        <w:t xml:space="preserve"> for the two excellent suggestions to address the magnitude of 1980s supply shocks within the model. </w:t>
      </w:r>
      <w:r w:rsidR="00C22F90">
        <w:rPr>
          <w:rFonts w:ascii="Times New Roman" w:hAnsi="Times New Roman" w:cs="Times New Roman"/>
          <w:color w:val="0000FF"/>
        </w:rPr>
        <w:t>Following your second option, I</w:t>
      </w:r>
      <w:r w:rsidR="00F45B94">
        <w:rPr>
          <w:rFonts w:ascii="Times New Roman" w:hAnsi="Times New Roman" w:cs="Times New Roman"/>
          <w:color w:val="0000FF"/>
        </w:rPr>
        <w:t xml:space="preserve"> used bond-stock betas directly to infer the required supply shock volatilities from the model. I did not to calibrate my model to the 1970s </w:t>
      </w:r>
      <w:r w:rsidR="00C22F90">
        <w:rPr>
          <w:rFonts w:ascii="Times New Roman" w:hAnsi="Times New Roman" w:cs="Times New Roman"/>
          <w:color w:val="0000FF"/>
        </w:rPr>
        <w:t xml:space="preserve">(the first option) </w:t>
      </w:r>
      <w:r w:rsidR="00F45B94">
        <w:rPr>
          <w:rFonts w:ascii="Times New Roman" w:hAnsi="Times New Roman" w:cs="Times New Roman"/>
          <w:color w:val="0000FF"/>
        </w:rPr>
        <w:t xml:space="preserve">because I completely agree that modeling “inflation scares” is beyond this paper and this period is generally regarded as the one where insufficiently responsive monetary policy </w:t>
      </w:r>
      <w:proofErr w:type="gramStart"/>
      <w:r w:rsidR="00F45B94" w:rsidRPr="00337A40">
        <w:rPr>
          <w:rFonts w:ascii="Times New Roman" w:hAnsi="Times New Roman" w:cs="Times New Roman"/>
          <w:color w:val="0000FF"/>
        </w:rPr>
        <w:t>opened up</w:t>
      </w:r>
      <w:proofErr w:type="gramEnd"/>
      <w:r w:rsidR="00F45B94" w:rsidRPr="00337A40">
        <w:rPr>
          <w:rFonts w:ascii="Times New Roman" w:hAnsi="Times New Roman" w:cs="Times New Roman"/>
          <w:color w:val="0000FF"/>
        </w:rPr>
        <w:t xml:space="preserve"> the economy to self-fulfilling sunspots</w:t>
      </w:r>
      <w:r w:rsidR="00F45B94">
        <w:rPr>
          <w:rFonts w:ascii="Times New Roman" w:hAnsi="Times New Roman" w:cs="Times New Roman"/>
          <w:color w:val="0000FF"/>
        </w:rPr>
        <w:t xml:space="preserve"> or “inflation scares” </w:t>
      </w:r>
      <w:r w:rsidR="00F45B94" w:rsidRPr="00337A40">
        <w:rPr>
          <w:rFonts w:ascii="Times New Roman" w:hAnsi="Times New Roman" w:cs="Times New Roman"/>
          <w:color w:val="0000FF"/>
        </w:rPr>
        <w:t>(Clarida, Gali, and Gertler (1999), Goodfriend (2007))</w:t>
      </w:r>
      <w:r w:rsidR="00F45B94">
        <w:rPr>
          <w:rFonts w:ascii="Times New Roman" w:hAnsi="Times New Roman" w:cs="Times New Roman"/>
          <w:color w:val="0000FF"/>
        </w:rPr>
        <w:t xml:space="preserve">. By focusing on the 1980s, when supply shocks were also prominent but monetary policy was more responsive, I test the model on a period with supply shocks while sidestepping the issue of sunspots and self-fulfilling inflation expectations.  </w:t>
      </w:r>
    </w:p>
    <w:p w14:paraId="13FC3F4C" w14:textId="77777777" w:rsidR="00F45B94" w:rsidRDefault="00F45B94"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771CF6C2" w14:textId="25055443" w:rsidR="00452A43" w:rsidRDefault="001302C0" w:rsidP="002A387A">
      <w:pPr>
        <w:widowControl w:val="0"/>
        <w:autoSpaceDE w:val="0"/>
        <w:autoSpaceDN w:val="0"/>
        <w:adjustRightInd w:val="0"/>
        <w:spacing w:after="0" w:line="240" w:lineRule="auto"/>
        <w:ind w:left="360"/>
        <w:jc w:val="both"/>
        <w:rPr>
          <w:rFonts w:ascii="Times New Roman" w:hAnsi="Times New Roman" w:cs="Times New Roman"/>
          <w:color w:val="0000FF"/>
        </w:rPr>
      </w:pPr>
      <w:r w:rsidRPr="00DF5E42">
        <w:rPr>
          <w:rFonts w:ascii="Times New Roman" w:hAnsi="Times New Roman" w:cs="Times New Roman"/>
          <w:color w:val="0000FF"/>
          <w:highlight w:val="yellow"/>
        </w:rPr>
        <w:t>[CP 9/16/2023: Add</w:t>
      </w:r>
      <w:r w:rsidR="00DF5E42" w:rsidRPr="00DF5E42">
        <w:rPr>
          <w:rFonts w:ascii="Times New Roman" w:hAnsi="Times New Roman" w:cs="Times New Roman"/>
          <w:color w:val="0000FF"/>
          <w:highlight w:val="yellow"/>
        </w:rPr>
        <w:t xml:space="preserve"> 3D plot of nominal and real bond-stock betas against </w:t>
      </w:r>
      <w:proofErr w:type="spellStart"/>
      <w:r w:rsidR="00DF5E42" w:rsidRPr="00DF5E42">
        <w:rPr>
          <w:rFonts w:ascii="Times New Roman" w:hAnsi="Times New Roman" w:cs="Times New Roman"/>
          <w:color w:val="0000FF"/>
          <w:highlight w:val="yellow"/>
        </w:rPr>
        <w:t>rho^i</w:t>
      </w:r>
      <w:proofErr w:type="spellEnd"/>
      <w:r w:rsidR="00DF5E42" w:rsidRPr="00DF5E42">
        <w:rPr>
          <w:rFonts w:ascii="Times New Roman" w:hAnsi="Times New Roman" w:cs="Times New Roman"/>
          <w:color w:val="0000FF"/>
          <w:highlight w:val="yellow"/>
        </w:rPr>
        <w:t xml:space="preserve"> and </w:t>
      </w:r>
      <w:proofErr w:type="spellStart"/>
      <w:r w:rsidR="00DF5E42" w:rsidRPr="00DF5E42">
        <w:rPr>
          <w:rFonts w:ascii="Times New Roman" w:hAnsi="Times New Roman" w:cs="Times New Roman"/>
          <w:color w:val="0000FF"/>
          <w:highlight w:val="yellow"/>
        </w:rPr>
        <w:t>sigma_pi</w:t>
      </w:r>
      <w:proofErr w:type="spellEnd"/>
      <w:r w:rsidR="00DF5E42" w:rsidRPr="00DF5E42">
        <w:rPr>
          <w:rFonts w:ascii="Times New Roman" w:hAnsi="Times New Roman" w:cs="Times New Roman"/>
          <w:color w:val="0000FF"/>
          <w:highlight w:val="yellow"/>
        </w:rPr>
        <w:t xml:space="preserve">. Add marker for 1980s bond-stock betas. This should show that the 1980s bond risks can only be explained </w:t>
      </w:r>
      <w:r w:rsidR="00DF5E42" w:rsidRPr="00DF5E42">
        <w:rPr>
          <w:rFonts w:ascii="Times New Roman" w:hAnsi="Times New Roman" w:cs="Times New Roman"/>
          <w:color w:val="0000FF"/>
          <w:highlight w:val="yellow"/>
        </w:rPr>
        <w:lastRenderedPageBreak/>
        <w:t xml:space="preserve">if inertial was low AND supply shocks were volatile. DO </w:t>
      </w:r>
      <w:proofErr w:type="spellStart"/>
      <w:r w:rsidR="00DF5E42" w:rsidRPr="00DF5E42">
        <w:rPr>
          <w:rFonts w:ascii="Times New Roman" w:hAnsi="Times New Roman" w:cs="Times New Roman"/>
          <w:color w:val="0000FF"/>
          <w:highlight w:val="yellow"/>
        </w:rPr>
        <w:t>DO</w:t>
      </w:r>
      <w:proofErr w:type="spellEnd"/>
      <w:r w:rsidR="00DF5E42" w:rsidRPr="00DF5E42">
        <w:rPr>
          <w:rFonts w:ascii="Times New Roman" w:hAnsi="Times New Roman" w:cs="Times New Roman"/>
          <w:color w:val="0000FF"/>
          <w:highlight w:val="yellow"/>
        </w:rPr>
        <w:t>: Luis</w:t>
      </w:r>
      <w:r w:rsidRPr="00DF5E42">
        <w:rPr>
          <w:rFonts w:ascii="Times New Roman" w:hAnsi="Times New Roman" w:cs="Times New Roman"/>
          <w:color w:val="0000FF"/>
          <w:highlight w:val="yellow"/>
        </w:rPr>
        <w:t>]</w:t>
      </w:r>
      <w:r w:rsidRPr="00C10E55">
        <w:rPr>
          <w:rFonts w:ascii="Times New Roman" w:hAnsi="Times New Roman" w:cs="Times New Roman"/>
          <w:color w:val="0000FF"/>
        </w:rPr>
        <w:t xml:space="preserve"> </w:t>
      </w:r>
    </w:p>
    <w:p w14:paraId="0DD90E12" w14:textId="77777777" w:rsidR="002A387A" w:rsidRP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5D8AD355"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jc w:val="both"/>
        <w:rPr>
          <w:rFonts w:ascii="Times New Roman" w:hAnsi="Times New Roman" w:cs="Times New Roman"/>
        </w:rPr>
      </w:pPr>
      <w:r w:rsidRPr="00C10E55">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w:t>
      </w:r>
      <w:proofErr w:type="gramStart"/>
      <w:r w:rsidRPr="00C10E55">
        <w:rPr>
          <w:rFonts w:ascii="Times New Roman" w:hAnsi="Times New Roman" w:cs="Times New Roman"/>
        </w:rPr>
        <w:t>similar to</w:t>
      </w:r>
      <w:proofErr w:type="gramEnd"/>
      <w:r w:rsidRPr="00C10E55">
        <w:rPr>
          <w:rFonts w:ascii="Times New Roman" w:hAnsi="Times New Roman" w:cs="Times New Roman"/>
        </w:rPr>
        <w:t xml:space="preserve"> the first part of the sample. There is a sense in which this aligns with what the author does in her counterfactuals. </w:t>
      </w:r>
    </w:p>
    <w:p w14:paraId="31DA43DD" w14:textId="77777777" w:rsidR="009E10F4" w:rsidRPr="00C10E55" w:rsidRDefault="009E10F4" w:rsidP="00C10E55">
      <w:pPr>
        <w:adjustRightInd w:val="0"/>
        <w:spacing w:after="0" w:line="240" w:lineRule="auto"/>
        <w:ind w:leftChars="200" w:left="440"/>
        <w:rPr>
          <w:rFonts w:ascii="Times New Roman" w:hAnsi="Times New Roman" w:cs="Times New Roman"/>
        </w:rPr>
      </w:pPr>
      <w:r w:rsidRPr="00C10E55">
        <w:rPr>
          <w:rFonts w:ascii="Times New Roman" w:hAnsi="Times New Roman" w:cs="Times New Roman"/>
        </w:rPr>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Pr="00C10E55" w:rsidRDefault="00726C32" w:rsidP="00C10E55">
      <w:pPr>
        <w:autoSpaceDE w:val="0"/>
        <w:autoSpaceDN w:val="0"/>
        <w:adjustRightInd w:val="0"/>
        <w:spacing w:after="0" w:line="240" w:lineRule="auto"/>
        <w:jc w:val="both"/>
        <w:rPr>
          <w:rFonts w:ascii="Times New Roman" w:hAnsi="Times New Roman" w:cs="Times New Roman"/>
        </w:rPr>
      </w:pPr>
    </w:p>
    <w:p w14:paraId="69025C2B" w14:textId="77777777" w:rsidR="008925ED" w:rsidRDefault="00726C32" w:rsidP="0043656B">
      <w:pPr>
        <w:shd w:val="clear" w:color="auto" w:fill="FFFFFF"/>
        <w:spacing w:line="240" w:lineRule="auto"/>
        <w:ind w:left="360"/>
        <w:rPr>
          <w:rFonts w:ascii="Times New Roman" w:hAnsi="Times New Roman" w:cs="Times New Roman"/>
          <w:color w:val="0000FF"/>
        </w:rPr>
      </w:pPr>
      <w:r w:rsidRPr="0043656B">
        <w:rPr>
          <w:rFonts w:ascii="Times New Roman" w:hAnsi="Times New Roman" w:cs="Times New Roman"/>
          <w:b/>
          <w:bCs/>
          <w:color w:val="0000FF"/>
        </w:rPr>
        <w:t>Reply:</w:t>
      </w:r>
      <w:r w:rsidRPr="00C10E55">
        <w:rPr>
          <w:rFonts w:ascii="Times New Roman" w:hAnsi="Times New Roman" w:cs="Times New Roman"/>
          <w:color w:val="0000FF"/>
        </w:rPr>
        <w:t xml:space="preserve"> </w:t>
      </w:r>
      <w:r w:rsidR="009C109E">
        <w:rPr>
          <w:rFonts w:ascii="Times New Roman" w:hAnsi="Times New Roman" w:cs="Times New Roman"/>
          <w:color w:val="0000FF"/>
        </w:rPr>
        <w:t xml:space="preserve">Thank you for these comments. I substantially refined and extended the discussion of recent events and developments in bond-stock betas in the revised manuscript. One key point that I now emphasize is that while the Fed was expected to keep interest rates constant at the zero-lower-bound during the initial run-up of inflation during 2021, later in 2022 and 2023 the Fed responded strongly to inflation, as you and the referee mention. I apologize if this sequencing of an initially non-responsive monetary policy rule in 2021 towards a much more inflation-responsive rule towards the end of 2022 was not clear in the previous version of the manuscript. This change in the monetary policy rule provides another test of my model, which would predict that nominal and real bond-stock betas should be positive, and nominal betas should be more positive than real bond betas, if supply shocks are expected to be dominant and monetary policy responds strongly to inflation. Consistent with this prediction, I find that bond-stock betas changed in 2022.Q4 and became positive, with significantly positive breakeven-stock beta for the first time since the pandemic (see Table 3). </w:t>
      </w:r>
      <w:r w:rsidR="008925ED">
        <w:rPr>
          <w:rFonts w:ascii="Times New Roman" w:hAnsi="Times New Roman" w:cs="Times New Roman"/>
          <w:color w:val="0000FF"/>
        </w:rPr>
        <w:t xml:space="preserve">Table 3 also shows that if I try to find the historical shock regime and the monetary policy rule that most closely replicates the nominal and real bond-stock betas in 2022.Q4, the implied monetary policy rule is </w:t>
      </w:r>
      <w:proofErr w:type="gramStart"/>
      <w:r w:rsidR="008925ED">
        <w:rPr>
          <w:rFonts w:ascii="Times New Roman" w:hAnsi="Times New Roman" w:cs="Times New Roman"/>
          <w:color w:val="0000FF"/>
        </w:rPr>
        <w:t>similar to</w:t>
      </w:r>
      <w:proofErr w:type="gramEnd"/>
      <w:r w:rsidR="008925ED">
        <w:rPr>
          <w:rFonts w:ascii="Times New Roman" w:hAnsi="Times New Roman" w:cs="Times New Roman"/>
          <w:color w:val="0000FF"/>
        </w:rPr>
        <w:t xml:space="preserve"> the first part of the sample, exactly as you conjectured. Hence, the model interpretation of changing bond-stock betas during the post-pandemic period is exactly consistent with the anecdotal evidence that the Fed initially took a “wait-and-see” approach, but eventually switched to a much stronger Taylor inflation coefficient. </w:t>
      </w:r>
    </w:p>
    <w:p w14:paraId="7977276E" w14:textId="58CD253E" w:rsidR="008925ED" w:rsidRDefault="008925ED" w:rsidP="0043656B">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My complementary paper </w:t>
      </w:r>
      <w:r w:rsidRPr="00E81D4B">
        <w:rPr>
          <w:rFonts w:ascii="Times New Roman" w:hAnsi="Times New Roman" w:cs="Times New Roman"/>
          <w:color w:val="0000FF"/>
        </w:rPr>
        <w:t>“</w:t>
      </w:r>
      <w:hyperlink r:id="rId14" w:tgtFrame="_blank" w:history="1">
        <w:r w:rsidRPr="00A6114B">
          <w:rPr>
            <w:rStyle w:val="Hyperlink"/>
            <w:rFonts w:ascii="Times New Roman" w:hAnsi="Times New Roman" w:cs="Times New Roman"/>
          </w:rPr>
          <w:t xml:space="preserve">Changing Perceptions and Post-Pandemic Monetary Policy” with Michael Bauer and Adi </w:t>
        </w:r>
        <w:proofErr w:type="spellStart"/>
        <w:r w:rsidRPr="00A6114B">
          <w:rPr>
            <w:rStyle w:val="Hyperlink"/>
            <w:rFonts w:ascii="Times New Roman" w:hAnsi="Times New Roman" w:cs="Times New Roman"/>
          </w:rPr>
          <w:t>Sunderam</w:t>
        </w:r>
        <w:proofErr w:type="spellEnd"/>
        <w:r w:rsidRPr="00A6114B">
          <w:rPr>
            <w:rStyle w:val="Hyperlink"/>
            <w:rFonts w:ascii="Times New Roman" w:hAnsi="Times New Roman" w:cs="Times New Roman"/>
          </w:rPr>
          <w:t>,</w:t>
        </w:r>
      </w:hyperlink>
      <w:r>
        <w:rPr>
          <w:rFonts w:ascii="Times New Roman" w:hAnsi="Times New Roman" w:cs="Times New Roman"/>
          <w:color w:val="0000FF"/>
        </w:rPr>
        <w:t xml:space="preserve"> prepared for the 2024 Jackson Hole forum, complements this anecdotal evidence by that the perceived Taylor rule coefficient on inflation changed substantially later than the run-up in inflation, and provides more precise evidence of the timing.</w:t>
      </w:r>
      <w:r>
        <w:rPr>
          <w:rStyle w:val="FootnoteReference"/>
          <w:rFonts w:ascii="Times New Roman" w:hAnsi="Times New Roman" w:cs="Times New Roman"/>
          <w:color w:val="0000FF"/>
        </w:rPr>
        <w:footnoteReference w:id="1"/>
      </w:r>
      <w:r>
        <w:rPr>
          <w:rFonts w:ascii="Times New Roman" w:hAnsi="Times New Roman" w:cs="Times New Roman"/>
          <w:color w:val="0000FF"/>
        </w:rPr>
        <w:t xml:space="preserve"> In summary, the empirical evidence in that paper finds that the monetary policy inflation coefficient was low throughout 2021, started rising slowly when the Fed lifted off from zero in March 2022, and continued rising towards its peak in late 202</w:t>
      </w:r>
      <w:r w:rsidR="00660FBB">
        <w:rPr>
          <w:rFonts w:ascii="Times New Roman" w:hAnsi="Times New Roman" w:cs="Times New Roman"/>
          <w:color w:val="0000FF"/>
        </w:rPr>
        <w:t>3</w:t>
      </w:r>
      <w:r>
        <w:rPr>
          <w:rFonts w:ascii="Times New Roman" w:hAnsi="Times New Roman" w:cs="Times New Roman"/>
          <w:color w:val="0000FF"/>
        </w:rPr>
        <w:t xml:space="preserve">. </w:t>
      </w:r>
    </w:p>
    <w:p w14:paraId="4FAE2725" w14:textId="4F39EA91" w:rsidR="00D75861" w:rsidRPr="00EC4301" w:rsidRDefault="009F67C7" w:rsidP="00EC4301">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updated discussion of recent events can be found in the paper </w:t>
      </w:r>
      <w:r w:rsidR="00EC4301">
        <w:rPr>
          <w:rFonts w:ascii="Times New Roman" w:hAnsi="Times New Roman" w:cs="Times New Roman"/>
          <w:color w:val="0000FF"/>
        </w:rPr>
        <w:t xml:space="preserve">in the </w:t>
      </w:r>
      <w:r w:rsidR="00EC4301" w:rsidRPr="00EC4301">
        <w:rPr>
          <w:rFonts w:ascii="Times New Roman" w:hAnsi="Times New Roman" w:cs="Times New Roman"/>
          <w:b/>
          <w:bCs/>
          <w:color w:val="0000FF"/>
        </w:rPr>
        <w:t xml:space="preserve">new Section 5 starting on </w:t>
      </w:r>
      <w:proofErr w:type="spellStart"/>
      <w:proofErr w:type="gramStart"/>
      <w:r w:rsidR="00EC4301" w:rsidRPr="00EC4301">
        <w:rPr>
          <w:rFonts w:ascii="Times New Roman" w:hAnsi="Times New Roman" w:cs="Times New Roman"/>
          <w:b/>
          <w:bCs/>
          <w:color w:val="0000FF"/>
        </w:rPr>
        <w:t>p.XX</w:t>
      </w:r>
      <w:proofErr w:type="spellEnd"/>
      <w:r w:rsidR="00EC4301" w:rsidRPr="00EC4301">
        <w:rPr>
          <w:rFonts w:ascii="Times New Roman" w:hAnsi="Times New Roman" w:cs="Times New Roman"/>
          <w:b/>
          <w:bCs/>
          <w:color w:val="0000FF"/>
        </w:rPr>
        <w:t>.</w:t>
      </w:r>
      <w:proofErr w:type="gramEnd"/>
    </w:p>
    <w:p w14:paraId="666E95C9" w14:textId="38D8A41C" w:rsidR="00D75861" w:rsidRPr="00D75861" w:rsidRDefault="00D75861" w:rsidP="00D75861">
      <w:pPr>
        <w:autoSpaceDE w:val="0"/>
        <w:autoSpaceDN w:val="0"/>
        <w:adjustRightInd w:val="0"/>
        <w:spacing w:after="0" w:line="240" w:lineRule="auto"/>
        <w:jc w:val="center"/>
        <w:rPr>
          <w:rFonts w:ascii="Times New Roman" w:hAnsi="Times New Roman" w:cs="Times New Roman"/>
          <w:color w:val="0000FF"/>
          <w:sz w:val="28"/>
          <w:szCs w:val="28"/>
        </w:rPr>
      </w:pPr>
      <w:r w:rsidRPr="00D75861">
        <w:rPr>
          <w:rFonts w:ascii="Times New Roman" w:hAnsi="Times New Roman" w:cs="Times New Roman"/>
          <w:color w:val="0000FF"/>
          <w:sz w:val="28"/>
          <w:szCs w:val="28"/>
        </w:rPr>
        <w:lastRenderedPageBreak/>
        <w:t>REFERENCES</w:t>
      </w:r>
    </w:p>
    <w:p w14:paraId="2B58A2C7" w14:textId="77777777" w:rsidR="00D75861" w:rsidRDefault="00D75861" w:rsidP="00C10E55">
      <w:pPr>
        <w:autoSpaceDE w:val="0"/>
        <w:autoSpaceDN w:val="0"/>
        <w:adjustRightInd w:val="0"/>
        <w:spacing w:after="0" w:line="240" w:lineRule="auto"/>
        <w:jc w:val="both"/>
        <w:rPr>
          <w:rFonts w:ascii="Times New Roman" w:hAnsi="Times New Roman" w:cs="Times New Roman"/>
          <w:color w:val="0000FF"/>
        </w:rPr>
      </w:pPr>
    </w:p>
    <w:p w14:paraId="04B68A78" w14:textId="3F08CEF0" w:rsidR="00D75861" w:rsidRDefault="00D75861" w:rsidP="00D75861">
      <w:pPr>
        <w:autoSpaceDE w:val="0"/>
        <w:autoSpaceDN w:val="0"/>
        <w:adjustRightInd w:val="0"/>
        <w:spacing w:after="0" w:line="240" w:lineRule="auto"/>
        <w:ind w:left="360"/>
        <w:jc w:val="both"/>
        <w:rPr>
          <w:rFonts w:ascii="Times New Roman" w:hAnsi="Times New Roman" w:cs="Times New Roman"/>
          <w:color w:val="0000FF"/>
        </w:rPr>
      </w:pPr>
      <w:r w:rsidRPr="00D75861">
        <w:rPr>
          <w:rFonts w:ascii="Times New Roman" w:hAnsi="Times New Roman" w:cs="Times New Roman"/>
          <w:color w:val="0000FF"/>
        </w:rPr>
        <w:t xml:space="preserve">Gately, Dermot, M. A. Adelman, and James M. Griffin. "Lessons from the 1986 </w:t>
      </w:r>
      <w:r w:rsidR="00540D7A">
        <w:rPr>
          <w:rFonts w:ascii="Times New Roman" w:hAnsi="Times New Roman" w:cs="Times New Roman"/>
          <w:color w:val="0000FF"/>
        </w:rPr>
        <w:t>O</w:t>
      </w:r>
      <w:r w:rsidRPr="00D75861">
        <w:rPr>
          <w:rFonts w:ascii="Times New Roman" w:hAnsi="Times New Roman" w:cs="Times New Roman"/>
          <w:color w:val="0000FF"/>
        </w:rPr>
        <w:t xml:space="preserve">il </w:t>
      </w:r>
      <w:r w:rsidR="00540D7A">
        <w:rPr>
          <w:rFonts w:ascii="Times New Roman" w:hAnsi="Times New Roman" w:cs="Times New Roman"/>
          <w:color w:val="0000FF"/>
        </w:rPr>
        <w:t>P</w:t>
      </w:r>
      <w:r w:rsidRPr="00D75861">
        <w:rPr>
          <w:rFonts w:ascii="Times New Roman" w:hAnsi="Times New Roman" w:cs="Times New Roman"/>
          <w:color w:val="0000FF"/>
        </w:rPr>
        <w:t xml:space="preserve">rice </w:t>
      </w:r>
      <w:r w:rsidR="00540D7A">
        <w:rPr>
          <w:rFonts w:ascii="Times New Roman" w:hAnsi="Times New Roman" w:cs="Times New Roman"/>
          <w:color w:val="0000FF"/>
        </w:rPr>
        <w:t>C</w:t>
      </w:r>
      <w:r w:rsidRPr="00D75861">
        <w:rPr>
          <w:rFonts w:ascii="Times New Roman" w:hAnsi="Times New Roman" w:cs="Times New Roman"/>
          <w:color w:val="0000FF"/>
        </w:rPr>
        <w:t>ollapse" Brookings Papers on Economic Activity 1986.2:237-284.</w:t>
      </w:r>
    </w:p>
    <w:p w14:paraId="0270D08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6511DEE4"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27078E08"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2DA863E4"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AE67A6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E6E52BE"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03C0F6CA"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E0F1834"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9C01606"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2FAF088B"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776934E"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7236AAC"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96A81E7"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7C2505B0"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914673E"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4E9DBD5"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1C9B4BC"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5FB64A4"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91F7C54"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4F7AF58"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55D5A77"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AF560D3"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04B7016F"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F4E2397"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DBBBB4C"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6461D38"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2DE51732"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5F9F179"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52D538A"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FF6B5D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4A9E1099"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00F8003C"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04F69C1B"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48FA2E2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330869D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3E824ED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1B8FCD18"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CB68168" w14:textId="77777777" w:rsidR="00F303D9" w:rsidRDefault="00F303D9" w:rsidP="007B31A8">
      <w:pPr>
        <w:autoSpaceDE w:val="0"/>
        <w:autoSpaceDN w:val="0"/>
        <w:adjustRightInd w:val="0"/>
        <w:spacing w:after="0" w:line="240" w:lineRule="auto"/>
        <w:jc w:val="both"/>
        <w:rPr>
          <w:rFonts w:ascii="Times New Roman" w:hAnsi="Times New Roman" w:cs="Times New Roman"/>
          <w:color w:val="0000FF"/>
        </w:rPr>
      </w:pPr>
    </w:p>
    <w:p w14:paraId="7973134E" w14:textId="77777777" w:rsidR="007B31A8" w:rsidRDefault="007B31A8" w:rsidP="007B31A8">
      <w:pPr>
        <w:autoSpaceDE w:val="0"/>
        <w:autoSpaceDN w:val="0"/>
        <w:adjustRightInd w:val="0"/>
        <w:spacing w:after="0" w:line="240" w:lineRule="auto"/>
        <w:jc w:val="both"/>
        <w:rPr>
          <w:rFonts w:ascii="Times New Roman" w:hAnsi="Times New Roman" w:cs="Times New Roman"/>
          <w:color w:val="0000FF"/>
        </w:rPr>
      </w:pPr>
    </w:p>
    <w:p w14:paraId="1991E6C8" w14:textId="77777777" w:rsidR="007B31A8" w:rsidRDefault="007B31A8" w:rsidP="007B31A8">
      <w:pPr>
        <w:autoSpaceDE w:val="0"/>
        <w:autoSpaceDN w:val="0"/>
        <w:adjustRightInd w:val="0"/>
        <w:spacing w:after="0" w:line="240" w:lineRule="auto"/>
        <w:jc w:val="both"/>
        <w:rPr>
          <w:rFonts w:ascii="Times New Roman" w:hAnsi="Times New Roman" w:cs="Times New Roman"/>
          <w:color w:val="0000FF"/>
        </w:rPr>
      </w:pPr>
    </w:p>
    <w:p w14:paraId="33C39888" w14:textId="77777777" w:rsidR="007B31A8" w:rsidRDefault="007B31A8" w:rsidP="007B31A8">
      <w:pPr>
        <w:autoSpaceDE w:val="0"/>
        <w:autoSpaceDN w:val="0"/>
        <w:adjustRightInd w:val="0"/>
        <w:spacing w:after="0" w:line="240" w:lineRule="auto"/>
        <w:jc w:val="both"/>
        <w:rPr>
          <w:rFonts w:ascii="Times New Roman" w:hAnsi="Times New Roman" w:cs="Times New Roman"/>
          <w:color w:val="0000FF"/>
        </w:rPr>
      </w:pPr>
    </w:p>
    <w:p w14:paraId="593663BD" w14:textId="77777777" w:rsidR="007B31A8" w:rsidRDefault="007B31A8" w:rsidP="007B31A8">
      <w:pPr>
        <w:autoSpaceDE w:val="0"/>
        <w:autoSpaceDN w:val="0"/>
        <w:adjustRightInd w:val="0"/>
        <w:spacing w:after="0" w:line="240" w:lineRule="auto"/>
        <w:jc w:val="both"/>
        <w:rPr>
          <w:rFonts w:ascii="Times New Roman" w:hAnsi="Times New Roman" w:cs="Times New Roman"/>
          <w:color w:val="0000FF"/>
        </w:rPr>
      </w:pPr>
    </w:p>
    <w:p w14:paraId="1ADBF80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0EB8F999" w14:textId="20A88EDB" w:rsidR="00F303D9" w:rsidRPr="00B84221" w:rsidRDefault="00B84221" w:rsidP="00DD71CF">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lastRenderedPageBreak/>
        <w:t>Responses to Referee 1</w:t>
      </w:r>
    </w:p>
    <w:p w14:paraId="01C97C80" w14:textId="77777777" w:rsidR="00F303D9" w:rsidRDefault="00F303D9" w:rsidP="00F303D9">
      <w:pPr>
        <w:adjustRightInd w:val="0"/>
        <w:spacing w:after="0" w:line="240" w:lineRule="auto"/>
        <w:rPr>
          <w:rFonts w:ascii="Times New Roman" w:hAnsi="Times New Roman" w:cs="Times New Roman"/>
          <w:b/>
          <w:bCs/>
        </w:rPr>
      </w:pPr>
    </w:p>
    <w:p w14:paraId="5B7E51EB" w14:textId="1128C648" w:rsidR="00F303D9" w:rsidRPr="00F303D9" w:rsidRDefault="00F303D9" w:rsidP="00F303D9">
      <w:pPr>
        <w:adjustRightInd w:val="0"/>
        <w:spacing w:after="0" w:line="240" w:lineRule="auto"/>
        <w:rPr>
          <w:rFonts w:ascii="Times New Roman" w:hAnsi="Times New Roman" w:cs="Times New Roman"/>
          <w:b/>
          <w:bCs/>
        </w:rPr>
      </w:pPr>
      <w:r w:rsidRPr="00E81D4B">
        <w:rPr>
          <w:rFonts w:ascii="Times New Roman" w:hAnsi="Times New Roman" w:cs="Times New Roman"/>
          <w:color w:val="0000FF"/>
        </w:rPr>
        <w:t xml:space="preserve">Thank you for </w:t>
      </w:r>
      <w:r>
        <w:rPr>
          <w:rFonts w:ascii="Times New Roman" w:hAnsi="Times New Roman" w:cs="Times New Roman"/>
          <w:color w:val="0000FF"/>
        </w:rPr>
        <w:t xml:space="preserve">your careful reading </w:t>
      </w:r>
      <w:r w:rsidR="000E1941">
        <w:rPr>
          <w:rFonts w:ascii="Times New Roman" w:hAnsi="Times New Roman" w:cs="Times New Roman"/>
          <w:color w:val="0000FF"/>
        </w:rPr>
        <w:t xml:space="preserve">of the manuscript </w:t>
      </w:r>
      <w:r>
        <w:rPr>
          <w:rFonts w:ascii="Times New Roman" w:hAnsi="Times New Roman" w:cs="Times New Roman"/>
          <w:color w:val="0000FF"/>
        </w:rPr>
        <w:t xml:space="preserve">and useful comments. I addressed them following the AE’s guidance </w:t>
      </w:r>
      <w:r w:rsidR="000E1941">
        <w:rPr>
          <w:rFonts w:ascii="Times New Roman" w:hAnsi="Times New Roman" w:cs="Times New Roman"/>
          <w:color w:val="0000FF"/>
        </w:rPr>
        <w:t xml:space="preserve">and believe that this has made the manuscript stronger and clearer. I include detailed point-by-point responses to your comments below. </w:t>
      </w:r>
    </w:p>
    <w:p w14:paraId="3AF6FC07" w14:textId="77777777" w:rsidR="00F303D9" w:rsidRDefault="00F303D9" w:rsidP="00F303D9">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E215BD">
        <w:rPr>
          <w:rFonts w:ascii="Times New Roman" w:hAnsi="Times New Roman" w:cs="Times New Roman" w:hint="eastAsia"/>
          <w:b/>
          <w:bCs/>
        </w:rPr>
        <w:t>Lack of methodological novelty.</w:t>
      </w:r>
      <w:r>
        <w:rPr>
          <w:rFonts w:ascii="Times New Roman" w:hAnsi="Times New Roman" w:cs="Times New Roman" w:hint="eastAsia"/>
        </w:rPr>
        <w:t xml:space="preserve"> This paper is too close to CPV. The model is mostly the same: in fact, most of the equations in Section 2 are the same as in CPV. The difference is the Phillips </w:t>
      </w:r>
      <w:proofErr w:type="gramStart"/>
      <w:r>
        <w:rPr>
          <w:rFonts w:ascii="Times New Roman" w:hAnsi="Times New Roman" w:cs="Times New Roman" w:hint="eastAsia"/>
        </w:rPr>
        <w:t>curve</w:t>
      </w:r>
      <w:proofErr w:type="gramEnd"/>
      <w:r>
        <w:rPr>
          <w:rFonts w:ascii="Times New Roman" w:hAnsi="Times New Roman" w:cs="Times New Roman" w:hint="eastAsia"/>
        </w:rPr>
        <w:t xml:space="preserve"> and the monetary policy rule described in Section 2.4 and 2.5. Methodologically, this is </w:t>
      </w:r>
      <w:r>
        <w:rPr>
          <w:rFonts w:ascii="Times New Roman" w:hAnsi="Times New Roman" w:cs="Times New Roman"/>
        </w:rPr>
        <w:t>a relatively</w:t>
      </w:r>
      <w:r>
        <w:rPr>
          <w:rFonts w:ascii="Times New Roman" w:hAnsi="Times New Roman" w:cs="Times New Roman" w:hint="eastAsia"/>
        </w:rPr>
        <w:t xml:space="preserve"> minor extension. Moreover, the structural additions are either not </w:t>
      </w:r>
      <w:proofErr w:type="gramStart"/>
      <w:r>
        <w:rPr>
          <w:rFonts w:ascii="Times New Roman" w:hAnsi="Times New Roman" w:cs="Times New Roman" w:hint="eastAsia"/>
        </w:rPr>
        <w:t>really structural</w:t>
      </w:r>
      <w:proofErr w:type="gramEnd"/>
      <w:r>
        <w:rPr>
          <w:rFonts w:ascii="Times New Roman" w:hAnsi="Times New Roman" w:cs="Times New Roman" w:hint="eastAsia"/>
        </w:rPr>
        <w:t xml:space="preserve"> or not very convincing. Specifically:</w:t>
      </w:r>
    </w:p>
    <w:p w14:paraId="256CB03F" w14:textId="77777777" w:rsidR="00F303D9" w:rsidRDefault="00F303D9" w:rsidP="00552B46">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9B6106">
        <w:rPr>
          <w:rFonts w:ascii="Times New Roman" w:hAnsi="Times New Roman" w:cs="Times New Roman" w:hint="eastAsia"/>
        </w:rPr>
        <w:t xml:space="preserve">The Taylor </w:t>
      </w:r>
      <w:r w:rsidRPr="009B6106">
        <w:rPr>
          <w:rFonts w:ascii="Times New Roman" w:hAnsi="Times New Roman" w:cs="Times New Roman"/>
        </w:rPr>
        <w:t>rules are not structural relations. In practice, central banks set</w:t>
      </w:r>
      <w:r w:rsidRPr="009B6106">
        <w:rPr>
          <w:rFonts w:ascii="Times New Roman" w:hAnsi="Times New Roman" w:cs="Times New Roman" w:hint="eastAsia"/>
        </w:rPr>
        <w:t xml:space="preserve"> </w:t>
      </w:r>
      <w:r w:rsidRPr="009B6106">
        <w:rPr>
          <w:rFonts w:ascii="Times New Roman" w:hAnsi="Times New Roman" w:cs="Times New Roman"/>
        </w:rPr>
        <w:t xml:space="preserve">policy </w:t>
      </w:r>
      <w:r w:rsidRPr="009B6106">
        <w:rPr>
          <w:rFonts w:ascii="Times New Roman" w:hAnsi="Times New Roman" w:cs="Times New Roman"/>
          <w:b/>
          <w:bCs/>
        </w:rPr>
        <w:t>with discretion</w:t>
      </w:r>
      <w:r w:rsidRPr="009B6106">
        <w:rPr>
          <w:rFonts w:ascii="Times New Roman" w:hAnsi="Times New Roman" w:cs="Times New Roman"/>
        </w:rPr>
        <w:t xml:space="preserve"> to achieve their mandates; they do not follow Taylor</w:t>
      </w:r>
      <w:r w:rsidRPr="009B6106">
        <w:rPr>
          <w:rFonts w:ascii="Times New Roman" w:hAnsi="Times New Roman" w:cs="Times New Roman" w:hint="eastAsia"/>
        </w:rPr>
        <w:t xml:space="preserve"> </w:t>
      </w:r>
      <w:r w:rsidRPr="009B6106">
        <w:rPr>
          <w:rFonts w:ascii="Times New Roman" w:hAnsi="Times New Roman" w:cs="Times New Roman"/>
        </w:rPr>
        <w:t>rules (although they might use them as benchmark). These rules are best</w:t>
      </w:r>
      <w:r>
        <w:rPr>
          <w:rFonts w:ascii="Times New Roman" w:hAnsi="Times New Roman" w:cs="Times New Roman" w:hint="eastAsia"/>
        </w:rPr>
        <w:t xml:space="preserve"> </w:t>
      </w:r>
      <w:r w:rsidRPr="009B6106">
        <w:rPr>
          <w:rFonts w:ascii="Times New Roman" w:hAnsi="Times New Roman" w:cs="Times New Roman"/>
        </w:rPr>
        <w:t>interpreted as reduced form relations that approximate central bank behavior.</w:t>
      </w:r>
    </w:p>
    <w:p w14:paraId="2DB54F16" w14:textId="77777777" w:rsidR="00F303D9" w:rsidRDefault="00F303D9" w:rsidP="00552B46">
      <w:pPr>
        <w:pStyle w:val="ListParagraph"/>
        <w:widowControl w:val="0"/>
        <w:autoSpaceDE w:val="0"/>
        <w:autoSpaceDN w:val="0"/>
        <w:adjustRightInd w:val="0"/>
        <w:spacing w:before="240" w:after="0" w:line="240" w:lineRule="auto"/>
        <w:ind w:left="2040"/>
        <w:rPr>
          <w:rFonts w:ascii="Times New Roman" w:hAnsi="Times New Roman" w:cs="Times New Roman"/>
        </w:rPr>
      </w:pPr>
    </w:p>
    <w:p w14:paraId="20961839" w14:textId="77777777" w:rsidR="00552B46" w:rsidRDefault="00F303D9" w:rsidP="00552B46">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F303D9">
        <w:rPr>
          <w:rFonts w:ascii="Times New Roman" w:hAnsi="Times New Roman" w:cs="Times New Roman"/>
        </w:rPr>
        <w:t>The Phillips curve is generally the weakest part of New Keynesian models</w:t>
      </w:r>
      <w:r w:rsidRPr="00F303D9">
        <w:rPr>
          <w:rFonts w:ascii="Times New Roman" w:hAnsi="Times New Roman" w:cs="Times New Roman" w:hint="eastAsia"/>
        </w:rPr>
        <w:t xml:space="preserve"> </w:t>
      </w:r>
      <w:r w:rsidRPr="00F303D9">
        <w:rPr>
          <w:rFonts w:ascii="Times New Roman" w:hAnsi="Times New Roman" w:cs="Times New Roman"/>
        </w:rPr>
        <w:t>since there is much we don’t understand about in</w:t>
      </w:r>
      <w:r w:rsidRPr="00F303D9">
        <w:rPr>
          <w:rFonts w:ascii="Times New Roman" w:hAnsi="Times New Roman" w:cs="Times New Roman" w:hint="eastAsia"/>
        </w:rPr>
        <w:t>fl</w:t>
      </w:r>
      <w:r w:rsidRPr="00F303D9">
        <w:rPr>
          <w:rFonts w:ascii="Times New Roman" w:hAnsi="Times New Roman" w:cs="Times New Roman"/>
        </w:rPr>
        <w:t xml:space="preserve">ation (we have a </w:t>
      </w:r>
      <w:r w:rsidRPr="00F303D9">
        <w:rPr>
          <w:rFonts w:ascii="Times New Roman" w:hAnsi="Times New Roman" w:cs="Times New Roman"/>
          <w:i/>
          <w:iCs/>
        </w:rPr>
        <w:t>qualitative</w:t>
      </w:r>
      <w:r w:rsidRPr="00F303D9">
        <w:rPr>
          <w:rFonts w:ascii="Times New Roman" w:hAnsi="Times New Roman" w:cs="Times New Roman"/>
        </w:rPr>
        <w:t xml:space="preserve"> understanding). This paper’s Phillips curve is no exception. The paper</w:t>
      </w:r>
      <w:r w:rsidRPr="00F303D9">
        <w:rPr>
          <w:rFonts w:ascii="Times New Roman" w:hAnsi="Times New Roman" w:cs="Times New Roman" w:hint="eastAsia"/>
        </w:rPr>
        <w:t xml:space="preserve"> </w:t>
      </w:r>
      <w:r w:rsidRPr="00F303D9">
        <w:rPr>
          <w:rFonts w:ascii="Times New Roman" w:hAnsi="Times New Roman" w:cs="Times New Roman"/>
        </w:rPr>
        <w:t xml:space="preserve">assumes prices are </w:t>
      </w:r>
      <w:r w:rsidRPr="00F303D9">
        <w:rPr>
          <w:rFonts w:ascii="Times New Roman" w:hAnsi="Times New Roman" w:cs="Times New Roman" w:hint="eastAsia"/>
        </w:rPr>
        <w:t>fl</w:t>
      </w:r>
      <w:r w:rsidRPr="00F303D9">
        <w:rPr>
          <w:rFonts w:ascii="Times New Roman" w:hAnsi="Times New Roman" w:cs="Times New Roman"/>
        </w:rPr>
        <w:t>exible and wages are sticky, and derives a wage Phillips</w:t>
      </w:r>
      <w:r w:rsidRPr="00F303D9">
        <w:rPr>
          <w:rFonts w:ascii="Times New Roman" w:hAnsi="Times New Roman" w:cs="Times New Roman" w:hint="eastAsia"/>
        </w:rPr>
        <w:t xml:space="preserve"> </w:t>
      </w:r>
      <w:r w:rsidRPr="00F303D9">
        <w:rPr>
          <w:rFonts w:ascii="Times New Roman" w:hAnsi="Times New Roman" w:cs="Times New Roman"/>
        </w:rPr>
        <w:t xml:space="preserve">curve with </w:t>
      </w:r>
      <w:proofErr w:type="gramStart"/>
      <w:r w:rsidRPr="00F303D9">
        <w:rPr>
          <w:rFonts w:ascii="Times New Roman" w:hAnsi="Times New Roman" w:cs="Times New Roman"/>
        </w:rPr>
        <w:t>backward and forward looking</w:t>
      </w:r>
      <w:proofErr w:type="gramEnd"/>
      <w:r w:rsidRPr="00F303D9">
        <w:rPr>
          <w:rFonts w:ascii="Times New Roman" w:hAnsi="Times New Roman" w:cs="Times New Roman"/>
        </w:rPr>
        <w:t xml:space="preserve"> elements. This approach will miss</w:t>
      </w:r>
      <w:r w:rsidRPr="00F303D9">
        <w:rPr>
          <w:rFonts w:ascii="Times New Roman" w:hAnsi="Times New Roman" w:cs="Times New Roman" w:hint="eastAsia"/>
        </w:rPr>
        <w:t xml:space="preserve"> </w:t>
      </w:r>
      <w:r w:rsidRPr="00F303D9">
        <w:rPr>
          <w:rFonts w:ascii="Times New Roman" w:hAnsi="Times New Roman" w:cs="Times New Roman"/>
        </w:rPr>
        <w:t>a lot of richness that matters in practice, e.g., the Covid-19 shock showed</w:t>
      </w:r>
      <w:r w:rsidRPr="00F303D9">
        <w:rPr>
          <w:rFonts w:ascii="Times New Roman" w:hAnsi="Times New Roman" w:cs="Times New Roman" w:hint="eastAsia"/>
        </w:rPr>
        <w:t xml:space="preserve"> </w:t>
      </w:r>
      <w:r w:rsidRPr="00F303D9">
        <w:rPr>
          <w:rFonts w:ascii="Times New Roman" w:hAnsi="Times New Roman" w:cs="Times New Roman"/>
        </w:rPr>
        <w:t>that price and wage in</w:t>
      </w:r>
      <w:r w:rsidRPr="00F303D9">
        <w:rPr>
          <w:rFonts w:ascii="Times New Roman" w:hAnsi="Times New Roman" w:cs="Times New Roman" w:hint="eastAsia"/>
        </w:rPr>
        <w:t>fl</w:t>
      </w:r>
      <w:r w:rsidRPr="00F303D9">
        <w:rPr>
          <w:rFonts w:ascii="Times New Roman" w:hAnsi="Times New Roman" w:cs="Times New Roman"/>
        </w:rPr>
        <w:t>ation can have very di</w:t>
      </w:r>
      <w:r w:rsidRPr="00F303D9">
        <w:rPr>
          <w:rFonts w:ascii="Times New Roman" w:hAnsi="Times New Roman" w:cs="Times New Roman" w:hint="eastAsia"/>
        </w:rPr>
        <w:t>ff</w:t>
      </w:r>
      <w:r w:rsidRPr="00F303D9">
        <w:rPr>
          <w:rFonts w:ascii="Times New Roman" w:hAnsi="Times New Roman" w:cs="Times New Roman"/>
        </w:rPr>
        <w:t>erent dynamics.</w:t>
      </w:r>
      <w:r w:rsidRPr="00F303D9">
        <w:rPr>
          <w:rFonts w:ascii="Times New Roman" w:hAnsi="Times New Roman" w:cs="Times New Roman" w:hint="eastAsia"/>
        </w:rPr>
        <w:t xml:space="preserve"> </w:t>
      </w:r>
    </w:p>
    <w:p w14:paraId="392BF7C2" w14:textId="77777777" w:rsidR="00552B46" w:rsidRPr="00552B46" w:rsidRDefault="00552B46" w:rsidP="00552B46">
      <w:pPr>
        <w:pStyle w:val="ListParagraph"/>
        <w:rPr>
          <w:rFonts w:ascii="Times New Roman" w:hAnsi="Times New Roman" w:cs="Times New Roman"/>
        </w:rPr>
      </w:pPr>
    </w:p>
    <w:p w14:paraId="609B9C3E" w14:textId="548FACCA" w:rsidR="000E1941" w:rsidRPr="00552B46" w:rsidRDefault="00F303D9" w:rsidP="00552B46">
      <w:pPr>
        <w:pStyle w:val="ListParagraph"/>
        <w:widowControl w:val="0"/>
        <w:autoSpaceDE w:val="0"/>
        <w:autoSpaceDN w:val="0"/>
        <w:adjustRightInd w:val="0"/>
        <w:spacing w:before="240" w:after="0" w:line="240" w:lineRule="auto"/>
        <w:ind w:left="2040"/>
        <w:rPr>
          <w:rFonts w:ascii="Times New Roman" w:hAnsi="Times New Roman" w:cs="Times New Roman"/>
        </w:rPr>
      </w:pPr>
      <w:r w:rsidRPr="00552B46">
        <w:rPr>
          <w:rFonts w:ascii="Times New Roman" w:hAnsi="Times New Roman" w:cs="Times New Roman"/>
        </w:rPr>
        <w:t>To be clear, I like simple models. However, the model should be constructed</w:t>
      </w:r>
      <w:r w:rsidRPr="00552B46">
        <w:rPr>
          <w:rFonts w:ascii="Times New Roman" w:hAnsi="Times New Roman" w:cs="Times New Roman" w:hint="eastAsia"/>
        </w:rPr>
        <w:t xml:space="preserve"> </w:t>
      </w:r>
      <w:r w:rsidRPr="00552B46">
        <w:rPr>
          <w:rFonts w:ascii="Times New Roman" w:hAnsi="Times New Roman" w:cs="Times New Roman"/>
        </w:rPr>
        <w:t>with a goal of explaining a particular set of facts. We can then evaluate the</w:t>
      </w:r>
      <w:r w:rsidRPr="00552B46">
        <w:rPr>
          <w:rFonts w:ascii="Times New Roman" w:hAnsi="Times New Roman" w:cs="Times New Roman" w:hint="eastAsia"/>
        </w:rPr>
        <w:t xml:space="preserve"> </w:t>
      </w:r>
      <w:r w:rsidRPr="00552B46">
        <w:rPr>
          <w:rFonts w:ascii="Times New Roman" w:hAnsi="Times New Roman" w:cs="Times New Roman"/>
        </w:rPr>
        <w:t>model based on how well it explains the facts and whether the simplifying</w:t>
      </w:r>
      <w:r w:rsidRPr="00552B46">
        <w:rPr>
          <w:rFonts w:ascii="Times New Roman" w:hAnsi="Times New Roman" w:cs="Times New Roman" w:hint="eastAsia"/>
        </w:rPr>
        <w:t xml:space="preserve"> </w:t>
      </w:r>
      <w:r w:rsidRPr="00552B46">
        <w:rPr>
          <w:rFonts w:ascii="Times New Roman" w:hAnsi="Times New Roman" w:cs="Times New Roman"/>
        </w:rPr>
        <w:t>assumptions are justi</w:t>
      </w:r>
      <w:r w:rsidRPr="00552B46">
        <w:rPr>
          <w:rFonts w:ascii="Times New Roman" w:hAnsi="Times New Roman" w:cs="Times New Roman" w:hint="eastAsia"/>
        </w:rPr>
        <w:t>fi</w:t>
      </w:r>
      <w:r w:rsidRPr="00552B46">
        <w:rPr>
          <w:rFonts w:ascii="Times New Roman" w:hAnsi="Times New Roman" w:cs="Times New Roman"/>
        </w:rPr>
        <w:t>ed. This gets me to my second point.</w:t>
      </w:r>
    </w:p>
    <w:p w14:paraId="7107BC08" w14:textId="308E1402" w:rsidR="00A7692B" w:rsidRDefault="000E1941" w:rsidP="000E1941">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0E1941">
        <w:rPr>
          <w:rFonts w:ascii="Times New Roman" w:hAnsi="Times New Roman" w:cs="Times New Roman"/>
          <w:b/>
          <w:bCs/>
          <w:color w:val="0000FF"/>
        </w:rPr>
        <w:t>Reply:</w:t>
      </w:r>
      <w:r>
        <w:rPr>
          <w:rFonts w:ascii="Times New Roman" w:hAnsi="Times New Roman" w:cs="Times New Roman"/>
          <w:b/>
          <w:bCs/>
          <w:color w:val="0000FF"/>
        </w:rPr>
        <w:t xml:space="preserve"> </w:t>
      </w:r>
      <w:r>
        <w:rPr>
          <w:rFonts w:ascii="Times New Roman" w:hAnsi="Times New Roman" w:cs="Times New Roman"/>
          <w:color w:val="0000FF"/>
        </w:rPr>
        <w:t xml:space="preserve">I </w:t>
      </w:r>
      <w:r w:rsidR="00A7692B">
        <w:rPr>
          <w:rFonts w:ascii="Times New Roman" w:hAnsi="Times New Roman" w:cs="Times New Roman"/>
          <w:color w:val="0000FF"/>
        </w:rPr>
        <w:t xml:space="preserve">agree that the </w:t>
      </w:r>
      <w:r>
        <w:rPr>
          <w:rFonts w:ascii="Times New Roman" w:hAnsi="Times New Roman" w:cs="Times New Roman"/>
          <w:color w:val="0000FF"/>
        </w:rPr>
        <w:t xml:space="preserve">distinction between the present manuscript and CPV </w:t>
      </w:r>
      <w:r w:rsidR="00A7692B">
        <w:rPr>
          <w:rFonts w:ascii="Times New Roman" w:hAnsi="Times New Roman" w:cs="Times New Roman"/>
          <w:color w:val="0000FF"/>
        </w:rPr>
        <w:t>is crucial</w:t>
      </w:r>
      <w:r w:rsidR="007A1F01">
        <w:rPr>
          <w:rFonts w:ascii="Times New Roman" w:hAnsi="Times New Roman" w:cs="Times New Roman"/>
          <w:color w:val="0000FF"/>
        </w:rPr>
        <w:t>,</w:t>
      </w:r>
      <w:r w:rsidR="00A7692B">
        <w:rPr>
          <w:rFonts w:ascii="Times New Roman" w:hAnsi="Times New Roman" w:cs="Times New Roman"/>
          <w:color w:val="0000FF"/>
        </w:rPr>
        <w:t xml:space="preserve"> and apologize if </w:t>
      </w:r>
      <w:r w:rsidR="007A1F01">
        <w:rPr>
          <w:rFonts w:ascii="Times New Roman" w:hAnsi="Times New Roman" w:cs="Times New Roman"/>
          <w:color w:val="0000FF"/>
        </w:rPr>
        <w:t>the prior version of this paper was insufficiently clear</w:t>
      </w:r>
      <w:r w:rsidR="00A7692B">
        <w:rPr>
          <w:rFonts w:ascii="Times New Roman" w:hAnsi="Times New Roman" w:cs="Times New Roman"/>
          <w:color w:val="0000FF"/>
        </w:rPr>
        <w:t xml:space="preserve">. </w:t>
      </w:r>
      <w:r>
        <w:rPr>
          <w:rFonts w:ascii="Times New Roman" w:hAnsi="Times New Roman" w:cs="Times New Roman"/>
          <w:color w:val="0000FF"/>
        </w:rPr>
        <w:t xml:space="preserve">I substantially revised the manuscript, following </w:t>
      </w:r>
      <w:proofErr w:type="gramStart"/>
      <w:r>
        <w:rPr>
          <w:rFonts w:ascii="Times New Roman" w:hAnsi="Times New Roman" w:cs="Times New Roman"/>
          <w:color w:val="0000FF"/>
        </w:rPr>
        <w:t>in particular the</w:t>
      </w:r>
      <w:proofErr w:type="gramEnd"/>
      <w:r>
        <w:rPr>
          <w:rFonts w:ascii="Times New Roman" w:hAnsi="Times New Roman" w:cs="Times New Roman"/>
          <w:color w:val="0000FF"/>
        </w:rPr>
        <w:t xml:space="preserve"> detailed suggestions by </w:t>
      </w:r>
      <w:r w:rsidR="00A7692B">
        <w:rPr>
          <w:rFonts w:ascii="Times New Roman" w:hAnsi="Times New Roman" w:cs="Times New Roman"/>
          <w:color w:val="0000FF"/>
        </w:rPr>
        <w:t xml:space="preserve">the AE and </w:t>
      </w:r>
      <w:r>
        <w:rPr>
          <w:rFonts w:ascii="Times New Roman" w:hAnsi="Times New Roman" w:cs="Times New Roman"/>
          <w:color w:val="0000FF"/>
        </w:rPr>
        <w:t>referee 2</w:t>
      </w:r>
      <w:r w:rsidR="006833F4">
        <w:rPr>
          <w:rFonts w:ascii="Times New Roman" w:hAnsi="Times New Roman" w:cs="Times New Roman"/>
          <w:color w:val="0000FF"/>
        </w:rPr>
        <w:t>. Th</w:t>
      </w:r>
      <w:r w:rsidR="00A7692B">
        <w:rPr>
          <w:rFonts w:ascii="Times New Roman" w:hAnsi="Times New Roman" w:cs="Times New Roman"/>
          <w:color w:val="0000FF"/>
        </w:rPr>
        <w:t xml:space="preserve">e unique contribution of this paper relative to CPV and the other prior literature is now stated up-front in </w:t>
      </w:r>
      <w:r w:rsidR="00A7692B" w:rsidRPr="0075009A">
        <w:rPr>
          <w:rFonts w:ascii="Times New Roman" w:hAnsi="Times New Roman" w:cs="Times New Roman"/>
          <w:b/>
          <w:bCs/>
          <w:color w:val="0000FF"/>
        </w:rPr>
        <w:t>the second paragraph on p.1</w:t>
      </w:r>
      <w:r w:rsidR="00A7692B">
        <w:rPr>
          <w:rFonts w:ascii="Times New Roman" w:hAnsi="Times New Roman" w:cs="Times New Roman"/>
          <w:color w:val="0000FF"/>
        </w:rPr>
        <w:t xml:space="preserve"> as follows: </w:t>
      </w:r>
    </w:p>
    <w:p w14:paraId="6C6B53D5" w14:textId="4BBF8865" w:rsidR="00A7692B" w:rsidRDefault="00A7692B" w:rsidP="00A7692B">
      <w:pPr>
        <w:widowControl w:val="0"/>
        <w:autoSpaceDE w:val="0"/>
        <w:autoSpaceDN w:val="0"/>
        <w:adjustRightInd w:val="0"/>
        <w:spacing w:before="240" w:after="0" w:line="240" w:lineRule="auto"/>
        <w:ind w:left="720"/>
        <w:jc w:val="both"/>
        <w:rPr>
          <w:rFonts w:ascii="Times New Roman" w:hAnsi="Times New Roman" w:cs="Times New Roman"/>
          <w:color w:val="0000FF"/>
        </w:rPr>
      </w:pPr>
      <w:r>
        <w:rPr>
          <w:rFonts w:ascii="Times New Roman" w:hAnsi="Times New Roman" w:cs="Times New Roman"/>
          <w:color w:val="0000FF"/>
        </w:rPr>
        <w:t>“</w:t>
      </w:r>
      <w:r w:rsidRPr="00A7692B">
        <w:rPr>
          <w:rFonts w:ascii="Times New Roman" w:hAnsi="Times New Roman" w:cs="Times New Roman"/>
          <w:color w:val="0000FF"/>
        </w:rPr>
        <w:t xml:space="preserve">Conducting counterfactual exercises (…), I find that over the past 30 years monetary policy and the real side of the economy have changed sufficiently that reverting either set of parameters is insufficient to revert bond risks to their levels in the 1980s. Instead, a </w:t>
      </w:r>
      <w:r>
        <w:rPr>
          <w:rFonts w:ascii="Times New Roman" w:hAnsi="Times New Roman" w:cs="Times New Roman"/>
          <w:color w:val="0000FF"/>
        </w:rPr>
        <w:t>‘</w:t>
      </w:r>
      <w:r w:rsidRPr="00A7692B">
        <w:rPr>
          <w:rFonts w:ascii="Times New Roman" w:hAnsi="Times New Roman" w:cs="Times New Roman"/>
          <w:color w:val="0000FF"/>
        </w:rPr>
        <w:t>perfect storm</w:t>
      </w:r>
      <w:r>
        <w:rPr>
          <w:rFonts w:ascii="Times New Roman" w:hAnsi="Times New Roman" w:cs="Times New Roman"/>
          <w:color w:val="0000FF"/>
        </w:rPr>
        <w:t>’</w:t>
      </w:r>
      <w:r w:rsidRPr="00A7692B">
        <w:rPr>
          <w:rFonts w:ascii="Times New Roman" w:hAnsi="Times New Roman" w:cs="Times New Roman"/>
          <w:color w:val="0000FF"/>
        </w:rPr>
        <w:t xml:space="preserve"> consisting of a change towards more volatile supply shocks and a more hawkish monetary policy rule is needed to generate a reversion back to the risky bond markets of the 1980</w:t>
      </w:r>
      <w:proofErr w:type="gramStart"/>
      <w:r w:rsidRPr="00A7692B">
        <w:rPr>
          <w:rFonts w:ascii="Times New Roman" w:hAnsi="Times New Roman" w:cs="Times New Roman"/>
          <w:color w:val="0000FF"/>
        </w:rPr>
        <w:t>s.“</w:t>
      </w:r>
      <w:proofErr w:type="gramEnd"/>
    </w:p>
    <w:p w14:paraId="15B6CB00" w14:textId="77777777" w:rsidR="00A7692B"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33A5202E" w14:textId="53BC6463" w:rsidR="00A7692B" w:rsidRPr="00F761D5"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difference relative to CPV is described more in detail in the subsequent paragraph also on </w:t>
      </w:r>
      <w:r w:rsidR="000B5A51" w:rsidRPr="000B5A51">
        <w:rPr>
          <w:rFonts w:ascii="Times New Roman" w:hAnsi="Times New Roman" w:cs="Times New Roman"/>
          <w:b/>
          <w:bCs/>
          <w:color w:val="0000FF"/>
        </w:rPr>
        <w:t>p.1,</w:t>
      </w:r>
      <w:r w:rsidR="000B5A51">
        <w:rPr>
          <w:rFonts w:ascii="Times New Roman" w:hAnsi="Times New Roman" w:cs="Times New Roman"/>
          <w:color w:val="0000FF"/>
        </w:rPr>
        <w:t xml:space="preserve"> </w:t>
      </w:r>
      <w:r w:rsidR="000B5A51" w:rsidRPr="00C10E55">
        <w:rPr>
          <w:rFonts w:ascii="Times New Roman" w:hAnsi="Times New Roman" w:cs="Times New Roman"/>
          <w:b/>
          <w:bCs/>
          <w:color w:val="0000FF"/>
        </w:rPr>
        <w:t xml:space="preserve">starting " The habit formation preferences in this paper build on Campbell, Pflueger, and </w:t>
      </w:r>
      <w:proofErr w:type="spellStart"/>
      <w:r w:rsidR="000B5A51" w:rsidRPr="00C10E55">
        <w:rPr>
          <w:rFonts w:ascii="Times New Roman" w:hAnsi="Times New Roman" w:cs="Times New Roman"/>
          <w:b/>
          <w:bCs/>
          <w:color w:val="0000FF"/>
        </w:rPr>
        <w:t>Viceira</w:t>
      </w:r>
      <w:proofErr w:type="spellEnd"/>
      <w:r w:rsidR="000B5A51" w:rsidRPr="00C10E55">
        <w:rPr>
          <w:rFonts w:ascii="Times New Roman" w:hAnsi="Times New Roman" w:cs="Times New Roman"/>
          <w:b/>
          <w:bCs/>
          <w:color w:val="0000FF"/>
        </w:rPr>
        <w:t xml:space="preserve"> (2020</w:t>
      </w:r>
      <w:proofErr w:type="gramStart"/>
      <w:r w:rsidR="000B5A51" w:rsidRPr="00C10E55">
        <w:rPr>
          <w:rFonts w:ascii="Times New Roman" w:hAnsi="Times New Roman" w:cs="Times New Roman"/>
          <w:b/>
          <w:bCs/>
          <w:color w:val="0000FF"/>
        </w:rPr>
        <w:t>)  and</w:t>
      </w:r>
      <w:proofErr w:type="gramEnd"/>
      <w:r w:rsidR="000B5A51" w:rsidRPr="00C10E55">
        <w:rPr>
          <w:rFonts w:ascii="Times New Roman" w:hAnsi="Times New Roman" w:cs="Times New Roman"/>
          <w:b/>
          <w:bCs/>
          <w:color w:val="0000FF"/>
        </w:rPr>
        <w:t xml:space="preserve"> Pflueger and Rinaldi (2022) but the model in this paper also contains several changes (…)”).</w:t>
      </w:r>
      <w:r>
        <w:rPr>
          <w:rFonts w:ascii="Times New Roman" w:hAnsi="Times New Roman" w:cs="Times New Roman"/>
          <w:b/>
          <w:bCs/>
          <w:color w:val="0000FF"/>
        </w:rPr>
        <w:t xml:space="preserve"> </w:t>
      </w:r>
      <w:r>
        <w:rPr>
          <w:rFonts w:ascii="Times New Roman" w:hAnsi="Times New Roman" w:cs="Times New Roman"/>
          <w:color w:val="0000FF"/>
        </w:rPr>
        <w:t xml:space="preserve">In addition, at the end of the introduction </w:t>
      </w:r>
      <w:r w:rsidRPr="00A7692B">
        <w:rPr>
          <w:rFonts w:ascii="Times New Roman" w:hAnsi="Times New Roman" w:cs="Times New Roman"/>
          <w:color w:val="0000FF"/>
        </w:rPr>
        <w:t xml:space="preserve">I added </w:t>
      </w:r>
      <w:r>
        <w:rPr>
          <w:rFonts w:ascii="Times New Roman" w:hAnsi="Times New Roman" w:cs="Times New Roman"/>
          <w:color w:val="0000FF"/>
        </w:rPr>
        <w:t xml:space="preserve">a more detailed discussion of how the </w:t>
      </w:r>
      <w:r w:rsidRPr="00A7692B">
        <w:rPr>
          <w:rFonts w:ascii="Times New Roman" w:hAnsi="Times New Roman" w:cs="Times New Roman"/>
          <w:color w:val="0000FF"/>
        </w:rPr>
        <w:t xml:space="preserve">current paper </w:t>
      </w:r>
      <w:r>
        <w:rPr>
          <w:rFonts w:ascii="Times New Roman" w:hAnsi="Times New Roman" w:cs="Times New Roman"/>
          <w:color w:val="0000FF"/>
        </w:rPr>
        <w:t xml:space="preserve">contributes over </w:t>
      </w:r>
      <w:r w:rsidRPr="00A7692B">
        <w:rPr>
          <w:rFonts w:ascii="Times New Roman" w:hAnsi="Times New Roman" w:cs="Times New Roman"/>
          <w:color w:val="0000FF"/>
        </w:rPr>
        <w:t>broader</w:t>
      </w:r>
      <w:r>
        <w:rPr>
          <w:rFonts w:ascii="Times New Roman" w:hAnsi="Times New Roman" w:cs="Times New Roman"/>
          <w:color w:val="0000FF"/>
        </w:rPr>
        <w:t xml:space="preserve"> literature on bond-stock comovements </w:t>
      </w:r>
      <w:r w:rsidRPr="0078498D">
        <w:rPr>
          <w:rFonts w:ascii="Times New Roman" w:hAnsi="Times New Roman" w:cs="Times New Roman"/>
          <w:b/>
          <w:bCs/>
          <w:color w:val="0000FF"/>
        </w:rPr>
        <w:t>(</w:t>
      </w:r>
      <w:r>
        <w:rPr>
          <w:rFonts w:ascii="Times New Roman" w:hAnsi="Times New Roman" w:cs="Times New Roman"/>
          <w:b/>
          <w:bCs/>
          <w:color w:val="0000FF"/>
        </w:rPr>
        <w:t xml:space="preserve">see </w:t>
      </w:r>
      <w:r w:rsidRPr="0078498D">
        <w:rPr>
          <w:rFonts w:ascii="Times New Roman" w:hAnsi="Times New Roman" w:cs="Times New Roman"/>
          <w:b/>
          <w:bCs/>
          <w:color w:val="0000FF"/>
        </w:rPr>
        <w:t>p. 5</w:t>
      </w:r>
      <w:r>
        <w:rPr>
          <w:rFonts w:ascii="Times New Roman" w:hAnsi="Times New Roman" w:cs="Times New Roman"/>
          <w:b/>
          <w:bCs/>
          <w:color w:val="0000FF"/>
        </w:rPr>
        <w:t xml:space="preserve">,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 xml:space="preserve">Campbell, Pflueger, and </w:t>
      </w:r>
      <w:proofErr w:type="spellStart"/>
      <w:r>
        <w:rPr>
          <w:rFonts w:ascii="Times New Roman" w:hAnsi="Times New Roman" w:cs="Times New Roman"/>
          <w:b/>
          <w:bCs/>
          <w:color w:val="0000FF"/>
        </w:rPr>
        <w:t>Viceira</w:t>
      </w:r>
      <w:proofErr w:type="spellEnd"/>
      <w:r>
        <w:rPr>
          <w:rFonts w:ascii="Times New Roman" w:hAnsi="Times New Roman" w:cs="Times New Roman"/>
          <w:b/>
          <w:bCs/>
          <w:color w:val="0000FF"/>
        </w:rPr>
        <w:t xml:space="preserve">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 xml:space="preserve">Pflueger </w:t>
      </w:r>
      <w:r>
        <w:rPr>
          <w:rFonts w:ascii="Times New Roman" w:hAnsi="Times New Roman" w:cs="Times New Roman"/>
          <w:b/>
          <w:bCs/>
          <w:color w:val="0000FF"/>
        </w:rPr>
        <w:lastRenderedPageBreak/>
        <w:t>and Rinaldi (2022)</w:t>
      </w:r>
      <w:r w:rsidRPr="0078498D">
        <w:rPr>
          <w:rFonts w:ascii="Times New Roman" w:hAnsi="Times New Roman" w:cs="Times New Roman"/>
          <w:b/>
          <w:bCs/>
          <w:color w:val="0000FF"/>
        </w:rPr>
        <w:t>, it also contains substantial changes (…)”</w:t>
      </w:r>
      <w:r>
        <w:rPr>
          <w:rFonts w:ascii="Times New Roman" w:hAnsi="Times New Roman" w:cs="Times New Roman"/>
          <w:b/>
          <w:bCs/>
          <w:color w:val="0000FF"/>
        </w:rPr>
        <w:t xml:space="preserve"> and following paragraphs</w:t>
      </w:r>
      <w:r w:rsidRPr="0078498D">
        <w:rPr>
          <w:rFonts w:ascii="Times New Roman" w:hAnsi="Times New Roman" w:cs="Times New Roman"/>
          <w:b/>
          <w:bCs/>
          <w:color w:val="0000FF"/>
        </w:rPr>
        <w:t>)</w:t>
      </w:r>
      <w:r>
        <w:rPr>
          <w:rFonts w:ascii="Times New Roman" w:hAnsi="Times New Roman" w:cs="Times New Roman"/>
          <w:color w:val="0000FF"/>
        </w:rPr>
        <w:t>.</w:t>
      </w:r>
      <w:r w:rsidRPr="00C10E55">
        <w:rPr>
          <w:rFonts w:ascii="Times New Roman" w:hAnsi="Times New Roman" w:cs="Times New Roman"/>
          <w:color w:val="0000FF"/>
        </w:rPr>
        <w:t xml:space="preserve"> </w:t>
      </w:r>
    </w:p>
    <w:p w14:paraId="7F7A72CC" w14:textId="3E6F81F7" w:rsidR="005476DB" w:rsidRDefault="000E1941" w:rsidP="005476DB">
      <w:pPr>
        <w:widowControl w:val="0"/>
        <w:autoSpaceDE w:val="0"/>
        <w:autoSpaceDN w:val="0"/>
        <w:adjustRightInd w:val="0"/>
        <w:spacing w:before="240" w:after="0" w:line="240" w:lineRule="auto"/>
        <w:ind w:left="360"/>
        <w:jc w:val="both"/>
        <w:rPr>
          <w:rFonts w:ascii="Times New Roman" w:hAnsi="Times New Roman" w:cs="Times New Roman"/>
          <w:color w:val="0000FF"/>
        </w:rPr>
      </w:pPr>
      <w:commentRangeStart w:id="1"/>
      <w:r w:rsidRPr="000E1941">
        <w:rPr>
          <w:rFonts w:ascii="Times New Roman" w:hAnsi="Times New Roman" w:cs="Times New Roman"/>
          <w:color w:val="0000FF"/>
        </w:rPr>
        <w:t>In</w:t>
      </w:r>
      <w:commentRangeEnd w:id="1"/>
      <w:r w:rsidR="000B5A51">
        <w:rPr>
          <w:rStyle w:val="CommentReference"/>
        </w:rPr>
        <w:commentReference w:id="1"/>
      </w:r>
      <w:r w:rsidRPr="000E1941">
        <w:rPr>
          <w:rFonts w:ascii="Times New Roman" w:hAnsi="Times New Roman" w:cs="Times New Roman"/>
          <w:color w:val="0000FF"/>
        </w:rPr>
        <w:t xml:space="preserve"> summary, while this paper builds on the previous literature, it contains several changes giving it a unique ability to conduct counterfactual exercises with respect to the composition of macroeconomic shocks and the Taylor rule coefficients on bond-stock betas. One important predecessor paper, Campbell, Pflueger, and </w:t>
      </w:r>
      <w:proofErr w:type="spellStart"/>
      <w:r w:rsidRPr="000E1941">
        <w:rPr>
          <w:rFonts w:ascii="Times New Roman" w:hAnsi="Times New Roman" w:cs="Times New Roman"/>
          <w:color w:val="0000FF"/>
        </w:rPr>
        <w:t>Viceira</w:t>
      </w:r>
      <w:proofErr w:type="spellEnd"/>
      <w:r w:rsidRPr="000E1941">
        <w:rPr>
          <w:rFonts w:ascii="Times New Roman" w:hAnsi="Times New Roman" w:cs="Times New Roman"/>
          <w:color w:val="0000FF"/>
        </w:rPr>
        <w:t xml:space="preserve"> (2020, CPV), contains the same Euler equation, and   prices bonds and stocks using the same habit-formation preferences with countercyclical risk premia. However, CPV is not as </w:t>
      </w:r>
      <w:proofErr w:type="spellStart"/>
      <w:r w:rsidRPr="000E1941">
        <w:rPr>
          <w:rFonts w:ascii="Times New Roman" w:hAnsi="Times New Roman" w:cs="Times New Roman"/>
          <w:color w:val="0000FF"/>
        </w:rPr>
        <w:t>microfounded</w:t>
      </w:r>
      <w:proofErr w:type="spellEnd"/>
      <w:r w:rsidRPr="000E1941">
        <w:rPr>
          <w:rFonts w:ascii="Times New Roman" w:hAnsi="Times New Roman" w:cs="Times New Roman"/>
          <w:color w:val="0000FF"/>
        </w:rPr>
        <w:t xml:space="preserve"> as the current manuscript, limiting its ability to conduct counterfactual exercises. While CPV contains reduced-form equations describing inflation and interest rate dynamics that bear some resemblance to a Phillips curve and Taylor rule, in CPV these are equilibrium dynamics and not structural equations. Concretely, the coefficients in CPV’s reduced-form inflation and interest rate dynamics can take either sign, and their shocks are correlated, so any change in these reduced-form dynamics in CPV must be interpreted as a combination of changes to monetary policy and the macroeconomic environment. By contrast, the current manuscript requires that the Phillips curve (20) and Taylor rule (24) have coefficients in line with the prior structural literature, and that their shocks are uncorrelated, as is standard for structural shocks. The model in CPV is therefore not sufficient to understand how counterfactual changes in macroeconomic volatilities and Taylor rule coefficients impact bond-stock betas.  </w:t>
      </w:r>
    </w:p>
    <w:p w14:paraId="797B48D9" w14:textId="01097D53" w:rsidR="005476DB" w:rsidRDefault="00BD38AF"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followed the AE’s suggestion to address</w:t>
      </w:r>
      <w:r w:rsidR="00A82448">
        <w:rPr>
          <w:rFonts w:ascii="Times New Roman" w:hAnsi="Times New Roman" w:cs="Times New Roman"/>
          <w:color w:val="0000FF"/>
        </w:rPr>
        <w:t xml:space="preserve"> your concern about the monetary policy</w:t>
      </w:r>
      <w:r>
        <w:rPr>
          <w:rFonts w:ascii="Times New Roman" w:hAnsi="Times New Roman" w:cs="Times New Roman"/>
          <w:color w:val="0000FF"/>
        </w:rPr>
        <w:t xml:space="preserve">, and added a discussion of the limitations </w:t>
      </w:r>
      <w:r w:rsidR="005476DB">
        <w:rPr>
          <w:rFonts w:ascii="Times New Roman" w:hAnsi="Times New Roman" w:cs="Times New Roman"/>
          <w:color w:val="0000FF"/>
        </w:rPr>
        <w:t xml:space="preserve">of the Taylor rule as a model of monetary policy. While </w:t>
      </w:r>
      <w:r w:rsidR="00552B46">
        <w:rPr>
          <w:rFonts w:ascii="Times New Roman" w:hAnsi="Times New Roman" w:cs="Times New Roman"/>
          <w:color w:val="0000FF"/>
        </w:rPr>
        <w:t>a monetary policy rule</w:t>
      </w:r>
      <w:r w:rsidR="005476DB">
        <w:rPr>
          <w:rFonts w:ascii="Times New Roman" w:hAnsi="Times New Roman" w:cs="Times New Roman"/>
          <w:color w:val="0000FF"/>
        </w:rPr>
        <w:t xml:space="preserve"> is a standard feature of many models </w:t>
      </w:r>
      <w:r w:rsidR="00552B46">
        <w:rPr>
          <w:rFonts w:ascii="Times New Roman" w:hAnsi="Times New Roman" w:cs="Times New Roman"/>
          <w:color w:val="0000FF"/>
        </w:rPr>
        <w:t xml:space="preserve">of monetary policy, in practice monetary policy clearly also contains a discretionary component as captured by the monetary policy shock in equation (24) of the revised manuscript. This </w:t>
      </w:r>
      <w:r>
        <w:rPr>
          <w:rFonts w:ascii="Times New Roman" w:hAnsi="Times New Roman" w:cs="Times New Roman"/>
          <w:color w:val="0000FF"/>
        </w:rPr>
        <w:t xml:space="preserve">new discussion can be found </w:t>
      </w:r>
      <w:r w:rsidR="00552B46">
        <w:rPr>
          <w:rFonts w:ascii="Times New Roman" w:hAnsi="Times New Roman" w:cs="Times New Roman"/>
          <w:color w:val="0000FF"/>
        </w:rPr>
        <w:t xml:space="preserve">at the </w:t>
      </w:r>
      <w:r w:rsidR="00552B46" w:rsidRPr="00552B46">
        <w:rPr>
          <w:rFonts w:ascii="Times New Roman" w:hAnsi="Times New Roman" w:cs="Times New Roman"/>
          <w:b/>
          <w:bCs/>
          <w:color w:val="0000FF"/>
        </w:rPr>
        <w:t>top of p.14 in the paragraph starting “While there is an active debate to what extent monetary policy can be described by rules versus discretion, rules such as (24) are often found to provide a good description of historical policy rates …”</w:t>
      </w:r>
      <w:r w:rsidR="00552B46">
        <w:rPr>
          <w:rFonts w:ascii="Times New Roman" w:hAnsi="Times New Roman" w:cs="Times New Roman"/>
          <w:color w:val="0000FF"/>
        </w:rPr>
        <w:t>.</w:t>
      </w:r>
    </w:p>
    <w:p w14:paraId="467FBABD" w14:textId="43F5D2B9" w:rsidR="00552B46" w:rsidRDefault="00A82448"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To address your concerns about richer price-wage dynamics</w:t>
      </w:r>
      <w:r w:rsidR="00BD38AF">
        <w:rPr>
          <w:rFonts w:ascii="Times New Roman" w:hAnsi="Times New Roman" w:cs="Times New Roman"/>
          <w:color w:val="0000FF"/>
        </w:rPr>
        <w:t xml:space="preserve">, I followed the AE’s guidance and considered a model extension featuring </w:t>
      </w:r>
      <w:r>
        <w:rPr>
          <w:rFonts w:ascii="Times New Roman" w:hAnsi="Times New Roman" w:cs="Times New Roman"/>
          <w:color w:val="0000FF"/>
        </w:rPr>
        <w:t>an additional shock to price vs. wage inflation</w:t>
      </w:r>
      <w:r w:rsidR="00BD38AF">
        <w:rPr>
          <w:rFonts w:ascii="Times New Roman" w:hAnsi="Times New Roman" w:cs="Times New Roman"/>
          <w:color w:val="0000FF"/>
        </w:rPr>
        <w:t xml:space="preserve">. </w:t>
      </w:r>
    </w:p>
    <w:p w14:paraId="6659D09E" w14:textId="6F007EDA" w:rsidR="00552B46" w:rsidRPr="000E1941" w:rsidRDefault="00552B46"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A53AE2">
        <w:rPr>
          <w:rFonts w:ascii="Times New Roman" w:hAnsi="Times New Roman" w:cs="Times New Roman"/>
          <w:color w:val="0000FF"/>
          <w:highlight w:val="yellow"/>
        </w:rPr>
        <w:t>[CP 10/29/2024:</w:t>
      </w:r>
      <w:r w:rsidR="00DB3331">
        <w:rPr>
          <w:rFonts w:ascii="Times New Roman" w:hAnsi="Times New Roman" w:cs="Times New Roman"/>
          <w:color w:val="0000FF"/>
          <w:highlight w:val="yellow"/>
        </w:rPr>
        <w:t xml:space="preserve"> Describe results of richer price-wage dynamics when available.]</w:t>
      </w:r>
      <w:r w:rsidRPr="00A53AE2">
        <w:rPr>
          <w:rFonts w:ascii="Times New Roman" w:hAnsi="Times New Roman" w:cs="Times New Roman"/>
          <w:color w:val="0000FF"/>
          <w:highlight w:val="yellow"/>
        </w:rPr>
        <w:t xml:space="preserve"> </w:t>
      </w:r>
    </w:p>
    <w:p w14:paraId="47FD3679" w14:textId="77777777" w:rsidR="00F303D9" w:rsidRDefault="00F303D9" w:rsidP="00F303D9">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D10643">
        <w:rPr>
          <w:rFonts w:ascii="Times New Roman" w:hAnsi="Times New Roman" w:cs="Times New Roman" w:hint="eastAsia"/>
          <w:b/>
          <w:bCs/>
        </w:rPr>
        <w:t>The paper does not persuasively explain any new fact (beyond what we can tell based on CPV).</w:t>
      </w:r>
      <w:r w:rsidRPr="00D10643">
        <w:rPr>
          <w:rFonts w:ascii="Times New Roman" w:hAnsi="Times New Roman" w:cs="Times New Roman" w:hint="eastAsia"/>
        </w:rPr>
        <w:t xml:space="preserve"> </w:t>
      </w:r>
      <w:r w:rsidRPr="00D10643">
        <w:rPr>
          <w:rFonts w:ascii="Times New Roman" w:hAnsi="Times New Roman" w:cs="Times New Roman"/>
        </w:rPr>
        <w:t>Given the lack of methodological novelty, the</w:t>
      </w:r>
      <w:r w:rsidRPr="00D10643">
        <w:rPr>
          <w:rFonts w:ascii="Times New Roman" w:hAnsi="Times New Roman" w:cs="Times New Roman" w:hint="eastAsia"/>
        </w:rPr>
        <w:t xml:space="preserve"> </w:t>
      </w:r>
      <w:r w:rsidRPr="00D10643">
        <w:rPr>
          <w:rFonts w:ascii="Times New Roman" w:hAnsi="Times New Roman" w:cs="Times New Roman"/>
        </w:rPr>
        <w:t>paper should be evaluated in terms of how well it explains the motivating facts—</w:t>
      </w:r>
      <w:r w:rsidRPr="00D10643">
        <w:rPr>
          <w:rFonts w:ascii="Times New Roman" w:hAnsi="Times New Roman" w:cs="Times New Roman" w:hint="eastAsia"/>
        </w:rPr>
        <w:t>specifically,</w:t>
      </w:r>
      <w:r w:rsidRPr="00D10643">
        <w:rPr>
          <w:rFonts w:ascii="Times New Roman" w:hAnsi="Times New Roman" w:cs="Times New Roman"/>
        </w:rPr>
        <w:t xml:space="preserve"> the changing bond-stock betas. The paper claims that betas were</w:t>
      </w:r>
      <w:r w:rsidRPr="00D10643">
        <w:rPr>
          <w:rFonts w:ascii="Times New Roman" w:hAnsi="Times New Roman" w:cs="Times New Roman" w:hint="eastAsia"/>
        </w:rPr>
        <w:t xml:space="preserve"> </w:t>
      </w:r>
      <w:r w:rsidRPr="00D10643">
        <w:rPr>
          <w:rFonts w:ascii="Times New Roman" w:hAnsi="Times New Roman" w:cs="Times New Roman"/>
        </w:rPr>
        <w:t>positive in the earlier decades because “supply shocks”</w:t>
      </w:r>
      <w:r w:rsidRPr="00D10643">
        <w:rPr>
          <w:rFonts w:ascii="Times New Roman" w:hAnsi="Times New Roman" w:cs="Times New Roman" w:hint="eastAsia"/>
        </w:rPr>
        <w:t xml:space="preserve"> </w:t>
      </w:r>
      <w:r w:rsidRPr="00D10643">
        <w:rPr>
          <w:rFonts w:ascii="Times New Roman" w:hAnsi="Times New Roman" w:cs="Times New Roman"/>
        </w:rPr>
        <w:t>were more relevant and the</w:t>
      </w:r>
      <w:r w:rsidRPr="00D10643">
        <w:rPr>
          <w:rFonts w:ascii="Times New Roman" w:hAnsi="Times New Roman" w:cs="Times New Roman" w:hint="eastAsia"/>
        </w:rPr>
        <w:t xml:space="preserve"> </w:t>
      </w:r>
      <w:r w:rsidRPr="00D10643">
        <w:rPr>
          <w:rFonts w:ascii="Times New Roman" w:hAnsi="Times New Roman" w:cs="Times New Roman"/>
        </w:rPr>
        <w:t>Fed was more in</w:t>
      </w:r>
      <w:r w:rsidRPr="00D10643">
        <w:rPr>
          <w:rFonts w:ascii="Times New Roman" w:hAnsi="Times New Roman" w:cs="Times New Roman" w:hint="eastAsia"/>
        </w:rPr>
        <w:t>fl</w:t>
      </w:r>
      <w:r w:rsidRPr="00D10643">
        <w:rPr>
          <w:rFonts w:ascii="Times New Roman" w:hAnsi="Times New Roman" w:cs="Times New Roman"/>
        </w:rPr>
        <w:t>ation focused and more alert (less inertial). This explanation is</w:t>
      </w:r>
      <w:r w:rsidRPr="00D10643">
        <w:rPr>
          <w:rFonts w:ascii="Times New Roman" w:hAnsi="Times New Roman" w:cs="Times New Roman" w:hint="eastAsia"/>
        </w:rPr>
        <w:t xml:space="preserve"> </w:t>
      </w:r>
      <w:r w:rsidRPr="00D10643">
        <w:rPr>
          <w:rFonts w:ascii="Times New Roman" w:hAnsi="Times New Roman" w:cs="Times New Roman"/>
        </w:rPr>
        <w:t xml:space="preserve">problematic for </w:t>
      </w:r>
      <w:proofErr w:type="gramStart"/>
      <w:r w:rsidRPr="00D10643">
        <w:rPr>
          <w:rFonts w:ascii="Times New Roman" w:hAnsi="Times New Roman" w:cs="Times New Roman"/>
        </w:rPr>
        <w:t>a number of</w:t>
      </w:r>
      <w:proofErr w:type="gramEnd"/>
      <w:r w:rsidRPr="00D10643">
        <w:rPr>
          <w:rFonts w:ascii="Times New Roman" w:hAnsi="Times New Roman" w:cs="Times New Roman"/>
        </w:rPr>
        <w:t xml:space="preserve"> reasons</w:t>
      </w:r>
      <w:r>
        <w:rPr>
          <w:rFonts w:ascii="Times New Roman" w:hAnsi="Times New Roman" w:cs="Times New Roman" w:hint="eastAsia"/>
        </w:rPr>
        <w:t>:</w:t>
      </w:r>
    </w:p>
    <w:p w14:paraId="6BC1BCC3" w14:textId="0273880B" w:rsidR="008B0CD8" w:rsidRDefault="00E7757A" w:rsidP="008B0CD8">
      <w:pPr>
        <w:widowControl w:val="0"/>
        <w:autoSpaceDE w:val="0"/>
        <w:autoSpaceDN w:val="0"/>
        <w:adjustRightInd w:val="0"/>
        <w:spacing w:before="240" w:after="0" w:line="240" w:lineRule="auto"/>
        <w:ind w:left="274"/>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Th</w:t>
      </w:r>
      <w:r>
        <w:rPr>
          <w:rFonts w:ascii="Times New Roman" w:hAnsi="Times New Roman" w:cs="Times New Roman"/>
          <w:color w:val="0000FF"/>
        </w:rPr>
        <w:t>is</w:t>
      </w:r>
      <w:r w:rsidRPr="00E7757A">
        <w:rPr>
          <w:rFonts w:ascii="Times New Roman" w:hAnsi="Times New Roman" w:cs="Times New Roman"/>
          <w:color w:val="0000FF"/>
        </w:rPr>
        <w:t xml:space="preserve"> paper analyzes a</w:t>
      </w:r>
      <w:r>
        <w:rPr>
          <w:rFonts w:ascii="Times New Roman" w:hAnsi="Times New Roman" w:cs="Times New Roman"/>
          <w:color w:val="0000FF"/>
        </w:rPr>
        <w:t xml:space="preserve"> distinct</w:t>
      </w:r>
      <w:r w:rsidRPr="00E7757A">
        <w:rPr>
          <w:rFonts w:ascii="Times New Roman" w:hAnsi="Times New Roman" w:cs="Times New Roman"/>
          <w:color w:val="0000FF"/>
        </w:rPr>
        <w:t xml:space="preserve"> empirical question</w:t>
      </w:r>
      <w:r>
        <w:rPr>
          <w:rFonts w:ascii="Times New Roman" w:hAnsi="Times New Roman" w:cs="Times New Roman"/>
          <w:color w:val="0000FF"/>
        </w:rPr>
        <w:t xml:space="preserve"> from CPV</w:t>
      </w:r>
      <w:r w:rsidRPr="00E7757A">
        <w:rPr>
          <w:rFonts w:ascii="Times New Roman" w:hAnsi="Times New Roman" w:cs="Times New Roman"/>
          <w:color w:val="0000FF"/>
        </w:rPr>
        <w:t xml:space="preserve">: why didn’t the stock-risk exposures of nominal and real bonds change during the </w:t>
      </w:r>
      <w:r>
        <w:rPr>
          <w:rFonts w:ascii="Times New Roman" w:hAnsi="Times New Roman" w:cs="Times New Roman"/>
          <w:color w:val="0000FF"/>
        </w:rPr>
        <w:t>post-2020</w:t>
      </w:r>
      <w:r w:rsidRPr="00E7757A">
        <w:rPr>
          <w:rFonts w:ascii="Times New Roman" w:hAnsi="Times New Roman" w:cs="Times New Roman"/>
          <w:color w:val="0000FF"/>
        </w:rPr>
        <w:t xml:space="preserve"> spike in inflation, despite perceived similarities with the 1970s and 1980s?</w:t>
      </w:r>
      <w:r>
        <w:rPr>
          <w:rFonts w:ascii="Times New Roman" w:hAnsi="Times New Roman" w:cs="Times New Roman"/>
          <w:color w:val="0000FF"/>
        </w:rPr>
        <w:t xml:space="preserve"> This question is clearly different from CPV (which was published in 2020), and provides a new observation that helps tell apart different stories why bond risks were high during the 1980s. This paper argues that nominal bond-stock betas price whether a supply shock is anticipated to lead a deep recession or, conversely, a “soft landing”, a question that is clearly policy relevant and cannot be answered with only data from the 1980s. </w:t>
      </w:r>
    </w:p>
    <w:p w14:paraId="40F98D03" w14:textId="163549C3" w:rsidR="008B0CD8" w:rsidRPr="008B0CD8" w:rsidRDefault="00A000A9" w:rsidP="00FC1393">
      <w:pPr>
        <w:widowControl w:val="0"/>
        <w:autoSpaceDE w:val="0"/>
        <w:autoSpaceDN w:val="0"/>
        <w:adjustRightInd w:val="0"/>
        <w:spacing w:before="240" w:after="0" w:line="240" w:lineRule="auto"/>
        <w:ind w:left="274"/>
        <w:jc w:val="both"/>
        <w:rPr>
          <w:rFonts w:ascii="Times New Roman" w:hAnsi="Times New Roman" w:cs="Times New Roman"/>
          <w:color w:val="0000FF"/>
        </w:rPr>
      </w:pPr>
      <w:r>
        <w:rPr>
          <w:rFonts w:ascii="Times New Roman" w:hAnsi="Times New Roman" w:cs="Times New Roman"/>
          <w:color w:val="0000FF"/>
        </w:rPr>
        <w:lastRenderedPageBreak/>
        <w:t>Following your feedback, t</w:t>
      </w:r>
      <w:r w:rsidR="008B0CD8">
        <w:rPr>
          <w:rFonts w:ascii="Times New Roman" w:hAnsi="Times New Roman" w:cs="Times New Roman"/>
          <w:color w:val="0000FF"/>
        </w:rPr>
        <w:t xml:space="preserve">he </w:t>
      </w:r>
      <w:r>
        <w:rPr>
          <w:rFonts w:ascii="Times New Roman" w:hAnsi="Times New Roman" w:cs="Times New Roman"/>
          <w:color w:val="0000FF"/>
        </w:rPr>
        <w:t>key new observation that the paper is seeking to explain is now mentioned</w:t>
      </w:r>
      <w:r w:rsidR="008B0CD8">
        <w:rPr>
          <w:rFonts w:ascii="Times New Roman" w:hAnsi="Times New Roman" w:cs="Times New Roman"/>
          <w:color w:val="0000FF"/>
        </w:rPr>
        <w:t xml:space="preserve"> clearly </w:t>
      </w:r>
      <w:r>
        <w:rPr>
          <w:rFonts w:ascii="Times New Roman" w:hAnsi="Times New Roman" w:cs="Times New Roman"/>
          <w:color w:val="0000FF"/>
        </w:rPr>
        <w:t>in the introduction (</w:t>
      </w:r>
      <w:r w:rsidR="008B0CD8" w:rsidRPr="00A000A9">
        <w:rPr>
          <w:rFonts w:ascii="Times New Roman" w:hAnsi="Times New Roman" w:cs="Times New Roman"/>
          <w:b/>
          <w:bCs/>
          <w:color w:val="0000FF"/>
        </w:rPr>
        <w:t>p.1</w:t>
      </w:r>
      <w:r w:rsidRPr="00A000A9">
        <w:rPr>
          <w:rFonts w:ascii="Times New Roman" w:hAnsi="Times New Roman" w:cs="Times New Roman"/>
          <w:b/>
          <w:bCs/>
          <w:color w:val="0000FF"/>
        </w:rPr>
        <w:t>, second sentence of paper</w:t>
      </w:r>
      <w:r>
        <w:rPr>
          <w:rFonts w:ascii="Times New Roman" w:hAnsi="Times New Roman" w:cs="Times New Roman"/>
          <w:color w:val="0000FF"/>
        </w:rPr>
        <w:t xml:space="preserve">). </w:t>
      </w:r>
      <w:r w:rsidR="008B0CD8">
        <w:rPr>
          <w:rFonts w:ascii="Times New Roman" w:hAnsi="Times New Roman" w:cs="Times New Roman"/>
          <w:color w:val="0000FF"/>
        </w:rPr>
        <w:t xml:space="preserve"> </w:t>
      </w:r>
    </w:p>
    <w:p w14:paraId="1B895E5E" w14:textId="4D415424" w:rsidR="00F303D9" w:rsidRPr="00F303D9"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F303D9">
        <w:rPr>
          <w:rFonts w:ascii="Times New Roman" w:hAnsi="Times New Roman" w:cs="Times New Roman"/>
        </w:rPr>
        <w:t>A qualitative reading of history suggests that there were no major “</w:t>
      </w:r>
      <w:r w:rsidRPr="00F303D9">
        <w:rPr>
          <w:rFonts w:ascii="Times New Roman" w:hAnsi="Times New Roman" w:cs="Times New Roman" w:hint="eastAsia"/>
        </w:rPr>
        <w:t>s</w:t>
      </w:r>
      <w:r w:rsidRPr="00F303D9">
        <w:rPr>
          <w:rFonts w:ascii="Times New Roman" w:hAnsi="Times New Roman" w:cs="Times New Roman"/>
        </w:rPr>
        <w:t>upply</w:t>
      </w:r>
      <w:r w:rsidRPr="00F303D9">
        <w:rPr>
          <w:rFonts w:ascii="Times New Roman" w:hAnsi="Times New Roman" w:cs="Times New Roman" w:hint="eastAsia"/>
        </w:rPr>
        <w:t xml:space="preserve"> </w:t>
      </w:r>
      <w:r w:rsidRPr="00F303D9">
        <w:rPr>
          <w:rFonts w:ascii="Times New Roman" w:hAnsi="Times New Roman" w:cs="Times New Roman"/>
        </w:rPr>
        <w:t>shocks” in the 1980s (either empirically or “in investors’</w:t>
      </w:r>
      <w:r w:rsidRPr="00F303D9">
        <w:rPr>
          <w:rFonts w:ascii="Times New Roman" w:hAnsi="Times New Roman" w:cs="Times New Roman" w:hint="eastAsia"/>
        </w:rPr>
        <w:t xml:space="preserve"> </w:t>
      </w:r>
      <w:r w:rsidRPr="00F303D9">
        <w:rPr>
          <w:rFonts w:ascii="Times New Roman" w:hAnsi="Times New Roman" w:cs="Times New Roman"/>
        </w:rPr>
        <w:t>minds”). Supply</w:t>
      </w:r>
      <w:r w:rsidRPr="00F303D9">
        <w:rPr>
          <w:rFonts w:ascii="Times New Roman" w:hAnsi="Times New Roman" w:cs="Times New Roman" w:hint="eastAsia"/>
        </w:rPr>
        <w:t xml:space="preserve"> </w:t>
      </w:r>
      <w:r w:rsidRPr="00F303D9">
        <w:rPr>
          <w:rFonts w:ascii="Times New Roman" w:hAnsi="Times New Roman" w:cs="Times New Roman"/>
        </w:rPr>
        <w:t>shocks were relevant in the 1970s—</w:t>
      </w:r>
      <w:r w:rsidRPr="00F303D9">
        <w:rPr>
          <w:rFonts w:ascii="Times New Roman" w:hAnsi="Times New Roman" w:cs="Times New Roman" w:hint="eastAsia"/>
        </w:rPr>
        <w:t xml:space="preserve">think </w:t>
      </w:r>
      <w:r w:rsidRPr="00F303D9">
        <w:rPr>
          <w:rFonts w:ascii="Times New Roman" w:hAnsi="Times New Roman" w:cs="Times New Roman"/>
        </w:rPr>
        <w:t>oil/food price shocks and associated</w:t>
      </w:r>
      <w:r w:rsidRPr="00F303D9">
        <w:rPr>
          <w:rFonts w:ascii="Times New Roman" w:hAnsi="Times New Roman" w:cs="Times New Roman" w:hint="eastAsia"/>
        </w:rPr>
        <w:t xml:space="preserve"> </w:t>
      </w:r>
      <w:r w:rsidRPr="00F303D9">
        <w:rPr>
          <w:rFonts w:ascii="Times New Roman" w:hAnsi="Times New Roman" w:cs="Times New Roman"/>
        </w:rPr>
        <w:t>recessions. In the 1980s, the main issue was elevated in</w:t>
      </w:r>
      <w:r w:rsidRPr="00F303D9">
        <w:rPr>
          <w:rFonts w:ascii="Times New Roman" w:hAnsi="Times New Roman" w:cs="Times New Roman" w:hint="eastAsia"/>
        </w:rPr>
        <w:t>fl</w:t>
      </w:r>
      <w:r w:rsidRPr="00F303D9">
        <w:rPr>
          <w:rFonts w:ascii="Times New Roman" w:hAnsi="Times New Roman" w:cs="Times New Roman"/>
        </w:rPr>
        <w:t>ation and its persistence (e.g., due to in</w:t>
      </w:r>
      <w:r w:rsidRPr="00F303D9">
        <w:rPr>
          <w:rFonts w:ascii="Times New Roman" w:hAnsi="Times New Roman" w:cs="Times New Roman" w:hint="eastAsia"/>
        </w:rPr>
        <w:t>fl</w:t>
      </w:r>
      <w:r w:rsidRPr="00F303D9">
        <w:rPr>
          <w:rFonts w:ascii="Times New Roman" w:hAnsi="Times New Roman" w:cs="Times New Roman"/>
        </w:rPr>
        <w:t>ation expectations or experience a</w:t>
      </w:r>
      <w:r w:rsidRPr="00F303D9">
        <w:rPr>
          <w:rFonts w:ascii="Times New Roman" w:hAnsi="Times New Roman" w:cs="Times New Roman" w:hint="eastAsia"/>
        </w:rPr>
        <w:t>ff</w:t>
      </w:r>
      <w:r w:rsidRPr="00F303D9">
        <w:rPr>
          <w:rFonts w:ascii="Times New Roman" w:hAnsi="Times New Roman" w:cs="Times New Roman"/>
        </w:rPr>
        <w:t>ecting price-setting</w:t>
      </w:r>
      <w:r w:rsidRPr="00F303D9">
        <w:rPr>
          <w:rFonts w:ascii="Times New Roman" w:hAnsi="Times New Roman" w:cs="Times New Roman" w:hint="eastAsia"/>
        </w:rPr>
        <w:t xml:space="preserve"> </w:t>
      </w:r>
      <w:r w:rsidRPr="00F303D9">
        <w:rPr>
          <w:rFonts w:ascii="Times New Roman" w:hAnsi="Times New Roman" w:cs="Times New Roman"/>
        </w:rPr>
        <w:t>behavior). Chair Volcker hiked rates and generated a recession to reduce in</w:t>
      </w:r>
      <w:r w:rsidRPr="00F303D9">
        <w:rPr>
          <w:rFonts w:ascii="Times New Roman" w:hAnsi="Times New Roman" w:cs="Times New Roman" w:hint="eastAsia"/>
        </w:rPr>
        <w:t>fl</w:t>
      </w:r>
      <w:r w:rsidRPr="00F303D9">
        <w:rPr>
          <w:rFonts w:ascii="Times New Roman" w:hAnsi="Times New Roman" w:cs="Times New Roman"/>
        </w:rPr>
        <w:t>ation. Afterward, there were several “</w:t>
      </w:r>
      <w:r w:rsidRPr="00F303D9">
        <w:rPr>
          <w:rFonts w:ascii="Times New Roman" w:hAnsi="Times New Roman" w:cs="Times New Roman" w:hint="eastAsia"/>
        </w:rPr>
        <w:t>inflation scares</w:t>
      </w:r>
      <w:r w:rsidRPr="00F303D9">
        <w:rPr>
          <w:rFonts w:ascii="Times New Roman" w:hAnsi="Times New Roman" w:cs="Times New Roman"/>
        </w:rPr>
        <w:t>”—</w:t>
      </w:r>
      <w:r w:rsidRPr="00F303D9">
        <w:rPr>
          <w:rFonts w:ascii="Times New Roman" w:hAnsi="Times New Roman" w:cs="Times New Roman" w:hint="eastAsia"/>
        </w:rPr>
        <w:t xml:space="preserve">the </w:t>
      </w:r>
      <w:r w:rsidRPr="00F303D9">
        <w:rPr>
          <w:rFonts w:ascii="Times New Roman" w:hAnsi="Times New Roman" w:cs="Times New Roman"/>
        </w:rPr>
        <w:t>markets were</w:t>
      </w:r>
      <w:r w:rsidRPr="00F303D9">
        <w:rPr>
          <w:rFonts w:ascii="Times New Roman" w:hAnsi="Times New Roman" w:cs="Times New Roman" w:hint="eastAsia"/>
        </w:rPr>
        <w:t xml:space="preserve"> </w:t>
      </w:r>
      <w:r w:rsidRPr="00F303D9">
        <w:rPr>
          <w:rFonts w:ascii="Times New Roman" w:hAnsi="Times New Roman" w:cs="Times New Roman"/>
        </w:rPr>
        <w:t>testing the Fed’s resolve to see whether they are serious about controlling</w:t>
      </w:r>
      <w:r w:rsidRPr="00F303D9">
        <w:rPr>
          <w:rFonts w:ascii="Times New Roman" w:hAnsi="Times New Roman" w:cs="Times New Roman" w:hint="eastAsia"/>
        </w:rPr>
        <w:t xml:space="preserve"> </w:t>
      </w:r>
      <w:r w:rsidRPr="00F303D9">
        <w:rPr>
          <w:rFonts w:ascii="Times New Roman" w:hAnsi="Times New Roman" w:cs="Times New Roman"/>
        </w:rPr>
        <w:t>in</w:t>
      </w:r>
      <w:r w:rsidRPr="00F303D9">
        <w:rPr>
          <w:rFonts w:ascii="Times New Roman" w:hAnsi="Times New Roman" w:cs="Times New Roman" w:hint="eastAsia"/>
        </w:rPr>
        <w:t>fl</w:t>
      </w:r>
      <w:r w:rsidRPr="00F303D9">
        <w:rPr>
          <w:rFonts w:ascii="Times New Roman" w:hAnsi="Times New Roman" w:cs="Times New Roman"/>
        </w:rPr>
        <w:t>ation or whether in</w:t>
      </w:r>
      <w:r w:rsidRPr="00F303D9">
        <w:rPr>
          <w:rFonts w:ascii="Times New Roman" w:hAnsi="Times New Roman" w:cs="Times New Roman" w:hint="eastAsia"/>
        </w:rPr>
        <w:t>fl</w:t>
      </w:r>
      <w:r w:rsidRPr="00F303D9">
        <w:rPr>
          <w:rFonts w:ascii="Times New Roman" w:hAnsi="Times New Roman" w:cs="Times New Roman"/>
        </w:rPr>
        <w:t xml:space="preserve">ation would </w:t>
      </w:r>
      <w:r w:rsidRPr="00F303D9">
        <w:rPr>
          <w:rFonts w:ascii="Times New Roman" w:hAnsi="Times New Roman" w:cs="Times New Roman" w:hint="eastAsia"/>
        </w:rPr>
        <w:t>fl</w:t>
      </w:r>
      <w:r w:rsidRPr="00F303D9">
        <w:rPr>
          <w:rFonts w:ascii="Times New Roman" w:hAnsi="Times New Roman" w:cs="Times New Roman"/>
        </w:rPr>
        <w:t>are up again. Over time, the Fed managed to keep in</w:t>
      </w:r>
      <w:r w:rsidRPr="00F303D9">
        <w:rPr>
          <w:rFonts w:ascii="Times New Roman" w:hAnsi="Times New Roman" w:cs="Times New Roman" w:hint="eastAsia"/>
        </w:rPr>
        <w:t>fl</w:t>
      </w:r>
      <w:r w:rsidRPr="00F303D9">
        <w:rPr>
          <w:rFonts w:ascii="Times New Roman" w:hAnsi="Times New Roman" w:cs="Times New Roman"/>
        </w:rPr>
        <w:t>ation at its implicit target (2%). The Fed eventually gained</w:t>
      </w:r>
      <w:r w:rsidRPr="00F303D9">
        <w:rPr>
          <w:rFonts w:ascii="Times New Roman" w:hAnsi="Times New Roman" w:cs="Times New Roman" w:hint="eastAsia"/>
        </w:rPr>
        <w:t xml:space="preserve"> </w:t>
      </w:r>
      <w:r w:rsidRPr="00F303D9">
        <w:rPr>
          <w:rFonts w:ascii="Times New Roman" w:hAnsi="Times New Roman" w:cs="Times New Roman"/>
        </w:rPr>
        <w:t>credibility and in</w:t>
      </w:r>
      <w:r w:rsidRPr="00F303D9">
        <w:rPr>
          <w:rFonts w:ascii="Times New Roman" w:hAnsi="Times New Roman" w:cs="Times New Roman" w:hint="eastAsia"/>
        </w:rPr>
        <w:t>fl</w:t>
      </w:r>
      <w:r w:rsidRPr="00F303D9">
        <w:rPr>
          <w:rFonts w:ascii="Times New Roman" w:hAnsi="Times New Roman" w:cs="Times New Roman"/>
        </w:rPr>
        <w:t>ation expectations became anchored. This credibility is</w:t>
      </w:r>
      <w:r w:rsidRPr="00F303D9">
        <w:rPr>
          <w:rFonts w:ascii="Times New Roman" w:hAnsi="Times New Roman" w:cs="Times New Roman" w:hint="eastAsia"/>
        </w:rPr>
        <w:t xml:space="preserve"> </w:t>
      </w:r>
      <w:r w:rsidRPr="00F303D9">
        <w:rPr>
          <w:rFonts w:ascii="Times New Roman" w:hAnsi="Times New Roman" w:cs="Times New Roman"/>
        </w:rPr>
        <w:t xml:space="preserve">why (among other things) bond-stock betas eventually turned </w:t>
      </w:r>
      <w:proofErr w:type="spellStart"/>
      <w:proofErr w:type="gramStart"/>
      <w:r w:rsidRPr="00F303D9">
        <w:rPr>
          <w:rFonts w:ascii="Times New Roman" w:hAnsi="Times New Roman" w:cs="Times New Roman"/>
        </w:rPr>
        <w:t>negative.</w:t>
      </w:r>
      <w:r w:rsidR="00A6114B">
        <w:rPr>
          <w:rFonts w:ascii="Times New Roman" w:hAnsi="Times New Roman" w:cs="Times New Roman"/>
        </w:rPr>
        <w:t>This</w:t>
      </w:r>
      <w:proofErr w:type="spellEnd"/>
      <w:proofErr w:type="gramEnd"/>
      <w:r w:rsidR="00A6114B">
        <w:rPr>
          <w:rFonts w:ascii="Times New Roman" w:hAnsi="Times New Roman" w:cs="Times New Roman"/>
        </w:rPr>
        <w:t xml:space="preserve"> </w:t>
      </w:r>
      <w:r>
        <w:rPr>
          <w:rStyle w:val="FootnoteReference"/>
          <w:rFonts w:ascii="Times New Roman" w:hAnsi="Times New Roman" w:cs="Times New Roman"/>
        </w:rPr>
        <w:footnoteReference w:id="2"/>
      </w:r>
      <w:r w:rsidRPr="00F303D9">
        <w:rPr>
          <w:rFonts w:ascii="Times New Roman" w:hAnsi="Times New Roman" w:cs="Times New Roman" w:hint="eastAsia"/>
        </w:rPr>
        <w:t xml:space="preserve"> </w:t>
      </w:r>
    </w:p>
    <w:p w14:paraId="6B103A15" w14:textId="77777777" w:rsidR="00F303D9" w:rsidRDefault="00F303D9"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r w:rsidRPr="00AE5C04">
        <w:rPr>
          <w:rFonts w:ascii="Times New Roman" w:hAnsi="Times New Roman" w:cs="Times New Roman"/>
        </w:rPr>
        <w:br/>
        <w:t>Given this history, what should we make of this paper’s explanation that this</w:t>
      </w:r>
      <w:r w:rsidRPr="00AE5C04">
        <w:rPr>
          <w:rFonts w:ascii="Times New Roman" w:hAnsi="Times New Roman" w:cs="Times New Roman" w:hint="eastAsia"/>
        </w:rPr>
        <w:t xml:space="preserve"> </w:t>
      </w:r>
      <w:r w:rsidRPr="00AE5C04">
        <w:rPr>
          <w:rFonts w:ascii="Times New Roman" w:hAnsi="Times New Roman" w:cs="Times New Roman"/>
        </w:rPr>
        <w:t>period featured dominant “supply shocks”</w:t>
      </w:r>
      <w:r w:rsidRPr="00AE5C04">
        <w:rPr>
          <w:rFonts w:ascii="Times New Roman" w:hAnsi="Times New Roman" w:cs="Times New Roman" w:hint="eastAsia"/>
        </w:rPr>
        <w:t xml:space="preserve"> </w:t>
      </w:r>
      <w:r w:rsidRPr="00AE5C04">
        <w:rPr>
          <w:rFonts w:ascii="Times New Roman" w:hAnsi="Times New Roman" w:cs="Times New Roman"/>
        </w:rPr>
        <w:t>with a fast and in</w:t>
      </w:r>
      <w:r w:rsidRPr="00AE5C04">
        <w:rPr>
          <w:rFonts w:ascii="Times New Roman" w:hAnsi="Times New Roman" w:cs="Times New Roman" w:hint="eastAsia"/>
        </w:rPr>
        <w:t>fl</w:t>
      </w:r>
      <w:r w:rsidRPr="00AE5C04">
        <w:rPr>
          <w:rFonts w:ascii="Times New Roman" w:hAnsi="Times New Roman" w:cs="Times New Roman"/>
        </w:rPr>
        <w:t>ation-focused</w:t>
      </w:r>
      <w:r w:rsidRPr="00AE5C04">
        <w:rPr>
          <w:rFonts w:ascii="Times New Roman" w:hAnsi="Times New Roman" w:cs="Times New Roman" w:hint="eastAsia"/>
        </w:rPr>
        <w:t xml:space="preserve"> </w:t>
      </w:r>
      <w:r w:rsidRPr="00AE5C04">
        <w:rPr>
          <w:rFonts w:ascii="Times New Roman" w:hAnsi="Times New Roman" w:cs="Times New Roman"/>
        </w:rPr>
        <w:t xml:space="preserve">monetary policy? We can </w:t>
      </w:r>
      <w:r w:rsidRPr="00AE5C04">
        <w:rPr>
          <w:rFonts w:ascii="Times New Roman" w:hAnsi="Times New Roman" w:cs="Times New Roman"/>
          <w:i/>
          <w:iCs/>
        </w:rPr>
        <w:t>perhaps</w:t>
      </w:r>
      <w:r w:rsidRPr="00AE5C04">
        <w:rPr>
          <w:rFonts w:ascii="Times New Roman" w:hAnsi="Times New Roman" w:cs="Times New Roman"/>
        </w:rPr>
        <w:t xml:space="preserve"> interpret the supply shocks as an “as-if”</w:t>
      </w:r>
      <w:r w:rsidRPr="00AE5C04">
        <w:rPr>
          <w:rFonts w:ascii="Times New Roman" w:hAnsi="Times New Roman" w:cs="Times New Roman" w:hint="eastAsia"/>
        </w:rPr>
        <w:t xml:space="preserve"> </w:t>
      </w:r>
      <w:r w:rsidRPr="00AE5C04">
        <w:rPr>
          <w:rFonts w:ascii="Times New Roman" w:hAnsi="Times New Roman" w:cs="Times New Roman"/>
        </w:rPr>
        <w:t>modeling device to capture in</w:t>
      </w:r>
      <w:r w:rsidRPr="00AE5C04">
        <w:rPr>
          <w:rFonts w:ascii="Times New Roman" w:hAnsi="Times New Roman" w:cs="Times New Roman" w:hint="eastAsia"/>
        </w:rPr>
        <w:t>fl</w:t>
      </w:r>
      <w:r w:rsidRPr="00AE5C04">
        <w:rPr>
          <w:rFonts w:ascii="Times New Roman" w:hAnsi="Times New Roman" w:cs="Times New Roman"/>
        </w:rPr>
        <w:t>ation scares driven by weak credibility. But we</w:t>
      </w:r>
      <w:r w:rsidRPr="00AE5C04">
        <w:rPr>
          <w:rFonts w:ascii="Times New Roman" w:hAnsi="Times New Roman" w:cs="Times New Roman" w:hint="eastAsia"/>
        </w:rPr>
        <w:t xml:space="preserve"> </w:t>
      </w:r>
      <w:r w:rsidRPr="00AE5C04">
        <w:rPr>
          <w:rFonts w:ascii="Times New Roman" w:hAnsi="Times New Roman" w:cs="Times New Roman"/>
        </w:rPr>
        <w:t>could do a similar interpretation for CPV. This paper’s ambition appears to</w:t>
      </w:r>
      <w:r w:rsidRPr="00AE5C04">
        <w:rPr>
          <w:rFonts w:ascii="Times New Roman" w:hAnsi="Times New Roman" w:cs="Times New Roman" w:hint="eastAsia"/>
        </w:rPr>
        <w:t xml:space="preserve"> </w:t>
      </w:r>
      <w:r w:rsidRPr="00AE5C04">
        <w:rPr>
          <w:rFonts w:ascii="Times New Roman" w:hAnsi="Times New Roman" w:cs="Times New Roman"/>
        </w:rPr>
        <w:t>go deeper than CPV and provide a “structural”</w:t>
      </w:r>
      <w:r w:rsidRPr="00AE5C04">
        <w:rPr>
          <w:rFonts w:ascii="Times New Roman" w:hAnsi="Times New Roman" w:cs="Times New Roman" w:hint="eastAsia"/>
        </w:rPr>
        <w:t xml:space="preserve"> </w:t>
      </w:r>
      <w:r w:rsidRPr="00AE5C04">
        <w:rPr>
          <w:rFonts w:ascii="Times New Roman" w:hAnsi="Times New Roman" w:cs="Times New Roman"/>
        </w:rPr>
        <w:t>interpretation rather than an</w:t>
      </w:r>
      <w:r>
        <w:rPr>
          <w:rFonts w:ascii="Times New Roman" w:hAnsi="Times New Roman" w:cs="Times New Roman" w:hint="eastAsia"/>
        </w:rPr>
        <w:t xml:space="preserve"> </w:t>
      </w:r>
      <w:r w:rsidRPr="00AE5C04">
        <w:rPr>
          <w:rFonts w:ascii="Times New Roman" w:hAnsi="Times New Roman" w:cs="Times New Roman"/>
        </w:rPr>
        <w:t>as-if interpretation. But the structural interpretation does not seem correct.</w:t>
      </w:r>
    </w:p>
    <w:p w14:paraId="1FC2F7BC" w14:textId="77777777" w:rsidR="00FC1393" w:rsidRDefault="00FC1393"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p>
    <w:p w14:paraId="3A67F97A" w14:textId="77777777" w:rsidR="00D95858" w:rsidRDefault="00FC1393" w:rsidP="00D95858">
      <w:pPr>
        <w:widowControl w:val="0"/>
        <w:autoSpaceDE w:val="0"/>
        <w:autoSpaceDN w:val="0"/>
        <w:adjustRightInd w:val="0"/>
        <w:spacing w:after="0" w:line="240" w:lineRule="auto"/>
        <w:ind w:left="360"/>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Pr>
          <w:rFonts w:ascii="Times New Roman" w:hAnsi="Times New Roman" w:cs="Times New Roman"/>
          <w:color w:val="0000FF"/>
        </w:rPr>
        <w:t xml:space="preserve">I revised the paper to provide a much more extensive discussion/defense of the calibration of the first subperiod. </w:t>
      </w:r>
      <w:commentRangeStart w:id="2"/>
      <w:r w:rsidR="00D95858">
        <w:rPr>
          <w:rFonts w:ascii="Times New Roman" w:hAnsi="Times New Roman" w:cs="Times New Roman"/>
          <w:color w:val="0000FF"/>
        </w:rPr>
        <w:t>I</w:t>
      </w:r>
      <w:commentRangeEnd w:id="2"/>
      <w:r w:rsidR="00A476FF">
        <w:rPr>
          <w:rStyle w:val="CommentReference"/>
        </w:rPr>
        <w:commentReference w:id="2"/>
      </w:r>
      <w:r w:rsidR="00D95858">
        <w:rPr>
          <w:rFonts w:ascii="Times New Roman" w:hAnsi="Times New Roman" w:cs="Times New Roman"/>
          <w:color w:val="0000FF"/>
        </w:rPr>
        <w:t xml:space="preserve"> have addressed the issue twofold. First, the revised manuscript includes a much more extensive narrative for why the 1980s and 1990s should be viewed as a period of dominant actual and perceived supply shocks, consistent with my model calibration for the first subperiod. Second, I followed your suggestion to calculate the necessary changes in parameters to explain the bond-stock betas during the 1980s. This second exercise clearly shows that volatile supply shocks are required to explain asset markets during the 1980s using my model. </w:t>
      </w:r>
    </w:p>
    <w:p w14:paraId="41DA9463"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97B7659"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First, the narrative of supply shocks during the 1980s sometimes tends to overlook that supply shocks can be either negative (i.e. reducing output) or positive (i.e. good for output), and in my model only the volatility of these shocks matters but not their sign. While the 1970s were a period of dramatic adverse supply shocks, the 1980s and 1990s featured substantial supply shocks that tended to be positive, such as in 1986 when Saudi Arabia more than doubled its own oil output leading to a dramatic drop in oil prices (Gately, 1986). These shocks were viewed as highly relevant for monetary policy during 1980s and 1990s, as illustrated by the following quote from Greg Mankiw in a </w:t>
      </w:r>
      <w:r w:rsidRPr="00A4499C">
        <w:rPr>
          <w:rFonts w:ascii="Times New Roman" w:hAnsi="Times New Roman" w:cs="Times New Roman"/>
          <w:color w:val="0000FF"/>
        </w:rPr>
        <w:t>Fortune</w:t>
      </w:r>
      <w:r>
        <w:rPr>
          <w:rFonts w:ascii="Times New Roman" w:hAnsi="Times New Roman" w:cs="Times New Roman"/>
          <w:color w:val="0000FF"/>
        </w:rPr>
        <w:t xml:space="preserve"> article from December 1997: </w:t>
      </w:r>
    </w:p>
    <w:p w14:paraId="1078331D"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6E4D9FE5" w14:textId="77777777" w:rsidR="00D95858" w:rsidRPr="00A4499C" w:rsidRDefault="00D95858" w:rsidP="00D95858">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fortunate. Shortly before </w:t>
      </w:r>
      <w:r w:rsidRPr="00713C40">
        <w:rPr>
          <w:rFonts w:ascii="Times New Roman" w:hAnsi="Times New Roman" w:cs="Times New Roman"/>
          <w:color w:val="0000FF"/>
          <w:sz w:val="22"/>
          <w:szCs w:val="22"/>
        </w:rPr>
        <w:lastRenderedPageBreak/>
        <w:t>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32FC1585" w14:textId="77777777" w:rsidR="00D95858" w:rsidRPr="00A4499C" w:rsidRDefault="00D95858" w:rsidP="00D95858">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0BD25694" w14:textId="77777777" w:rsidR="00D95858" w:rsidRPr="00A4499C" w:rsidRDefault="00D95858" w:rsidP="00D95858">
      <w:pPr>
        <w:pStyle w:val="Default"/>
        <w:ind w:left="720" w:firstLine="720"/>
        <w:rPr>
          <w:rFonts w:ascii="Times New Roman" w:hAnsi="Times New Roman" w:cs="Times New Roman"/>
          <w:color w:val="0000FF"/>
          <w:sz w:val="22"/>
          <w:szCs w:val="22"/>
        </w:rPr>
      </w:pPr>
    </w:p>
    <w:p w14:paraId="1F501547"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my first subperiod, and </w:t>
      </w:r>
      <w:proofErr w:type="gramStart"/>
      <w:r>
        <w:rPr>
          <w:rFonts w:ascii="Times New Roman" w:hAnsi="Times New Roman" w:cs="Times New Roman"/>
          <w:color w:val="0000FF"/>
        </w:rPr>
        <w:t>in particular during</w:t>
      </w:r>
      <w:proofErr w:type="gramEnd"/>
      <w:r>
        <w:rPr>
          <w:rFonts w:ascii="Times New Roman" w:hAnsi="Times New Roman" w:cs="Times New Roman"/>
          <w:color w:val="0000FF"/>
        </w:rPr>
        <w:t xml:space="preserve"> the 1990s. The puzzle for economists and policy makers during the 1990s was how the US economy was able to perform so well while inflation remained low. It is immediate that these empirical observations would contribute to the negative empirical inflation-output gap relationship displayed in the top-left panel of Figure 2, and hence to the identification of volatile supply shocks during my first calibration period. Fed Chair Alan Greenspan himself famously attributed the performance of the US economy with low inflation during this period to technology shocks and the “New Economy” in statements such as the following:</w:t>
      </w:r>
    </w:p>
    <w:p w14:paraId="5E4D1065"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D7AD718" w14:textId="77777777" w:rsidR="00D95858" w:rsidRPr="00A4499C" w:rsidRDefault="00D95858" w:rsidP="00D95858">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 contain inflationary tendencies. An ever-increasing share of our nation's workforce uses the tools of new technologies. Microchips embodied in physical capital make it work more efficiently, and sophisticated software adds to intellectual capital.”</w:t>
      </w:r>
    </w:p>
    <w:p w14:paraId="7C9A9CD7" w14:textId="77777777" w:rsidR="00D95858" w:rsidRPr="00A4499C" w:rsidRDefault="00D95858" w:rsidP="00D95858">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(Chairman Alan Greenspan, Semiannual monetary policy report, U.S. Senate July 18, 1996)</w:t>
      </w:r>
    </w:p>
    <w:p w14:paraId="527FDE3D" w14:textId="77777777" w:rsidR="00D95858" w:rsidRDefault="00D95858" w:rsidP="00D95858">
      <w:pPr>
        <w:pStyle w:val="Default"/>
        <w:ind w:left="1080"/>
        <w:rPr>
          <w:rFonts w:ascii="Times New Roman" w:hAnsi="Times New Roman" w:cs="Times New Roman"/>
          <w:color w:val="0000FF"/>
        </w:rPr>
      </w:pPr>
    </w:p>
    <w:p w14:paraId="0E7DA700" w14:textId="7D5F7A99" w:rsidR="00D95858" w:rsidRPr="003623A0" w:rsidRDefault="00F3162F" w:rsidP="00251F6F">
      <w:pPr>
        <w:pStyle w:val="Default"/>
        <w:ind w:left="360"/>
        <w:rPr>
          <w:rFonts w:ascii="Times New Roman" w:hAnsi="Times New Roman" w:cs="Times New Roman"/>
          <w:color w:val="0000FF"/>
          <w:sz w:val="22"/>
          <w:szCs w:val="22"/>
        </w:rPr>
      </w:pPr>
      <w:commentRangeStart w:id="3"/>
      <w:r w:rsidRPr="003623A0">
        <w:rPr>
          <w:rFonts w:ascii="Times New Roman" w:hAnsi="Times New Roman" w:cs="Times New Roman"/>
          <w:color w:val="0000FF"/>
          <w:sz w:val="22"/>
          <w:szCs w:val="22"/>
        </w:rPr>
        <w:t>N</w:t>
      </w:r>
      <w:commentRangeEnd w:id="3"/>
      <w:r w:rsidR="00251F6F" w:rsidRPr="00251F6F">
        <w:rPr>
          <w:rFonts w:ascii="Times New Roman" w:hAnsi="Times New Roman" w:cs="Times New Roman"/>
          <w:color w:val="0000FF"/>
          <w:sz w:val="22"/>
          <w:szCs w:val="22"/>
        </w:rPr>
        <w:commentReference w:id="3"/>
      </w:r>
      <w:r w:rsidRPr="003623A0">
        <w:rPr>
          <w:rFonts w:ascii="Times New Roman" w:hAnsi="Times New Roman" w:cs="Times New Roman"/>
          <w:color w:val="0000FF"/>
          <w:sz w:val="22"/>
          <w:szCs w:val="22"/>
        </w:rPr>
        <w:t>ot all supply shocks during the 1980s and 1990s were positive</w:t>
      </w:r>
      <w:r>
        <w:rPr>
          <w:rFonts w:ascii="Times New Roman" w:hAnsi="Times New Roman" w:cs="Times New Roman"/>
          <w:color w:val="0000FF"/>
          <w:sz w:val="22"/>
          <w:szCs w:val="22"/>
        </w:rPr>
        <w:t xml:space="preserve">. As mentioned by the AE, the paper by </w:t>
      </w:r>
      <w:r w:rsidRPr="003623A0">
        <w:rPr>
          <w:rFonts w:ascii="Times New Roman" w:hAnsi="Times New Roman" w:cs="Times New Roman"/>
          <w:color w:val="0000FF"/>
          <w:sz w:val="22"/>
          <w:szCs w:val="22"/>
        </w:rPr>
        <w:t xml:space="preserve">Goodfriend (2007) </w:t>
      </w:r>
      <w:r>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w:t>
      </w:r>
      <w:r w:rsidR="00A476FF">
        <w:rPr>
          <w:rFonts w:ascii="Times New Roman" w:hAnsi="Times New Roman" w:cs="Times New Roman"/>
          <w:color w:val="0000FF"/>
          <w:sz w:val="22"/>
          <w:szCs w:val="22"/>
        </w:rPr>
        <w:t>My read</w:t>
      </w:r>
      <w:r>
        <w:rPr>
          <w:rFonts w:ascii="Times New Roman" w:hAnsi="Times New Roman" w:cs="Times New Roman"/>
          <w:color w:val="0000FF"/>
          <w:sz w:val="22"/>
          <w:szCs w:val="22"/>
        </w:rPr>
        <w:t>ing</w:t>
      </w:r>
      <w:r w:rsidR="00A476FF">
        <w:rPr>
          <w:rFonts w:ascii="Times New Roman" w:hAnsi="Times New Roman" w:cs="Times New Roman"/>
          <w:color w:val="0000FF"/>
          <w:sz w:val="22"/>
          <w:szCs w:val="22"/>
        </w:rPr>
        <w:t xml:space="preserve"> of Goodfriend (2007) is </w:t>
      </w:r>
      <w:r w:rsidR="00A476FF" w:rsidRPr="00251F6F">
        <w:rPr>
          <w:rFonts w:ascii="Times New Roman" w:hAnsi="Times New Roman" w:cs="Times New Roman"/>
          <w:color w:val="0000FF"/>
          <w:sz w:val="22"/>
          <w:szCs w:val="22"/>
        </w:rPr>
        <w:t xml:space="preserve">that it </w:t>
      </w:r>
      <w:r w:rsidRPr="00251F6F">
        <w:rPr>
          <w:rFonts w:ascii="Times New Roman" w:hAnsi="Times New Roman" w:cs="Times New Roman"/>
          <w:color w:val="0000FF"/>
          <w:sz w:val="22"/>
          <w:szCs w:val="22"/>
        </w:rPr>
        <w:t>really is focused on developments in monetary policy</w:t>
      </w:r>
      <w:r w:rsidR="00A476FF" w:rsidRPr="00251F6F">
        <w:rPr>
          <w:rFonts w:ascii="Times New Roman" w:hAnsi="Times New Roman" w:cs="Times New Roman"/>
          <w:color w:val="0000FF"/>
          <w:sz w:val="22"/>
          <w:szCs w:val="22"/>
        </w:rPr>
        <w:t xml:space="preserve"> </w:t>
      </w:r>
      <w:r w:rsidR="00A476FF">
        <w:rPr>
          <w:rFonts w:ascii="Times New Roman" w:hAnsi="Times New Roman" w:cs="Times New Roman"/>
          <w:color w:val="0000FF"/>
          <w:sz w:val="22"/>
          <w:szCs w:val="22"/>
        </w:rPr>
        <w:t>(hence the title”</w:t>
      </w:r>
      <w:r w:rsidR="00A476FF" w:rsidRPr="00A476FF">
        <w:rPr>
          <w:rFonts w:ascii="Times New Roman" w:hAnsi="Times New Roman" w:cs="Times New Roman"/>
          <w:color w:val="0000FF"/>
          <w:sz w:val="22"/>
          <w:szCs w:val="22"/>
        </w:rPr>
        <w:t xml:space="preserve"> How the World Achieved Consensus on</w:t>
      </w:r>
      <w:r w:rsidR="00D719A4" w:rsidRPr="00251F6F">
        <w:rPr>
          <w:rFonts w:ascii="Times New Roman" w:hAnsi="Times New Roman" w:cs="Times New Roman"/>
          <w:color w:val="0000FF"/>
          <w:sz w:val="22"/>
          <w:szCs w:val="22"/>
        </w:rPr>
        <w:t xml:space="preserve"> </w:t>
      </w:r>
      <w:r w:rsidR="00A476FF" w:rsidRPr="00A476FF">
        <w:rPr>
          <w:rFonts w:ascii="Times New Roman" w:hAnsi="Times New Roman" w:cs="Times New Roman"/>
          <w:color w:val="0000FF"/>
          <w:sz w:val="22"/>
          <w:szCs w:val="22"/>
        </w:rPr>
        <w:t xml:space="preserve">Monetary Policy”). Consistent </w:t>
      </w:r>
      <w:r w:rsidR="00D95858" w:rsidRPr="003623A0">
        <w:rPr>
          <w:rFonts w:ascii="Times New Roman" w:hAnsi="Times New Roman" w:cs="Times New Roman"/>
          <w:color w:val="0000FF"/>
          <w:sz w:val="22"/>
          <w:szCs w:val="22"/>
        </w:rPr>
        <w:t xml:space="preserve">with my break date, Goodfriend (2007) argues that the late 1990s represented a significant break in monetary policy towards a “new consensus”. I therefore view </w:t>
      </w:r>
      <w:r w:rsidR="00A476FF">
        <w:rPr>
          <w:rFonts w:ascii="Times New Roman" w:hAnsi="Times New Roman" w:cs="Times New Roman"/>
          <w:color w:val="0000FF"/>
          <w:sz w:val="22"/>
          <w:szCs w:val="22"/>
        </w:rPr>
        <w:t>Goodfriend (2007)’s</w:t>
      </w:r>
      <w:r w:rsidR="00D95858">
        <w:rPr>
          <w:rFonts w:ascii="Times New Roman" w:hAnsi="Times New Roman" w:cs="Times New Roman"/>
          <w:color w:val="0000FF"/>
          <w:sz w:val="22"/>
          <w:szCs w:val="22"/>
        </w:rPr>
        <w:t xml:space="preserve"> </w:t>
      </w:r>
      <w:r w:rsidR="00D95858" w:rsidRPr="003623A0">
        <w:rPr>
          <w:rFonts w:ascii="Times New Roman" w:hAnsi="Times New Roman" w:cs="Times New Roman"/>
          <w:color w:val="0000FF"/>
          <w:sz w:val="22"/>
          <w:szCs w:val="22"/>
        </w:rPr>
        <w:t xml:space="preserve">insightful account of US monetary policy as </w:t>
      </w:r>
      <w:r w:rsidR="00D95858">
        <w:rPr>
          <w:rFonts w:ascii="Times New Roman" w:hAnsi="Times New Roman" w:cs="Times New Roman"/>
          <w:color w:val="0000FF"/>
          <w:sz w:val="22"/>
          <w:szCs w:val="22"/>
        </w:rPr>
        <w:t>supportive of the break date used in this manuscript.</w:t>
      </w:r>
      <w:r w:rsidR="00D95858" w:rsidRPr="003623A0">
        <w:rPr>
          <w:rFonts w:ascii="Times New Roman" w:hAnsi="Times New Roman" w:cs="Times New Roman"/>
          <w:color w:val="0000FF"/>
          <w:sz w:val="22"/>
          <w:szCs w:val="22"/>
        </w:rPr>
        <w:t xml:space="preserve"> </w:t>
      </w:r>
    </w:p>
    <w:p w14:paraId="057C6081"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0F8EDC81"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I also added a simple quantification for the perceived relevance of supply shocks across the decades using newspaper counts to the revised manuscript. The results are shown in the new Appendix Figure A1, reproduced below for your convenience. This figure shows for each decade the number of Wall Street Journal articles mentioning both “supply” and “inflation”, scaled by the number of articles mentioning “inflation”. This new analysis shows that the share of supply mentions peaked in the 1980s, and was lower before and after, reaching a trough during the decade of the 2010s.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w:t>
      </w:r>
      <w:proofErr w:type="gramStart"/>
      <w:r>
        <w:rPr>
          <w:rFonts w:ascii="Times New Roman" w:hAnsi="Times New Roman" w:cs="Times New Roman"/>
          <w:color w:val="0000FF"/>
        </w:rPr>
        <w:t>similar to</w:t>
      </w:r>
      <w:proofErr w:type="gramEnd"/>
      <w:r>
        <w:rPr>
          <w:rFonts w:ascii="Times New Roman" w:hAnsi="Times New Roman" w:cs="Times New Roman"/>
          <w:color w:val="0000FF"/>
        </w:rPr>
        <w:t xml:space="preserve"> the level last observed during the 1980s. Overall, this analysis based on newspaper counts further supports the notion that the public and investors were highly attuned to macroeconomic supply shocks during the 1980s and the post-pandemic period after 2020. </w:t>
      </w:r>
    </w:p>
    <w:p w14:paraId="76ADF7B5"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lastRenderedPageBreak/>
        <w:drawing>
          <wp:inline distT="0" distB="0" distL="0" distR="0" wp14:anchorId="1A98F24C" wp14:editId="78941038">
            <wp:extent cx="5943600" cy="4556125"/>
            <wp:effectExtent l="0" t="0" r="0" b="0"/>
            <wp:docPr id="847288017"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179" name="Picture 2" descr="A graph with blue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0B04D976" w14:textId="77777777" w:rsidR="00D95858" w:rsidRDefault="00D95858" w:rsidP="00D95858">
      <w:pPr>
        <w:autoSpaceDE w:val="0"/>
        <w:autoSpaceDN w:val="0"/>
        <w:adjustRightInd w:val="0"/>
        <w:spacing w:after="0" w:line="240" w:lineRule="auto"/>
      </w:pPr>
      <w:r>
        <w:rPr>
          <w:rFonts w:ascii="Times New Roman" w:hAnsi="Times New Roman" w:cs="Times New Roman"/>
          <w:color w:val="0000FF"/>
        </w:rPr>
        <w:t xml:space="preserve">The revised manuscript discusses these anecdotes of 1980s and 1990s supply shocks prominently in a new paragraph in the introduction </w:t>
      </w:r>
      <w:r w:rsidRPr="00662D76">
        <w:rPr>
          <w:rFonts w:ascii="Times New Roman" w:hAnsi="Times New Roman" w:cs="Times New Roman"/>
          <w:b/>
          <w:bCs/>
          <w:color w:val="0000FF"/>
        </w:rPr>
        <w:t>(</w:t>
      </w:r>
      <w:r>
        <w:rPr>
          <w:rFonts w:ascii="Times New Roman" w:hAnsi="Times New Roman" w:cs="Times New Roman"/>
          <w:b/>
          <w:bCs/>
          <w:color w:val="0000FF"/>
        </w:rPr>
        <w:t xml:space="preserve">see p.3, paragraph starting </w:t>
      </w:r>
      <w:r w:rsidRPr="0078498D">
        <w:rPr>
          <w:rFonts w:ascii="Times New Roman" w:hAnsi="Times New Roman" w:cs="Times New Roman"/>
          <w:b/>
          <w:bCs/>
          <w:color w:val="0000FF"/>
        </w:rPr>
        <w:t>“</w:t>
      </w:r>
      <w:r w:rsidRPr="00A06F7B">
        <w:rPr>
          <w:rFonts w:ascii="Times New Roman" w:hAnsi="Times New Roman" w:cs="Times New Roman"/>
          <w:b/>
          <w:bCs/>
          <w:color w:val="0000FF"/>
        </w:rPr>
        <w:t>The calibrated changes in the monetary policy rule and the nature of macroeconomic shocks are consistent with anecdotal evidence…”</w:t>
      </w:r>
      <w:r w:rsidRPr="0078498D">
        <w:rPr>
          <w:rFonts w:ascii="Times New Roman" w:hAnsi="Times New Roman" w:cs="Times New Roman"/>
          <w:b/>
          <w:bCs/>
          <w:color w:val="0000FF"/>
        </w:rPr>
        <w:t>)</w:t>
      </w:r>
      <w:r>
        <w:rPr>
          <w:rFonts w:ascii="Times New Roman" w:hAnsi="Times New Roman" w:cs="Times New Roman"/>
          <w:color w:val="0000FF"/>
        </w:rPr>
        <w:t xml:space="preserve">, and in the </w:t>
      </w:r>
      <w:r w:rsidRPr="00A06F7B">
        <w:rPr>
          <w:rFonts w:ascii="Times New Roman" w:hAnsi="Times New Roman" w:cs="Times New Roman"/>
          <w:b/>
          <w:bCs/>
          <w:color w:val="0000FF"/>
        </w:rPr>
        <w:t>new footnote 4 on p.3.</w:t>
      </w:r>
      <w:r>
        <w:rPr>
          <w:rFonts w:ascii="Times New Roman" w:hAnsi="Times New Roman" w:cs="Times New Roman"/>
          <w:color w:val="0000FF"/>
        </w:rPr>
        <w:t xml:space="preserve">  I also revised the discussion of the calibration </w:t>
      </w:r>
      <w:r>
        <w:rPr>
          <w:rFonts w:ascii="Times New Roman" w:hAnsi="Times New Roman" w:cs="Times New Roman"/>
          <w:b/>
          <w:bCs/>
          <w:color w:val="0000FF"/>
        </w:rPr>
        <w:t>(see p.20, the two paragraphs starting “</w:t>
      </w:r>
      <w:r w:rsidRPr="00662D76">
        <w:rPr>
          <w:rFonts w:ascii="Times New Roman" w:hAnsi="Times New Roman" w:cs="Times New Roman"/>
          <w:b/>
          <w:bCs/>
          <w:color w:val="0000FF"/>
        </w:rPr>
        <w:t xml:space="preserve">The top-left plot in Figure </w:t>
      </w:r>
      <w:r>
        <w:rPr>
          <w:rFonts w:ascii="Times New Roman" w:hAnsi="Times New Roman" w:cs="Times New Roman"/>
          <w:b/>
          <w:bCs/>
          <w:color w:val="0000FF"/>
        </w:rPr>
        <w:t xml:space="preserve">2, </w:t>
      </w:r>
      <w:r w:rsidRPr="00662D76">
        <w:rPr>
          <w:rFonts w:ascii="Times New Roman" w:hAnsi="Times New Roman" w:cs="Times New Roman"/>
          <w:b/>
          <w:bCs/>
          <w:color w:val="0000FF"/>
        </w:rPr>
        <w:t xml:space="preserve">Panel A shows </w:t>
      </w:r>
      <w:proofErr w:type="gramStart"/>
      <w:r w:rsidRPr="00662D76">
        <w:rPr>
          <w:rFonts w:ascii="Times New Roman" w:hAnsi="Times New Roman" w:cs="Times New Roman"/>
          <w:b/>
          <w:bCs/>
          <w:color w:val="0000FF"/>
        </w:rPr>
        <w:t>that..</w:t>
      </w:r>
      <w:proofErr w:type="gramEnd"/>
      <w:r w:rsidRPr="00662D76">
        <w:rPr>
          <w:rFonts w:ascii="Times New Roman" w:hAnsi="Times New Roman" w:cs="Times New Roman"/>
          <w:b/>
          <w:bCs/>
          <w:color w:val="0000FF"/>
        </w:rPr>
        <w:t xml:space="preserve">” </w:t>
      </w:r>
      <w:r w:rsidRPr="00141F18">
        <w:rPr>
          <w:rFonts w:ascii="Times New Roman" w:hAnsi="Times New Roman" w:cs="Times New Roman"/>
          <w:color w:val="0000FF"/>
        </w:rPr>
        <w:t>and the</w:t>
      </w:r>
      <w:r>
        <w:rPr>
          <w:rFonts w:ascii="Times New Roman" w:hAnsi="Times New Roman" w:cs="Times New Roman"/>
          <w:b/>
          <w:bCs/>
          <w:color w:val="0000FF"/>
        </w:rPr>
        <w:t xml:space="preserve"> new </w:t>
      </w:r>
      <w:r w:rsidRPr="00662D76">
        <w:rPr>
          <w:rFonts w:ascii="Times New Roman" w:hAnsi="Times New Roman" w:cs="Times New Roman"/>
          <w:b/>
          <w:bCs/>
          <w:color w:val="0000FF"/>
        </w:rPr>
        <w:t>footnote 14 on the same page).</w:t>
      </w:r>
      <w:r>
        <w:t xml:space="preserve"> </w:t>
      </w:r>
    </w:p>
    <w:p w14:paraId="4416FFDF" w14:textId="77777777" w:rsidR="00DD1DD0" w:rsidRDefault="00DD1DD0" w:rsidP="00D95858">
      <w:pPr>
        <w:autoSpaceDE w:val="0"/>
        <w:autoSpaceDN w:val="0"/>
        <w:adjustRightInd w:val="0"/>
        <w:spacing w:after="0" w:line="240" w:lineRule="auto"/>
      </w:pPr>
    </w:p>
    <w:p w14:paraId="24DB865A" w14:textId="7D9F9A20" w:rsidR="00F303D9" w:rsidRPr="00DD1DD0" w:rsidRDefault="00DD1DD0" w:rsidP="00DD1DD0">
      <w:pPr>
        <w:autoSpaceDE w:val="0"/>
        <w:autoSpaceDN w:val="0"/>
        <w:adjustRightInd w:val="0"/>
        <w:spacing w:after="0" w:line="240" w:lineRule="auto"/>
        <w:rPr>
          <w:rFonts w:ascii="Times New Roman" w:hAnsi="Times New Roman" w:cs="Times New Roman"/>
          <w:color w:val="0000FF"/>
        </w:rPr>
      </w:pPr>
      <w:r w:rsidRPr="00DD1DD0">
        <w:rPr>
          <w:rFonts w:ascii="Times New Roman" w:hAnsi="Times New Roman" w:cs="Times New Roman"/>
          <w:color w:val="0000FF"/>
          <w:highlight w:val="yellow"/>
        </w:rPr>
        <w:t>[CP 10/30/2024: Discuss exercise backing out supply shock vols from model once available.</w:t>
      </w:r>
      <w:r w:rsidR="00176545">
        <w:rPr>
          <w:rFonts w:ascii="Times New Roman" w:hAnsi="Times New Roman" w:cs="Times New Roman"/>
          <w:color w:val="0000FF"/>
          <w:highlight w:val="yellow"/>
        </w:rPr>
        <w:t xml:space="preserve"> Move current Figure 8 to appendix?</w:t>
      </w:r>
      <w:r w:rsidRPr="00DD1DD0">
        <w:rPr>
          <w:rFonts w:ascii="Times New Roman" w:hAnsi="Times New Roman" w:cs="Times New Roman"/>
          <w:color w:val="0000FF"/>
          <w:highlight w:val="yellow"/>
        </w:rPr>
        <w:t>]</w:t>
      </w:r>
    </w:p>
    <w:p w14:paraId="0E1EA850" w14:textId="68912F96" w:rsidR="00F303D9" w:rsidRPr="00A47183"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A47183">
        <w:rPr>
          <w:rFonts w:ascii="Times New Roman" w:hAnsi="Times New Roman" w:cs="Times New Roman" w:hint="eastAsia"/>
        </w:rPr>
        <w:t xml:space="preserve">A similar qualitative look at the recent decades suggests the Fed is not less focused on inflation and it is not more inertial, compared to the 1980s. </w:t>
      </w:r>
      <w:r w:rsidRPr="00A47183">
        <w:rPr>
          <w:rFonts w:ascii="Times New Roman" w:hAnsi="Times New Roman" w:cs="Times New Roman"/>
        </w:rPr>
        <w:t>As I</w:t>
      </w:r>
      <w:r w:rsidRPr="00A47183">
        <w:rPr>
          <w:rFonts w:ascii="Times New Roman" w:hAnsi="Times New Roman" w:cs="Times New Roman" w:hint="eastAsia"/>
        </w:rPr>
        <w:t xml:space="preserve"> </w:t>
      </w:r>
      <w:r w:rsidRPr="00A47183">
        <w:rPr>
          <w:rFonts w:ascii="Times New Roman" w:hAnsi="Times New Roman" w:cs="Times New Roman"/>
        </w:rPr>
        <w:t>already mentioned, the Fed managed to keep in</w:t>
      </w:r>
      <w:r w:rsidRPr="00A47183">
        <w:rPr>
          <w:rFonts w:ascii="Times New Roman" w:hAnsi="Times New Roman" w:cs="Times New Roman" w:hint="eastAsia"/>
        </w:rPr>
        <w:t>fl</w:t>
      </w:r>
      <w:r w:rsidRPr="00A47183">
        <w:rPr>
          <w:rFonts w:ascii="Times New Roman" w:hAnsi="Times New Roman" w:cs="Times New Roman"/>
        </w:rPr>
        <w:t>ation around 2% for decades</w:t>
      </w:r>
      <w:r w:rsidRPr="00A47183">
        <w:rPr>
          <w:rFonts w:ascii="Times New Roman" w:hAnsi="Times New Roman" w:cs="Times New Roman" w:hint="eastAsia"/>
        </w:rPr>
        <w:t xml:space="preserve"> </w:t>
      </w:r>
      <w:r w:rsidRPr="00A47183">
        <w:rPr>
          <w:rFonts w:ascii="Times New Roman" w:hAnsi="Times New Roman" w:cs="Times New Roman"/>
        </w:rPr>
        <w:t>until the Covid-19 shock. In</w:t>
      </w:r>
      <w:r w:rsidRPr="00A47183">
        <w:rPr>
          <w:rFonts w:ascii="Times New Roman" w:hAnsi="Times New Roman" w:cs="Times New Roman" w:hint="eastAsia"/>
        </w:rPr>
        <w:t>fl</w:t>
      </w:r>
      <w:r w:rsidRPr="00A47183">
        <w:rPr>
          <w:rFonts w:ascii="Times New Roman" w:hAnsi="Times New Roman" w:cs="Times New Roman"/>
        </w:rPr>
        <w:t xml:space="preserve">ation </w:t>
      </w:r>
      <w:r w:rsidRPr="00A47183">
        <w:rPr>
          <w:rFonts w:ascii="Times New Roman" w:hAnsi="Times New Roman" w:cs="Times New Roman" w:hint="eastAsia"/>
        </w:rPr>
        <w:t>fl</w:t>
      </w:r>
      <w:r w:rsidRPr="00A47183">
        <w:rPr>
          <w:rFonts w:ascii="Times New Roman" w:hAnsi="Times New Roman" w:cs="Times New Roman"/>
        </w:rPr>
        <w:t>ared up recently, but that is because</w:t>
      </w:r>
      <w:r w:rsidRPr="00A47183">
        <w:rPr>
          <w:rFonts w:ascii="Times New Roman" w:hAnsi="Times New Roman" w:cs="Times New Roman" w:hint="eastAsia"/>
        </w:rPr>
        <w:t xml:space="preserve"> </w:t>
      </w:r>
      <w:r w:rsidRPr="00A47183">
        <w:rPr>
          <w:rFonts w:ascii="Times New Roman" w:hAnsi="Times New Roman" w:cs="Times New Roman"/>
        </w:rPr>
        <w:t>Covid-19 was a large and unusual supply shock. The Fed made a mistake</w:t>
      </w:r>
      <w:r w:rsidRPr="00A47183">
        <w:rPr>
          <w:rFonts w:ascii="Times New Roman" w:hAnsi="Times New Roman" w:cs="Times New Roman" w:hint="eastAsia"/>
        </w:rPr>
        <w:t xml:space="preserve"> </w:t>
      </w:r>
      <w:r w:rsidRPr="00A47183">
        <w:rPr>
          <w:rFonts w:ascii="Times New Roman" w:hAnsi="Times New Roman" w:cs="Times New Roman"/>
        </w:rPr>
        <w:t>in thinking that this shock was more transitory than it was (the markets</w:t>
      </w:r>
      <w:r w:rsidRPr="00A47183">
        <w:rPr>
          <w:rFonts w:ascii="Times New Roman" w:hAnsi="Times New Roman" w:cs="Times New Roman" w:hint="eastAsia"/>
        </w:rPr>
        <w:t xml:space="preserve"> </w:t>
      </w:r>
      <w:r w:rsidRPr="00A47183">
        <w:rPr>
          <w:rFonts w:ascii="Times New Roman" w:hAnsi="Times New Roman" w:cs="Times New Roman"/>
        </w:rPr>
        <w:t>made the same mistake throughout 2021). There is no evidence that the</w:t>
      </w:r>
      <w:r w:rsidRPr="00A47183">
        <w:rPr>
          <w:rFonts w:ascii="Times New Roman" w:hAnsi="Times New Roman" w:cs="Times New Roman" w:hint="eastAsia"/>
        </w:rPr>
        <w:t xml:space="preserve"> </w:t>
      </w:r>
      <w:r w:rsidRPr="00A47183">
        <w:rPr>
          <w:rFonts w:ascii="Times New Roman" w:hAnsi="Times New Roman" w:cs="Times New Roman"/>
        </w:rPr>
        <w:t>Fed was less in</w:t>
      </w:r>
      <w:r w:rsidRPr="00A47183">
        <w:rPr>
          <w:rFonts w:ascii="Times New Roman" w:hAnsi="Times New Roman" w:cs="Times New Roman" w:hint="eastAsia"/>
        </w:rPr>
        <w:t>fl</w:t>
      </w:r>
      <w:r w:rsidRPr="00A47183">
        <w:rPr>
          <w:rFonts w:ascii="Times New Roman" w:hAnsi="Times New Roman" w:cs="Times New Roman"/>
        </w:rPr>
        <w:t>ation focused or less inertial. In fact, once the Fed realized</w:t>
      </w:r>
      <w:r w:rsidRPr="00A47183">
        <w:rPr>
          <w:rFonts w:ascii="Times New Roman" w:hAnsi="Times New Roman" w:cs="Times New Roman" w:hint="eastAsia"/>
        </w:rPr>
        <w:t xml:space="preserve"> </w:t>
      </w:r>
      <w:r w:rsidRPr="00A47183">
        <w:rPr>
          <w:rFonts w:ascii="Times New Roman" w:hAnsi="Times New Roman" w:cs="Times New Roman"/>
        </w:rPr>
        <w:t>its mistake, it quickly reversed course and started a very aggressive hiking</w:t>
      </w:r>
      <w:r w:rsidRPr="00A47183">
        <w:rPr>
          <w:rFonts w:ascii="Times New Roman" w:hAnsi="Times New Roman" w:cs="Times New Roman" w:hint="eastAsia"/>
        </w:rPr>
        <w:t xml:space="preserve"> campaign: raising interest rates by 500 basis </w:t>
      </w:r>
      <w:r w:rsidRPr="00A47183">
        <w:rPr>
          <w:rFonts w:ascii="Times New Roman" w:hAnsi="Times New Roman" w:cs="Times New Roman" w:hint="eastAsia"/>
        </w:rPr>
        <w:lastRenderedPageBreak/>
        <w:t xml:space="preserve">points in one year. This seems like </w:t>
      </w:r>
      <w:r w:rsidRPr="00A47183">
        <w:rPr>
          <w:rFonts w:ascii="Times New Roman" w:hAnsi="Times New Roman" w:cs="Times New Roman" w:hint="eastAsia"/>
          <w:i/>
          <w:iCs/>
        </w:rPr>
        <w:t>the opposite</w:t>
      </w:r>
      <w:r w:rsidRPr="00A47183">
        <w:rPr>
          <w:rFonts w:ascii="Times New Roman" w:hAnsi="Times New Roman" w:cs="Times New Roman" w:hint="eastAsia"/>
        </w:rPr>
        <w:t xml:space="preserve"> of an inertial central bank.</w:t>
      </w:r>
    </w:p>
    <w:p w14:paraId="5A1A70A6" w14:textId="3F3EF5A5" w:rsidR="00F303D9" w:rsidRDefault="00F303D9" w:rsidP="00DD71CF">
      <w:pPr>
        <w:adjustRightInd w:val="0"/>
        <w:spacing w:before="240" w:after="0" w:line="240" w:lineRule="auto"/>
        <w:rPr>
          <w:rFonts w:ascii="Times New Roman" w:hAnsi="Times New Roman" w:cs="Times New Roman"/>
        </w:rPr>
      </w:pPr>
      <w:r w:rsidRPr="00A47183">
        <w:rPr>
          <w:rFonts w:ascii="Times New Roman" w:hAnsi="Times New Roman" w:cs="Times New Roman" w:hint="eastAsia"/>
        </w:rPr>
        <w:t xml:space="preserve">In terms of the behavior of inflation </w:t>
      </w:r>
      <w:r w:rsidRPr="00A47183">
        <w:rPr>
          <w:rFonts w:ascii="Times New Roman" w:hAnsi="Times New Roman" w:cs="Times New Roman"/>
        </w:rPr>
        <w:t>expectations and stock-bond betas in the Covid-19 cycle, there is a simpler explanation than what this paper proposes. The Fed has</w:t>
      </w:r>
      <w:r w:rsidRPr="00A47183">
        <w:rPr>
          <w:rFonts w:ascii="Times New Roman" w:hAnsi="Times New Roman" w:cs="Times New Roman" w:hint="eastAsia"/>
        </w:rPr>
        <w:t xml:space="preserve"> </w:t>
      </w:r>
      <w:r w:rsidRPr="00A47183">
        <w:rPr>
          <w:rFonts w:ascii="Times New Roman" w:hAnsi="Times New Roman" w:cs="Times New Roman"/>
        </w:rPr>
        <w:t xml:space="preserve">gained </w:t>
      </w:r>
      <w:proofErr w:type="gramStart"/>
      <w:r w:rsidRPr="00A47183">
        <w:rPr>
          <w:rFonts w:ascii="Times New Roman" w:hAnsi="Times New Roman" w:cs="Times New Roman"/>
        </w:rPr>
        <w:t>credibility</w:t>
      </w:r>
      <w:proofErr w:type="gramEnd"/>
      <w:r w:rsidRPr="00A47183">
        <w:rPr>
          <w:rFonts w:ascii="Times New Roman" w:hAnsi="Times New Roman" w:cs="Times New Roman"/>
        </w:rPr>
        <w:t xml:space="preserve"> so in</w:t>
      </w:r>
      <w:r w:rsidRPr="00A47183">
        <w:rPr>
          <w:rFonts w:ascii="Times New Roman" w:hAnsi="Times New Roman" w:cs="Times New Roman" w:hint="eastAsia"/>
        </w:rPr>
        <w:t>fl</w:t>
      </w:r>
      <w:r w:rsidRPr="00A47183">
        <w:rPr>
          <w:rFonts w:ascii="Times New Roman" w:hAnsi="Times New Roman" w:cs="Times New Roman"/>
        </w:rPr>
        <w:t>ation expectations have not changed very much (beyond a few</w:t>
      </w:r>
      <w:r w:rsidRPr="00A47183">
        <w:rPr>
          <w:rFonts w:ascii="Times New Roman" w:hAnsi="Times New Roman" w:cs="Times New Roman" w:hint="eastAsia"/>
        </w:rPr>
        <w:t xml:space="preserve"> </w:t>
      </w:r>
      <w:r w:rsidRPr="00A47183">
        <w:rPr>
          <w:rFonts w:ascii="Times New Roman" w:hAnsi="Times New Roman" w:cs="Times New Roman"/>
        </w:rPr>
        <w:t>years). At the same time, because of large macroeconomic shocks (both supply and</w:t>
      </w:r>
      <w:r w:rsidRPr="00A47183">
        <w:rPr>
          <w:rFonts w:ascii="Times New Roman" w:hAnsi="Times New Roman" w:cs="Times New Roman" w:hint="eastAsia"/>
        </w:rPr>
        <w:t xml:space="preserve"> </w:t>
      </w:r>
      <w:r w:rsidRPr="00A47183">
        <w:rPr>
          <w:rFonts w:ascii="Times New Roman" w:hAnsi="Times New Roman" w:cs="Times New Roman"/>
        </w:rPr>
        <w:t xml:space="preserve">demand), the Fed had to move interest rates much more than in the past to shift </w:t>
      </w:r>
      <w:r w:rsidRPr="00A47183">
        <w:rPr>
          <w:rFonts w:ascii="Times New Roman" w:hAnsi="Times New Roman" w:cs="Times New Roman" w:hint="eastAsia"/>
        </w:rPr>
        <w:t>fi</w:t>
      </w:r>
      <w:r w:rsidRPr="00A47183">
        <w:rPr>
          <w:rFonts w:ascii="Times New Roman" w:hAnsi="Times New Roman" w:cs="Times New Roman"/>
        </w:rPr>
        <w:t>nancial</w:t>
      </w:r>
      <w:r w:rsidRPr="00A47183">
        <w:rPr>
          <w:rFonts w:ascii="Times New Roman" w:hAnsi="Times New Roman" w:cs="Times New Roman" w:hint="eastAsia"/>
        </w:rPr>
        <w:t xml:space="preserve"> </w:t>
      </w:r>
      <w:r w:rsidRPr="00A47183">
        <w:rPr>
          <w:rFonts w:ascii="Times New Roman" w:hAnsi="Times New Roman" w:cs="Times New Roman"/>
        </w:rPr>
        <w:t>conditions and control in</w:t>
      </w:r>
      <w:r w:rsidRPr="00A47183">
        <w:rPr>
          <w:rFonts w:ascii="Times New Roman" w:hAnsi="Times New Roman" w:cs="Times New Roman" w:hint="eastAsia"/>
        </w:rPr>
        <w:t>fl</w:t>
      </w:r>
      <w:r w:rsidRPr="00A47183">
        <w:rPr>
          <w:rFonts w:ascii="Times New Roman" w:hAnsi="Times New Roman" w:cs="Times New Roman"/>
        </w:rPr>
        <w:t>ation. The prevalence of macroeconomic shocks increased the</w:t>
      </w:r>
      <w:r w:rsidRPr="00A47183">
        <w:rPr>
          <w:rFonts w:ascii="Times New Roman" w:hAnsi="Times New Roman" w:cs="Times New Roman" w:hint="eastAsia"/>
        </w:rPr>
        <w:t xml:space="preserve"> </w:t>
      </w:r>
      <w:r w:rsidRPr="00A47183">
        <w:rPr>
          <w:rFonts w:ascii="Times New Roman" w:hAnsi="Times New Roman" w:cs="Times New Roman"/>
        </w:rPr>
        <w:t>interest rate volatility and the bond-stock betas starting from a negative level.</w:t>
      </w:r>
      <w:r w:rsidRPr="00A47183">
        <w:rPr>
          <w:rStyle w:val="FootnoteReference"/>
          <w:rFonts w:ascii="Times New Roman" w:hAnsi="Times New Roman" w:cs="Times New Roman"/>
        </w:rPr>
        <w:footnoteReference w:id="3"/>
      </w:r>
      <w:r w:rsidRPr="00A47183">
        <w:rPr>
          <w:rFonts w:ascii="Times New Roman" w:hAnsi="Times New Roman" w:cs="Times New Roman"/>
        </w:rPr>
        <w:t xml:space="preserve"> This</w:t>
      </w:r>
      <w:r w:rsidRPr="00A47183">
        <w:rPr>
          <w:rFonts w:ascii="Times New Roman" w:hAnsi="Times New Roman" w:cs="Times New Roman" w:hint="eastAsia"/>
        </w:rPr>
        <w:t xml:space="preserve"> </w:t>
      </w:r>
      <w:r w:rsidRPr="00A47183">
        <w:rPr>
          <w:rFonts w:ascii="Times New Roman" w:hAnsi="Times New Roman" w:cs="Times New Roman"/>
        </w:rPr>
        <w:t>story does not require a change in the Fed’s inertia or in</w:t>
      </w:r>
      <w:r w:rsidRPr="00A47183">
        <w:rPr>
          <w:rFonts w:ascii="Times New Roman" w:hAnsi="Times New Roman" w:cs="Times New Roman" w:hint="eastAsia"/>
        </w:rPr>
        <w:t>fl</w:t>
      </w:r>
      <w:r w:rsidRPr="00A47183">
        <w:rPr>
          <w:rFonts w:ascii="Times New Roman" w:hAnsi="Times New Roman" w:cs="Times New Roman"/>
        </w:rPr>
        <w:t>ation focus, and it does not</w:t>
      </w:r>
      <w:r w:rsidRPr="00A47183">
        <w:rPr>
          <w:rFonts w:ascii="Times New Roman" w:hAnsi="Times New Roman" w:cs="Times New Roman" w:hint="eastAsia"/>
        </w:rPr>
        <w:t xml:space="preserve"> </w:t>
      </w:r>
      <w:r w:rsidRPr="00A47183">
        <w:rPr>
          <w:rFonts w:ascii="Times New Roman" w:hAnsi="Times New Roman" w:cs="Times New Roman"/>
        </w:rPr>
        <w:t>require a complicated model with habit formation.</w:t>
      </w:r>
    </w:p>
    <w:p w14:paraId="640D0F50" w14:textId="05474BB9" w:rsidR="005B672C" w:rsidRDefault="005B672C" w:rsidP="00DD71CF">
      <w:pPr>
        <w:adjustRightInd w:val="0"/>
        <w:spacing w:before="240" w:after="0" w:line="240" w:lineRule="auto"/>
        <w:ind w:left="360"/>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C619F4">
        <w:rPr>
          <w:rFonts w:ascii="Times New Roman" w:hAnsi="Times New Roman" w:cs="Times New Roman"/>
          <w:color w:val="0000FF"/>
        </w:rPr>
        <w:t xml:space="preserve">I </w:t>
      </w:r>
      <w:r w:rsidR="00C619F4" w:rsidRPr="00C619F4">
        <w:rPr>
          <w:rFonts w:ascii="Times New Roman" w:hAnsi="Times New Roman" w:cs="Times New Roman"/>
          <w:b/>
          <w:bCs/>
          <w:color w:val="0000FF"/>
        </w:rPr>
        <w:t>added the new Section 5</w:t>
      </w:r>
      <w:r w:rsidR="00C619F4">
        <w:rPr>
          <w:rFonts w:ascii="Times New Roman" w:hAnsi="Times New Roman" w:cs="Times New Roman"/>
          <w:color w:val="0000FF"/>
        </w:rPr>
        <w:t xml:space="preserve"> </w:t>
      </w:r>
      <w:r w:rsidR="00C2455A">
        <w:rPr>
          <w:rFonts w:ascii="Times New Roman" w:hAnsi="Times New Roman" w:cs="Times New Roman"/>
          <w:color w:val="0000FF"/>
        </w:rPr>
        <w:t>to the paper to</w:t>
      </w:r>
      <w:r w:rsidR="00DB0D40">
        <w:rPr>
          <w:rFonts w:ascii="Times New Roman" w:hAnsi="Times New Roman" w:cs="Times New Roman"/>
          <w:color w:val="0000FF"/>
        </w:rPr>
        <w:t xml:space="preserve"> clarify and extend the discussion of post-pandemic bond-stock betas, as </w:t>
      </w:r>
      <w:r w:rsidR="00C2455A">
        <w:rPr>
          <w:rFonts w:ascii="Times New Roman" w:hAnsi="Times New Roman" w:cs="Times New Roman"/>
          <w:color w:val="0000FF"/>
        </w:rPr>
        <w:t xml:space="preserve">viewed through the lens of the model. </w:t>
      </w:r>
      <w:r w:rsidR="00EE681B">
        <w:rPr>
          <w:rFonts w:ascii="Times New Roman" w:hAnsi="Times New Roman" w:cs="Times New Roman"/>
          <w:color w:val="0000FF"/>
        </w:rPr>
        <w:t>To set the stage, t</w:t>
      </w:r>
      <w:r w:rsidR="00C619F4">
        <w:rPr>
          <w:rFonts w:ascii="Times New Roman" w:hAnsi="Times New Roman" w:cs="Times New Roman"/>
          <w:color w:val="0000FF"/>
        </w:rPr>
        <w:t xml:space="preserve">he </w:t>
      </w:r>
      <w:r w:rsidR="00C619F4" w:rsidRPr="00EE681B">
        <w:rPr>
          <w:rFonts w:ascii="Times New Roman" w:hAnsi="Times New Roman" w:cs="Times New Roman"/>
          <w:b/>
          <w:bCs/>
          <w:color w:val="0000FF"/>
        </w:rPr>
        <w:t>new Figure 8</w:t>
      </w:r>
      <w:r w:rsidR="00C619F4">
        <w:rPr>
          <w:rFonts w:ascii="Times New Roman" w:hAnsi="Times New Roman" w:cs="Times New Roman"/>
          <w:color w:val="0000FF"/>
        </w:rPr>
        <w:t xml:space="preserve"> shows </w:t>
      </w:r>
      <w:r w:rsidR="002A3E2E">
        <w:rPr>
          <w:rFonts w:ascii="Times New Roman" w:hAnsi="Times New Roman" w:cs="Times New Roman"/>
          <w:color w:val="0000FF"/>
        </w:rPr>
        <w:t>that the</w:t>
      </w:r>
      <w:r w:rsidR="00C619F4">
        <w:rPr>
          <w:rFonts w:ascii="Times New Roman" w:hAnsi="Times New Roman" w:cs="Times New Roman"/>
          <w:color w:val="0000FF"/>
        </w:rPr>
        <w:t xml:space="preserve"> initial </w:t>
      </w:r>
      <w:r w:rsidR="002A3E2E">
        <w:rPr>
          <w:rFonts w:ascii="Times New Roman" w:hAnsi="Times New Roman" w:cs="Times New Roman"/>
          <w:color w:val="0000FF"/>
        </w:rPr>
        <w:t xml:space="preserve">run-up </w:t>
      </w:r>
      <w:r w:rsidR="00C619F4">
        <w:rPr>
          <w:rFonts w:ascii="Times New Roman" w:hAnsi="Times New Roman" w:cs="Times New Roman"/>
          <w:color w:val="0000FF"/>
        </w:rPr>
        <w:t xml:space="preserve">in inflation during the early post-pandemic </w:t>
      </w:r>
      <w:r w:rsidR="002A3E2E">
        <w:rPr>
          <w:rFonts w:ascii="Times New Roman" w:hAnsi="Times New Roman" w:cs="Times New Roman"/>
          <w:color w:val="0000FF"/>
        </w:rPr>
        <w:t>was accompanied by little change in monetary policy</w:t>
      </w:r>
      <w:r w:rsidR="00247E98">
        <w:rPr>
          <w:rFonts w:ascii="Times New Roman" w:hAnsi="Times New Roman" w:cs="Times New Roman"/>
          <w:color w:val="0000FF"/>
        </w:rPr>
        <w:t xml:space="preserve">. As you point out, the Fed eventually did show an energetic response to inflation, lifting interest rates by more than 500 bps by August 2023. However, this response occurred with a substantial lag relative to the initial run-up of inflation, which already occurred in 2021. </w:t>
      </w:r>
      <w:r w:rsidR="00C619F4" w:rsidRPr="002A3E2E">
        <w:rPr>
          <w:rFonts w:ascii="Times New Roman" w:hAnsi="Times New Roman" w:cs="Times New Roman"/>
          <w:b/>
          <w:bCs/>
          <w:color w:val="0000FF"/>
        </w:rPr>
        <w:t>Figure 9</w:t>
      </w:r>
      <w:r w:rsidR="00C619F4">
        <w:rPr>
          <w:rFonts w:ascii="Times New Roman" w:hAnsi="Times New Roman" w:cs="Times New Roman"/>
          <w:color w:val="0000FF"/>
        </w:rPr>
        <w:t xml:space="preserve"> shows rolling nominal and real bond-stock betas and breakeven betas</w:t>
      </w:r>
      <w:r w:rsidR="00C2455A">
        <w:rPr>
          <w:rFonts w:ascii="Times New Roman" w:hAnsi="Times New Roman" w:cs="Times New Roman"/>
          <w:color w:val="0000FF"/>
        </w:rPr>
        <w:t xml:space="preserve">, showing that nominal bond betas remained negative during the early post-pandemic but did turn positive </w:t>
      </w:r>
      <w:r w:rsidR="00397A8A">
        <w:rPr>
          <w:rFonts w:ascii="Times New Roman" w:hAnsi="Times New Roman" w:cs="Times New Roman"/>
          <w:color w:val="0000FF"/>
        </w:rPr>
        <w:t xml:space="preserve">in the second half of 2023, </w:t>
      </w:r>
      <w:r w:rsidR="00C2455A">
        <w:rPr>
          <w:rFonts w:ascii="Times New Roman" w:hAnsi="Times New Roman" w:cs="Times New Roman"/>
          <w:color w:val="0000FF"/>
        </w:rPr>
        <w:t>roughly coinciding with the Fed’s more energetic inflation response</w:t>
      </w:r>
      <w:r w:rsidR="00C619F4">
        <w:rPr>
          <w:rFonts w:ascii="Times New Roman" w:hAnsi="Times New Roman" w:cs="Times New Roman"/>
          <w:color w:val="0000FF"/>
        </w:rPr>
        <w:t xml:space="preserve">. </w:t>
      </w:r>
      <w:r w:rsidR="00C619F4" w:rsidRPr="002A3E2E">
        <w:rPr>
          <w:rFonts w:ascii="Times New Roman" w:hAnsi="Times New Roman" w:cs="Times New Roman"/>
          <w:b/>
          <w:bCs/>
          <w:color w:val="0000FF"/>
        </w:rPr>
        <w:t>Table 3</w:t>
      </w:r>
      <w:r w:rsidR="00C619F4">
        <w:rPr>
          <w:rFonts w:ascii="Times New Roman" w:hAnsi="Times New Roman" w:cs="Times New Roman"/>
          <w:color w:val="0000FF"/>
        </w:rPr>
        <w:t xml:space="preserve"> </w:t>
      </w:r>
      <w:r w:rsidR="00E9085B">
        <w:rPr>
          <w:rFonts w:ascii="Times New Roman" w:hAnsi="Times New Roman" w:cs="Times New Roman"/>
          <w:color w:val="0000FF"/>
        </w:rPr>
        <w:t xml:space="preserve">now </w:t>
      </w:r>
      <w:r w:rsidR="00397A8A">
        <w:rPr>
          <w:rFonts w:ascii="Times New Roman" w:hAnsi="Times New Roman" w:cs="Times New Roman"/>
          <w:color w:val="0000FF"/>
        </w:rPr>
        <w:t xml:space="preserve">shows the model-implied monetary policy and shock parameters required to fit </w:t>
      </w:r>
      <w:r w:rsidR="00C619F4">
        <w:rPr>
          <w:rFonts w:ascii="Times New Roman" w:hAnsi="Times New Roman" w:cs="Times New Roman"/>
          <w:color w:val="0000FF"/>
        </w:rPr>
        <w:t>nominal and real bond-stock betas</w:t>
      </w:r>
      <w:r w:rsidR="00397A8A">
        <w:rPr>
          <w:rFonts w:ascii="Times New Roman" w:hAnsi="Times New Roman" w:cs="Times New Roman"/>
          <w:color w:val="0000FF"/>
        </w:rPr>
        <w:t xml:space="preserve"> during the post-pandemic period, dividing the post-pandemic period into an early post-pandemic (</w:t>
      </w:r>
      <w:r w:rsidR="00397A8A" w:rsidRPr="00397A8A">
        <w:rPr>
          <w:rFonts w:ascii="Times New Roman" w:hAnsi="Times New Roman" w:cs="Times New Roman"/>
          <w:color w:val="0000FF"/>
        </w:rPr>
        <w:t>2020.Q2-2023.Q2</w:t>
      </w:r>
      <w:r w:rsidR="00397A8A">
        <w:rPr>
          <w:rFonts w:ascii="Times New Roman" w:hAnsi="Times New Roman" w:cs="Times New Roman"/>
          <w:color w:val="0000FF"/>
        </w:rPr>
        <w:t>) and a late post-pandemic (</w:t>
      </w:r>
      <w:r w:rsidR="00397A8A" w:rsidRPr="00397A8A">
        <w:rPr>
          <w:rFonts w:ascii="Times New Roman" w:hAnsi="Times New Roman" w:cs="Times New Roman"/>
          <w:color w:val="0000FF"/>
        </w:rPr>
        <w:t>2023.Q3-2023.Q4</w:t>
      </w:r>
      <w:r w:rsidR="00397A8A">
        <w:rPr>
          <w:rFonts w:ascii="Times New Roman" w:hAnsi="Times New Roman" w:cs="Times New Roman"/>
          <w:color w:val="0000FF"/>
        </w:rPr>
        <w:t>). I find</w:t>
      </w:r>
      <w:r w:rsidR="00C2455A">
        <w:rPr>
          <w:rFonts w:ascii="Times New Roman" w:hAnsi="Times New Roman" w:cs="Times New Roman"/>
          <w:color w:val="0000FF"/>
        </w:rPr>
        <w:t xml:space="preserve"> that the model can fit bond-stock betas during </w:t>
      </w:r>
      <w:r w:rsidR="00397A8A">
        <w:rPr>
          <w:rFonts w:ascii="Times New Roman" w:hAnsi="Times New Roman" w:cs="Times New Roman"/>
          <w:color w:val="0000FF"/>
        </w:rPr>
        <w:t xml:space="preserve">both </w:t>
      </w:r>
      <w:r w:rsidR="00C2455A">
        <w:rPr>
          <w:rFonts w:ascii="Times New Roman" w:hAnsi="Times New Roman" w:cs="Times New Roman"/>
          <w:color w:val="0000FF"/>
        </w:rPr>
        <w:t>post-pandemic</w:t>
      </w:r>
      <w:r w:rsidR="00397A8A">
        <w:rPr>
          <w:rFonts w:ascii="Times New Roman" w:hAnsi="Times New Roman" w:cs="Times New Roman"/>
          <w:color w:val="0000FF"/>
        </w:rPr>
        <w:t xml:space="preserve"> episodes. To do so, it requires 1980s-style shocks with a high volatility of supply shocks, a low monetary policy inflation coefficient during the early post-pandemic, but a much higher inflation coefficient during the later post-pandemic. These model implications line up with anecdotal evidence from this period, with its concerns about renewed supply-shock driven inflation, and a Fed that initially did little to counteract inflation but later reversed course and showed a strong inflation response. </w:t>
      </w:r>
    </w:p>
    <w:p w14:paraId="0B04066E" w14:textId="3E4E1848" w:rsidR="00D67084" w:rsidRDefault="005E39B7"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 xml:space="preserve">A key advantage of my </w:t>
      </w:r>
      <w:r w:rsidR="00EE681B">
        <w:rPr>
          <w:rFonts w:ascii="Times New Roman" w:hAnsi="Times New Roman" w:cs="Times New Roman"/>
          <w:color w:val="0000FF"/>
        </w:rPr>
        <w:t xml:space="preserve">general equilibrium model </w:t>
      </w:r>
      <w:r>
        <w:rPr>
          <w:rFonts w:ascii="Times New Roman" w:hAnsi="Times New Roman" w:cs="Times New Roman"/>
          <w:color w:val="0000FF"/>
        </w:rPr>
        <w:t xml:space="preserve">is that it </w:t>
      </w:r>
      <w:r w:rsidR="004B38DD">
        <w:rPr>
          <w:rFonts w:ascii="Times New Roman" w:hAnsi="Times New Roman" w:cs="Times New Roman"/>
          <w:color w:val="0000FF"/>
        </w:rPr>
        <w:t xml:space="preserve">can formalize and assess the quantitative importance of a variety of potential drivers of bond-stock betas, including </w:t>
      </w:r>
      <w:r w:rsidR="00061E83">
        <w:rPr>
          <w:rFonts w:ascii="Times New Roman" w:hAnsi="Times New Roman" w:cs="Times New Roman"/>
          <w:color w:val="0000FF"/>
        </w:rPr>
        <w:t>the rationality of inflation expectations, monetary policy uncertainty, and “sentiment” or risk premium shocks. In my model</w:t>
      </w:r>
      <w:r w:rsidR="004B38DD">
        <w:rPr>
          <w:rFonts w:ascii="Times New Roman" w:hAnsi="Times New Roman" w:cs="Times New Roman"/>
          <w:color w:val="0000FF"/>
        </w:rPr>
        <w:t xml:space="preserve">, </w:t>
      </w:r>
      <w:r w:rsidR="005D76D9">
        <w:rPr>
          <w:rFonts w:ascii="Times New Roman" w:hAnsi="Times New Roman" w:cs="Times New Roman"/>
          <w:color w:val="0000FF"/>
        </w:rPr>
        <w:t>“</w:t>
      </w:r>
      <w:r w:rsidR="00ED1DAA">
        <w:rPr>
          <w:rFonts w:ascii="Times New Roman" w:hAnsi="Times New Roman" w:cs="Times New Roman"/>
          <w:color w:val="0000FF"/>
        </w:rPr>
        <w:t>s</w:t>
      </w:r>
      <w:r w:rsidR="005D76D9">
        <w:rPr>
          <w:rFonts w:ascii="Times New Roman" w:hAnsi="Times New Roman" w:cs="Times New Roman"/>
          <w:color w:val="0000FF"/>
        </w:rPr>
        <w:t>entiment”</w:t>
      </w:r>
      <w:r w:rsidR="00ED1DAA">
        <w:rPr>
          <w:rFonts w:ascii="Times New Roman" w:hAnsi="Times New Roman" w:cs="Times New Roman"/>
          <w:color w:val="0000FF"/>
        </w:rPr>
        <w:t xml:space="preserve"> shocks </w:t>
      </w:r>
      <w:r w:rsidR="004B38DD">
        <w:rPr>
          <w:rFonts w:ascii="Times New Roman" w:hAnsi="Times New Roman" w:cs="Times New Roman"/>
          <w:color w:val="0000FF"/>
        </w:rPr>
        <w:t xml:space="preserve">are endogenous through the </w:t>
      </w:r>
      <w:r w:rsidR="00EE681B">
        <w:rPr>
          <w:rFonts w:ascii="Times New Roman" w:hAnsi="Times New Roman" w:cs="Times New Roman"/>
          <w:color w:val="0000FF"/>
        </w:rPr>
        <w:t>habit formation mechanism, which leads to time-varying risk aversion</w:t>
      </w:r>
      <w:r w:rsidR="00894D86">
        <w:rPr>
          <w:rFonts w:ascii="Times New Roman" w:hAnsi="Times New Roman" w:cs="Times New Roman"/>
          <w:color w:val="0000FF"/>
        </w:rPr>
        <w:t xml:space="preserve">. </w:t>
      </w:r>
      <w:r w:rsidR="00226638">
        <w:rPr>
          <w:rFonts w:ascii="Times New Roman" w:hAnsi="Times New Roman" w:cs="Times New Roman"/>
          <w:color w:val="0000FF"/>
        </w:rPr>
        <w:t xml:space="preserve">If bonds have safe real cash flows, i.e. real cash flows increase in times of high marginal utility, a drop in consumption towards habit increases the valuation of the safe bonds, while simultaneously reducing how much investors are willing to pay for risky stocks, resembling a “flight-to-safety” effect. However, if nominal bonds’ real cash flows fall at times of high marginal utility, </w:t>
      </w:r>
      <w:r w:rsidR="00061E83">
        <w:rPr>
          <w:rFonts w:ascii="Times New Roman" w:hAnsi="Times New Roman" w:cs="Times New Roman"/>
          <w:color w:val="0000FF"/>
        </w:rPr>
        <w:t>such as would be the case if</w:t>
      </w:r>
      <w:r w:rsidR="00226638">
        <w:rPr>
          <w:rFonts w:ascii="Times New Roman" w:hAnsi="Times New Roman" w:cs="Times New Roman"/>
          <w:color w:val="0000FF"/>
        </w:rPr>
        <w:t xml:space="preserve"> inflation is expected to increase in bad times,</w:t>
      </w:r>
      <w:r w:rsidR="00061E83">
        <w:rPr>
          <w:rFonts w:ascii="Times New Roman" w:hAnsi="Times New Roman" w:cs="Times New Roman"/>
          <w:color w:val="0000FF"/>
        </w:rPr>
        <w:t xml:space="preserve"> nominal bonds</w:t>
      </w:r>
      <w:r w:rsidR="00226638">
        <w:rPr>
          <w:rFonts w:ascii="Times New Roman" w:hAnsi="Times New Roman" w:cs="Times New Roman"/>
          <w:color w:val="0000FF"/>
        </w:rPr>
        <w:t xml:space="preserve"> suffer </w:t>
      </w:r>
      <w:r w:rsidR="009A71C8">
        <w:rPr>
          <w:rFonts w:ascii="Times New Roman" w:hAnsi="Times New Roman" w:cs="Times New Roman"/>
          <w:color w:val="0000FF"/>
        </w:rPr>
        <w:t xml:space="preserve">along with stocks </w:t>
      </w:r>
      <w:r w:rsidR="00226638">
        <w:rPr>
          <w:rFonts w:ascii="Times New Roman" w:hAnsi="Times New Roman" w:cs="Times New Roman"/>
          <w:color w:val="0000FF"/>
        </w:rPr>
        <w:t xml:space="preserve">when risk aversion increases. </w:t>
      </w:r>
      <w:r w:rsidR="00EE681B">
        <w:rPr>
          <w:rFonts w:ascii="Times New Roman" w:hAnsi="Times New Roman" w:cs="Times New Roman"/>
          <w:color w:val="0000FF"/>
        </w:rPr>
        <w:t>Habits are hence necessary</w:t>
      </w:r>
      <w:r w:rsidR="00ED1DAA">
        <w:rPr>
          <w:rFonts w:ascii="Times New Roman" w:hAnsi="Times New Roman" w:cs="Times New Roman"/>
          <w:color w:val="0000FF"/>
        </w:rPr>
        <w:t xml:space="preserve"> in my model to </w:t>
      </w:r>
      <w:r w:rsidR="00061E83">
        <w:rPr>
          <w:rFonts w:ascii="Times New Roman" w:hAnsi="Times New Roman" w:cs="Times New Roman"/>
          <w:color w:val="0000FF"/>
        </w:rPr>
        <w:t xml:space="preserve">endogenize “sentiment” shocks and to </w:t>
      </w:r>
      <w:r w:rsidR="00ED1DAA">
        <w:rPr>
          <w:rFonts w:ascii="Times New Roman" w:hAnsi="Times New Roman" w:cs="Times New Roman"/>
          <w:color w:val="0000FF"/>
        </w:rPr>
        <w:t xml:space="preserve">reconcile the high volatility of stock returns relative to the much lower </w:t>
      </w:r>
      <w:r w:rsidR="00ED1DAA">
        <w:rPr>
          <w:rFonts w:ascii="Times New Roman" w:hAnsi="Times New Roman" w:cs="Times New Roman"/>
          <w:color w:val="0000FF"/>
        </w:rPr>
        <w:lastRenderedPageBreak/>
        <w:t xml:space="preserve">volatility of the macroeconomy (the famous “equity volatility puzzle” of Shiller (1981)). </w:t>
      </w:r>
      <w:r>
        <w:rPr>
          <w:rFonts w:ascii="Times New Roman" w:hAnsi="Times New Roman" w:cs="Times New Roman"/>
          <w:color w:val="0000FF"/>
        </w:rPr>
        <w:t xml:space="preserve">Because “sentiment” shocks </w:t>
      </w:r>
      <w:r w:rsidR="00AC6B94">
        <w:rPr>
          <w:rFonts w:ascii="Times New Roman" w:hAnsi="Times New Roman" w:cs="Times New Roman"/>
          <w:color w:val="0000FF"/>
        </w:rPr>
        <w:t>in the model are endogenous</w:t>
      </w:r>
      <w:r>
        <w:rPr>
          <w:rFonts w:ascii="Times New Roman" w:hAnsi="Times New Roman" w:cs="Times New Roman"/>
          <w:color w:val="0000FF"/>
        </w:rPr>
        <w:t xml:space="preserve">, </w:t>
      </w:r>
      <w:r w:rsidR="00AC6B94">
        <w:rPr>
          <w:rFonts w:ascii="Times New Roman" w:hAnsi="Times New Roman" w:cs="Times New Roman"/>
          <w:color w:val="0000FF"/>
        </w:rPr>
        <w:t>they do not provide a free parameter to understand bond-stock betas</w:t>
      </w:r>
      <w:r w:rsidR="00061E83">
        <w:rPr>
          <w:rFonts w:ascii="Times New Roman" w:hAnsi="Times New Roman" w:cs="Times New Roman"/>
          <w:color w:val="0000FF"/>
        </w:rPr>
        <w:t>, but instead amplify positive bond-stock betas if monetary policy and the nature of macroeconomic shocks make bonds’</w:t>
      </w:r>
      <w:r w:rsidR="009A71C8">
        <w:rPr>
          <w:rFonts w:ascii="Times New Roman" w:hAnsi="Times New Roman" w:cs="Times New Roman"/>
          <w:color w:val="0000FF"/>
        </w:rPr>
        <w:t xml:space="preserve"> </w:t>
      </w:r>
      <w:r w:rsidR="00061E83">
        <w:rPr>
          <w:rFonts w:ascii="Times New Roman" w:hAnsi="Times New Roman" w:cs="Times New Roman"/>
          <w:color w:val="0000FF"/>
        </w:rPr>
        <w:t xml:space="preserve">real cash flows risky and vice versa. </w:t>
      </w:r>
      <w:r w:rsidR="00ED1DAA">
        <w:rPr>
          <w:rFonts w:ascii="Times New Roman" w:hAnsi="Times New Roman" w:cs="Times New Roman"/>
          <w:color w:val="0000FF"/>
        </w:rPr>
        <w:t>I added a paragraph to the paper explaining the endogenous role of “sentiment” shocks to Section 5 (</w:t>
      </w:r>
      <w:r w:rsidR="00ED1DAA" w:rsidRPr="00ED1DAA">
        <w:rPr>
          <w:rFonts w:ascii="Times New Roman" w:hAnsi="Times New Roman" w:cs="Times New Roman"/>
          <w:b/>
          <w:bCs/>
          <w:color w:val="0000FF"/>
        </w:rPr>
        <w:t>p. XX, paragraph starting “One might wonder whether ``sentiment'' shocks could turn bond-stock betas negative…”</w:t>
      </w:r>
      <w:r w:rsidR="00ED1DAA">
        <w:rPr>
          <w:rFonts w:ascii="Times New Roman" w:hAnsi="Times New Roman" w:cs="Times New Roman"/>
          <w:color w:val="0000FF"/>
        </w:rPr>
        <w:t xml:space="preserve">). </w:t>
      </w:r>
    </w:p>
    <w:p w14:paraId="5F528204" w14:textId="5494D92A" w:rsidR="00D050F9" w:rsidRPr="00E039E1" w:rsidRDefault="00061E83" w:rsidP="002A7A21">
      <w:pPr>
        <w:adjustRightInd w:val="0"/>
        <w:spacing w:before="240" w:after="0" w:line="240" w:lineRule="auto"/>
        <w:ind w:left="360"/>
        <w:rPr>
          <w:rFonts w:ascii="Times New Roman" w:eastAsiaTheme="minorEastAsia" w:hAnsi="Times New Roman" w:cs="Times New Roman"/>
          <w:color w:val="0000FF"/>
        </w:rPr>
      </w:pPr>
      <w:r>
        <w:rPr>
          <w:rFonts w:ascii="Times New Roman" w:hAnsi="Times New Roman" w:cs="Times New Roman"/>
          <w:color w:val="0000FF"/>
        </w:rPr>
        <w:t>T</w:t>
      </w:r>
      <w:r w:rsidR="00D67084">
        <w:rPr>
          <w:rFonts w:ascii="Times New Roman" w:hAnsi="Times New Roman" w:cs="Times New Roman"/>
          <w:color w:val="0000FF"/>
        </w:rPr>
        <w:t xml:space="preserve">he model is also well-suited </w:t>
      </w:r>
      <w:r>
        <w:rPr>
          <w:rFonts w:ascii="Times New Roman" w:hAnsi="Times New Roman" w:cs="Times New Roman"/>
          <w:color w:val="0000FF"/>
        </w:rPr>
        <w:t xml:space="preserve">to </w:t>
      </w:r>
      <w:r w:rsidR="00D67084">
        <w:rPr>
          <w:rFonts w:ascii="Times New Roman" w:hAnsi="Times New Roman" w:cs="Times New Roman"/>
          <w:color w:val="0000FF"/>
        </w:rPr>
        <w:t>examine the role of inflation expectations for bond-stock betas</w:t>
      </w:r>
      <w:r w:rsidR="00C868D7">
        <w:rPr>
          <w:rFonts w:ascii="Times New Roman" w:hAnsi="Times New Roman" w:cs="Times New Roman"/>
          <w:color w:val="0000FF"/>
        </w:rPr>
        <w:t xml:space="preserve">, as the </w:t>
      </w:r>
      <w:r w:rsidR="004D4528">
        <w:rPr>
          <w:rFonts w:ascii="Times New Roman" w:hAnsi="Times New Roman" w:cs="Times New Roman"/>
          <w:color w:val="0000FF"/>
        </w:rPr>
        <w:t xml:space="preserve">parameter </w:t>
      </w:r>
      <m:oMath>
        <m:r>
          <w:rPr>
            <w:rFonts w:ascii="Cambria Math" w:hAnsi="Cambria Math" w:cs="Times New Roman"/>
            <w:color w:val="0000FF"/>
          </w:rPr>
          <m:t>ζ</m:t>
        </m:r>
      </m:oMath>
      <w:r w:rsidR="004D4528">
        <w:rPr>
          <w:rFonts w:ascii="Times New Roman" w:hAnsi="Times New Roman" w:cs="Times New Roman"/>
          <w:color w:val="0000FF"/>
        </w:rPr>
        <w:t xml:space="preserve">  captures whether wage-setters’ inflation expectations are partially backward-looking. To stack the deck against finding an important role of supply shocks for inflation expectations, the exercise in Table 3 assumes that inflation expectations are fully</w:t>
      </w:r>
      <w:r w:rsidR="009A71C8">
        <w:rPr>
          <w:rFonts w:ascii="Times New Roman" w:hAnsi="Times New Roman" w:cs="Times New Roman"/>
          <w:color w:val="0000FF"/>
        </w:rPr>
        <w:t xml:space="preserve"> rational</w:t>
      </w:r>
      <w:r w:rsidR="004D4528">
        <w:rPr>
          <w:rFonts w:ascii="Times New Roman" w:hAnsi="Times New Roman" w:cs="Times New Roman"/>
          <w:color w:val="0000FF"/>
        </w:rPr>
        <w:t xml:space="preserve"> </w:t>
      </w:r>
      <w:r w:rsidR="00C868D7">
        <w:rPr>
          <w:rFonts w:ascii="Times New Roman" w:hAnsi="Times New Roman" w:cs="Times New Roman"/>
          <w:color w:val="0000FF"/>
        </w:rPr>
        <w:t>(</w:t>
      </w:r>
      <m:oMath>
        <m:r>
          <w:rPr>
            <w:rFonts w:ascii="Cambria Math" w:hAnsi="Cambria Math" w:cs="Times New Roman"/>
            <w:color w:val="0000FF"/>
          </w:rPr>
          <m:t>ζ=0</m:t>
        </m:r>
      </m:oMath>
      <w:r w:rsidR="00C868D7">
        <w:rPr>
          <w:rFonts w:ascii="Times New Roman" w:eastAsiaTheme="minorEastAsia" w:hAnsi="Times New Roman" w:cs="Times New Roman"/>
          <w:color w:val="0000FF"/>
        </w:rPr>
        <w:t>)</w:t>
      </w:r>
      <w:r w:rsidR="007D281E">
        <w:rPr>
          <w:rFonts w:ascii="Times New Roman" w:eastAsiaTheme="minorEastAsia" w:hAnsi="Times New Roman" w:cs="Times New Roman"/>
          <w:color w:val="0000FF"/>
        </w:rPr>
        <w:t xml:space="preserve">. </w:t>
      </w:r>
      <w:r w:rsidR="004D4528" w:rsidRPr="002A7A21">
        <w:rPr>
          <w:rFonts w:ascii="Times New Roman" w:eastAsiaTheme="minorEastAsia" w:hAnsi="Times New Roman" w:cs="Times New Roman"/>
          <w:b/>
          <w:bCs/>
          <w:color w:val="0000FF"/>
        </w:rPr>
        <w:t>Appendix Figure</w:t>
      </w:r>
      <w:r w:rsidR="002A7A21" w:rsidRPr="002A7A21">
        <w:rPr>
          <w:rFonts w:ascii="Times New Roman" w:eastAsiaTheme="minorEastAsia" w:hAnsi="Times New Roman" w:cs="Times New Roman"/>
          <w:b/>
          <w:bCs/>
          <w:color w:val="0000FF"/>
        </w:rPr>
        <w:t xml:space="preserve">s </w:t>
      </w:r>
      <w:r w:rsidR="004D4528" w:rsidRPr="002A7A21">
        <w:rPr>
          <w:rFonts w:ascii="Times New Roman" w:eastAsiaTheme="minorEastAsia" w:hAnsi="Times New Roman" w:cs="Times New Roman"/>
          <w:b/>
          <w:bCs/>
          <w:color w:val="0000FF"/>
        </w:rPr>
        <w:t>A</w:t>
      </w:r>
      <w:r w:rsidR="002A7A21" w:rsidRPr="002A7A21">
        <w:rPr>
          <w:rFonts w:ascii="Times New Roman" w:eastAsiaTheme="minorEastAsia" w:hAnsi="Times New Roman" w:cs="Times New Roman"/>
          <w:b/>
          <w:bCs/>
          <w:color w:val="0000FF"/>
        </w:rPr>
        <w:t>4 and A5</w:t>
      </w:r>
      <w:r w:rsidR="004D4528">
        <w:rPr>
          <w:rFonts w:ascii="Times New Roman" w:eastAsiaTheme="minorEastAsia" w:hAnsi="Times New Roman" w:cs="Times New Roman"/>
          <w:color w:val="0000FF"/>
        </w:rPr>
        <w:t xml:space="preserve"> </w:t>
      </w:r>
      <w:r w:rsidR="002A7A21">
        <w:rPr>
          <w:rFonts w:ascii="Times New Roman" w:eastAsiaTheme="minorEastAsia" w:hAnsi="Times New Roman" w:cs="Times New Roman"/>
          <w:color w:val="0000FF"/>
        </w:rPr>
        <w:t xml:space="preserve">show the link between inflation persistence and the rationality of wage-setters’ inflation expectations, </w:t>
      </w:r>
      <m:oMath>
        <m:r>
          <w:rPr>
            <w:rFonts w:ascii="Cambria Math" w:hAnsi="Cambria Math" w:cs="Times New Roman"/>
            <w:color w:val="0000FF"/>
          </w:rPr>
          <m:t>ζ</m:t>
        </m:r>
      </m:oMath>
      <w:r w:rsidR="002A7A21">
        <w:rPr>
          <w:rFonts w:ascii="Times New Roman" w:hAnsi="Times New Roman" w:cs="Times New Roman"/>
          <w:color w:val="0000FF"/>
        </w:rPr>
        <w:t xml:space="preserve"> </w:t>
      </w:r>
      <w:r w:rsidR="002A7A21">
        <w:rPr>
          <w:rFonts w:ascii="Times New Roman" w:eastAsiaTheme="minorEastAsia" w:hAnsi="Times New Roman" w:cs="Times New Roman"/>
          <w:color w:val="0000FF"/>
        </w:rPr>
        <w:t xml:space="preserve">. These figures show that </w:t>
      </w:r>
      <w:r w:rsidR="004D4528">
        <w:rPr>
          <w:rFonts w:ascii="Times New Roman" w:eastAsiaTheme="minorEastAsia" w:hAnsi="Times New Roman" w:cs="Times New Roman"/>
          <w:color w:val="0000FF"/>
        </w:rPr>
        <w:t xml:space="preserve">inflation mean-reverts </w:t>
      </w:r>
      <w:r w:rsidR="00B144D1">
        <w:rPr>
          <w:rFonts w:ascii="Times New Roman" w:eastAsiaTheme="minorEastAsia" w:hAnsi="Times New Roman" w:cs="Times New Roman"/>
          <w:color w:val="0000FF"/>
        </w:rPr>
        <w:t xml:space="preserve">substantially faster </w:t>
      </w:r>
      <w:r w:rsidR="004D4528">
        <w:rPr>
          <w:rFonts w:ascii="Times New Roman" w:eastAsiaTheme="minorEastAsia" w:hAnsi="Times New Roman" w:cs="Times New Roman"/>
          <w:color w:val="0000FF"/>
        </w:rPr>
        <w:t>following a supply shock if wage-setters’ inflation expectations are rational</w:t>
      </w:r>
      <w:r w:rsidR="002A7A21">
        <w:rPr>
          <w:rFonts w:ascii="Times New Roman" w:eastAsiaTheme="minorEastAsia" w:hAnsi="Times New Roman" w:cs="Times New Roman"/>
          <w:color w:val="0000FF"/>
        </w:rPr>
        <w:t xml:space="preserve"> </w:t>
      </w:r>
      <w:r w:rsidR="002A7A21">
        <w:rPr>
          <w:rFonts w:ascii="Times New Roman" w:hAnsi="Times New Roman" w:cs="Times New Roman"/>
          <w:color w:val="0000FF"/>
        </w:rPr>
        <w:t>(</w:t>
      </w:r>
      <m:oMath>
        <m:r>
          <w:rPr>
            <w:rFonts w:ascii="Cambria Math" w:hAnsi="Cambria Math" w:cs="Times New Roman"/>
            <w:color w:val="0000FF"/>
          </w:rPr>
          <m:t>ζ=0</m:t>
        </m:r>
      </m:oMath>
      <w:r w:rsidR="002A7A21">
        <w:rPr>
          <w:rFonts w:ascii="Times New Roman" w:eastAsiaTheme="minorEastAsia" w:hAnsi="Times New Roman" w:cs="Times New Roman"/>
          <w:color w:val="0000FF"/>
        </w:rPr>
        <w:t>)</w:t>
      </w:r>
      <w:r w:rsidR="00B144D1">
        <w:rPr>
          <w:rFonts w:ascii="Times New Roman" w:eastAsiaTheme="minorEastAsia" w:hAnsi="Times New Roman" w:cs="Times New Roman"/>
          <w:color w:val="0000FF"/>
        </w:rPr>
        <w:t xml:space="preserve"> than if they </w:t>
      </w:r>
      <w:r w:rsidR="004D4528">
        <w:rPr>
          <w:rFonts w:ascii="Times New Roman" w:eastAsiaTheme="minorEastAsia" w:hAnsi="Times New Roman" w:cs="Times New Roman"/>
          <w:color w:val="0000FF"/>
        </w:rPr>
        <w:t>are partly backward-looking</w:t>
      </w:r>
      <w:r w:rsidR="002A7A21">
        <w:rPr>
          <w:rFonts w:ascii="Times New Roman" w:eastAsiaTheme="minorEastAsia" w:hAnsi="Times New Roman" w:cs="Times New Roman"/>
          <w:color w:val="0000FF"/>
        </w:rPr>
        <w:t xml:space="preserve"> </w:t>
      </w:r>
      <w:r w:rsidR="002A7A21">
        <w:rPr>
          <w:rFonts w:ascii="Times New Roman" w:hAnsi="Times New Roman" w:cs="Times New Roman"/>
          <w:color w:val="0000FF"/>
        </w:rPr>
        <w:t>(</w:t>
      </w:r>
      <m:oMath>
        <m:r>
          <w:rPr>
            <w:rFonts w:ascii="Cambria Math" w:hAnsi="Cambria Math" w:cs="Times New Roman"/>
            <w:color w:val="0000FF"/>
          </w:rPr>
          <m:t>ζ=0</m:t>
        </m:r>
      </m:oMath>
      <w:r w:rsidR="002A7A21">
        <w:rPr>
          <w:rFonts w:ascii="Times New Roman" w:eastAsiaTheme="minorEastAsia" w:hAnsi="Times New Roman" w:cs="Times New Roman"/>
          <w:color w:val="0000FF"/>
        </w:rPr>
        <w:t>.6)</w:t>
      </w:r>
      <w:r w:rsidR="004D4528">
        <w:rPr>
          <w:rFonts w:ascii="Times New Roman" w:eastAsiaTheme="minorEastAsia" w:hAnsi="Times New Roman" w:cs="Times New Roman"/>
          <w:color w:val="0000FF"/>
        </w:rPr>
        <w:t xml:space="preserve">. </w:t>
      </w:r>
      <w:r w:rsidR="002A7A21">
        <w:rPr>
          <w:rFonts w:ascii="Times New Roman" w:eastAsiaTheme="minorEastAsia" w:hAnsi="Times New Roman" w:cs="Times New Roman"/>
          <w:color w:val="0000FF"/>
        </w:rPr>
        <w:t xml:space="preserve">Table 3 hence </w:t>
      </w:r>
      <w:r w:rsidR="0037482B">
        <w:rPr>
          <w:rFonts w:ascii="Times New Roman" w:eastAsiaTheme="minorEastAsia" w:hAnsi="Times New Roman" w:cs="Times New Roman"/>
          <w:color w:val="0000FF"/>
        </w:rPr>
        <w:t>finds a substantial role of supply shocks for bond-stock betas</w:t>
      </w:r>
      <w:r w:rsidR="00B144D1">
        <w:rPr>
          <w:rFonts w:ascii="Times New Roman" w:eastAsiaTheme="minorEastAsia" w:hAnsi="Times New Roman" w:cs="Times New Roman"/>
          <w:color w:val="0000FF"/>
        </w:rPr>
        <w:t>,</w:t>
      </w:r>
      <w:r w:rsidR="0037482B">
        <w:rPr>
          <w:rFonts w:ascii="Times New Roman" w:eastAsiaTheme="minorEastAsia" w:hAnsi="Times New Roman" w:cs="Times New Roman"/>
          <w:color w:val="0000FF"/>
        </w:rPr>
        <w:t xml:space="preserve"> despite constraining </w:t>
      </w:r>
      <w:r w:rsidR="002A7A21">
        <w:rPr>
          <w:rFonts w:ascii="Times New Roman" w:eastAsiaTheme="minorEastAsia" w:hAnsi="Times New Roman" w:cs="Times New Roman"/>
          <w:color w:val="0000FF"/>
        </w:rPr>
        <w:t>long-term inflation expectations</w:t>
      </w:r>
      <w:r w:rsidR="0037482B">
        <w:rPr>
          <w:rFonts w:ascii="Times New Roman" w:eastAsiaTheme="minorEastAsia" w:hAnsi="Times New Roman" w:cs="Times New Roman"/>
          <w:color w:val="0000FF"/>
        </w:rPr>
        <w:t xml:space="preserve"> to be </w:t>
      </w:r>
      <w:r w:rsidR="002A7A21">
        <w:rPr>
          <w:rFonts w:ascii="Times New Roman" w:eastAsiaTheme="minorEastAsia" w:hAnsi="Times New Roman" w:cs="Times New Roman"/>
          <w:color w:val="0000FF"/>
        </w:rPr>
        <w:t>as anchored as possible</w:t>
      </w:r>
      <w:r w:rsidR="0037482B">
        <w:rPr>
          <w:rFonts w:ascii="Times New Roman" w:eastAsiaTheme="minorEastAsia" w:hAnsi="Times New Roman" w:cs="Times New Roman"/>
          <w:color w:val="0000FF"/>
        </w:rPr>
        <w:t xml:space="preserve"> within the model</w:t>
      </w:r>
      <w:r w:rsidR="002A7A21">
        <w:rPr>
          <w:rFonts w:ascii="Times New Roman" w:eastAsiaTheme="minorEastAsia" w:hAnsi="Times New Roman" w:cs="Times New Roman"/>
          <w:color w:val="0000FF"/>
        </w:rPr>
        <w:t xml:space="preserve">. </w:t>
      </w:r>
      <w:r w:rsidR="00931208">
        <w:rPr>
          <w:rFonts w:ascii="Times New Roman" w:eastAsiaTheme="minorEastAsia" w:hAnsi="Times New Roman" w:cs="Times New Roman"/>
          <w:color w:val="0000FF"/>
        </w:rPr>
        <w:t xml:space="preserve">One reason </w:t>
      </w:r>
      <w:r w:rsidR="00B144D1">
        <w:rPr>
          <w:rFonts w:ascii="Times New Roman" w:eastAsiaTheme="minorEastAsia" w:hAnsi="Times New Roman" w:cs="Times New Roman"/>
          <w:color w:val="0000FF"/>
        </w:rPr>
        <w:t xml:space="preserve">that bond-stock betas can be quite sensitive to the volatility of supply shocks even if the effect on long-term inflation expectations is moderate in the model is because of </w:t>
      </w:r>
      <w:r w:rsidR="00931208">
        <w:rPr>
          <w:rFonts w:ascii="Times New Roman" w:eastAsiaTheme="minorEastAsia" w:hAnsi="Times New Roman" w:cs="Times New Roman"/>
          <w:color w:val="0000FF"/>
        </w:rPr>
        <w:t>endogenously time-varying risk premia or “sentiment” shocks</w:t>
      </w:r>
      <w:r w:rsidR="00B144D1">
        <w:rPr>
          <w:rFonts w:ascii="Times New Roman" w:eastAsiaTheme="minorEastAsia" w:hAnsi="Times New Roman" w:cs="Times New Roman"/>
          <w:color w:val="0000FF"/>
        </w:rPr>
        <w:t xml:space="preserve">. As discussed in the previous paragraph, time-varying risk aversion amplifies </w:t>
      </w:r>
      <w:r w:rsidR="00931208">
        <w:rPr>
          <w:rFonts w:ascii="Times New Roman" w:eastAsiaTheme="minorEastAsia" w:hAnsi="Times New Roman" w:cs="Times New Roman"/>
          <w:color w:val="0000FF"/>
        </w:rPr>
        <w:t>bond-stock comovement</w:t>
      </w:r>
      <w:r w:rsidR="00D6782D">
        <w:rPr>
          <w:rFonts w:ascii="Times New Roman" w:eastAsiaTheme="minorEastAsia" w:hAnsi="Times New Roman" w:cs="Times New Roman"/>
          <w:color w:val="0000FF"/>
        </w:rPr>
        <w:t xml:space="preserve">s relative to the </w:t>
      </w:r>
      <w:r w:rsidR="00931208">
        <w:rPr>
          <w:rFonts w:ascii="Times New Roman" w:eastAsiaTheme="minorEastAsia" w:hAnsi="Times New Roman" w:cs="Times New Roman"/>
          <w:color w:val="0000FF"/>
        </w:rPr>
        <w:t xml:space="preserve">comovement between real bond cash flows and real marginal utility. </w:t>
      </w:r>
      <w:r w:rsidR="00B144D1">
        <w:rPr>
          <w:rFonts w:ascii="Times New Roman" w:eastAsiaTheme="minorEastAsia" w:hAnsi="Times New Roman" w:cs="Times New Roman"/>
          <w:color w:val="0000FF"/>
        </w:rPr>
        <w:t xml:space="preserve">The revised manuscript now clearly describes </w:t>
      </w:r>
      <w:r w:rsidR="00E039E1">
        <w:rPr>
          <w:rFonts w:ascii="Times New Roman" w:eastAsiaTheme="minorEastAsia" w:hAnsi="Times New Roman" w:cs="Times New Roman"/>
          <w:color w:val="0000FF"/>
        </w:rPr>
        <w:t xml:space="preserve">the rationale for assuming rational wage-setter inflation expectations for the post-pandemic period on </w:t>
      </w:r>
      <w:r w:rsidR="00E039E1" w:rsidRPr="00E039E1">
        <w:rPr>
          <w:rFonts w:ascii="Times New Roman" w:eastAsiaTheme="minorEastAsia" w:hAnsi="Times New Roman" w:cs="Times New Roman"/>
          <w:b/>
          <w:bCs/>
          <w:color w:val="0000FF"/>
        </w:rPr>
        <w:t>p.39</w:t>
      </w:r>
      <w:r w:rsidR="00E039E1">
        <w:rPr>
          <w:rFonts w:ascii="Times New Roman" w:eastAsiaTheme="minorEastAsia" w:hAnsi="Times New Roman" w:cs="Times New Roman"/>
          <w:color w:val="0000FF"/>
        </w:rPr>
        <w:t xml:space="preserve">, where I say </w:t>
      </w:r>
      <w:r w:rsidR="00E039E1" w:rsidRPr="00E039E1">
        <w:rPr>
          <w:rFonts w:ascii="Times New Roman" w:eastAsiaTheme="minorEastAsia" w:hAnsi="Times New Roman" w:cs="Times New Roman"/>
          <w:b/>
          <w:bCs/>
          <w:color w:val="0000FF"/>
        </w:rPr>
        <w:t xml:space="preserve">“To account for strongly anchored long-term inflation expectations </w:t>
      </w:r>
      <w:r w:rsidR="004D260C">
        <w:rPr>
          <w:rFonts w:ascii="Times New Roman" w:eastAsiaTheme="minorEastAsia" w:hAnsi="Times New Roman" w:cs="Times New Roman"/>
          <w:b/>
          <w:bCs/>
          <w:color w:val="0000FF"/>
        </w:rPr>
        <w:t xml:space="preserve">during the recent period </w:t>
      </w:r>
      <w:r w:rsidR="00E039E1" w:rsidRPr="00E039E1">
        <w:rPr>
          <w:rFonts w:ascii="Times New Roman" w:eastAsiaTheme="minorEastAsia" w:hAnsi="Times New Roman" w:cs="Times New Roman"/>
          <w:b/>
          <w:bCs/>
          <w:color w:val="0000FF"/>
        </w:rPr>
        <w:t xml:space="preserve">and to stack the deck against finding a role for volatile long-term inflation expectations, </w:t>
      </w:r>
      <w:r w:rsidR="004D260C">
        <w:rPr>
          <w:rFonts w:ascii="Times New Roman" w:eastAsiaTheme="minorEastAsia" w:hAnsi="Times New Roman" w:cs="Times New Roman"/>
          <w:b/>
          <w:bCs/>
          <w:color w:val="0000FF"/>
        </w:rPr>
        <w:t xml:space="preserve">wage-setters’ </w:t>
      </w:r>
      <w:r w:rsidR="00E039E1" w:rsidRPr="00E039E1">
        <w:rPr>
          <w:rFonts w:ascii="Times New Roman" w:eastAsiaTheme="minorEastAsia" w:hAnsi="Times New Roman" w:cs="Times New Roman"/>
          <w:b/>
          <w:bCs/>
          <w:color w:val="0000FF"/>
        </w:rPr>
        <w:t>inflation expectations are set to rational</w:t>
      </w:r>
      <w:r w:rsidR="004D260C">
        <w:rPr>
          <w:rFonts w:ascii="Times New Roman" w:eastAsiaTheme="minorEastAsia" w:hAnsi="Times New Roman" w:cs="Times New Roman"/>
          <w:b/>
          <w:bCs/>
          <w:color w:val="0000FF"/>
        </w:rPr>
        <w:t xml:space="preserve"> when backing out monetary policy and shock volatilities for the post-pandemic period from bond-stock betas.</w:t>
      </w:r>
      <w:r w:rsidR="00E039E1">
        <w:rPr>
          <w:rFonts w:ascii="Times New Roman" w:eastAsiaTheme="minorEastAsia" w:hAnsi="Times New Roman" w:cs="Times New Roman"/>
          <w:b/>
          <w:bCs/>
          <w:color w:val="0000FF"/>
        </w:rPr>
        <w:t>”</w:t>
      </w:r>
    </w:p>
    <w:p w14:paraId="62E50A91" w14:textId="628AB596" w:rsidR="00D050F9" w:rsidRDefault="001A3008" w:rsidP="00DD71CF">
      <w:pPr>
        <w:adjustRightInd w:val="0"/>
        <w:spacing w:before="240" w:after="0" w:line="240" w:lineRule="auto"/>
        <w:ind w:left="360"/>
        <w:rPr>
          <w:rFonts w:ascii="Times New Roman" w:hAnsi="Times New Roman" w:cs="Times New Roman"/>
          <w:color w:val="0000FF"/>
        </w:rPr>
      </w:pPr>
      <w:r w:rsidRPr="00E039E1">
        <w:rPr>
          <w:rFonts w:ascii="Times New Roman" w:eastAsiaTheme="minorEastAsia" w:hAnsi="Times New Roman" w:cs="Times New Roman"/>
          <w:color w:val="0000FF"/>
        </w:rPr>
        <w:t>Monetary policy uncertainty is also naturally incorporated</w:t>
      </w:r>
      <w:r>
        <w:rPr>
          <w:rFonts w:ascii="Times New Roman" w:hAnsi="Times New Roman" w:cs="Times New Roman"/>
          <w:color w:val="0000FF"/>
        </w:rPr>
        <w:t xml:space="preserve"> into my model. The calibration parameters in Table 2 show that the 1980s calibration feature</w:t>
      </w:r>
      <w:r w:rsidR="00B144D1">
        <w:rPr>
          <w:rFonts w:ascii="Times New Roman" w:hAnsi="Times New Roman" w:cs="Times New Roman"/>
          <w:color w:val="0000FF"/>
        </w:rPr>
        <w:t>s</w:t>
      </w:r>
      <w:r>
        <w:rPr>
          <w:rFonts w:ascii="Times New Roman" w:hAnsi="Times New Roman" w:cs="Times New Roman"/>
          <w:color w:val="0000FF"/>
        </w:rPr>
        <w:t xml:space="preserve"> not only volatile supply shocks, but also volatile monetary policy shocks, which are required to fit the high volatility of the policy rate during this </w:t>
      </w:r>
      <w:r w:rsidR="00B144D1">
        <w:rPr>
          <w:rFonts w:ascii="Times New Roman" w:hAnsi="Times New Roman" w:cs="Times New Roman"/>
          <w:color w:val="0000FF"/>
        </w:rPr>
        <w:t xml:space="preserve">earlier </w:t>
      </w:r>
      <w:r>
        <w:rPr>
          <w:rFonts w:ascii="Times New Roman" w:hAnsi="Times New Roman" w:cs="Times New Roman"/>
          <w:color w:val="0000FF"/>
        </w:rPr>
        <w:t xml:space="preserve">period. The implied shock volatilities in </w:t>
      </w:r>
      <w:r w:rsidR="00D050F9" w:rsidRPr="00D050F9">
        <w:rPr>
          <w:rFonts w:ascii="Times New Roman" w:hAnsi="Times New Roman" w:cs="Times New Roman"/>
          <w:b/>
          <w:bCs/>
          <w:color w:val="0000FF"/>
        </w:rPr>
        <w:t>Table 3</w:t>
      </w:r>
      <w:r w:rsidR="00D050F9">
        <w:rPr>
          <w:rFonts w:ascii="Times New Roman" w:hAnsi="Times New Roman" w:cs="Times New Roman"/>
          <w:color w:val="0000FF"/>
        </w:rPr>
        <w:t xml:space="preserve"> </w:t>
      </w:r>
      <w:r>
        <w:rPr>
          <w:rFonts w:ascii="Times New Roman" w:hAnsi="Times New Roman" w:cs="Times New Roman"/>
          <w:color w:val="0000FF"/>
        </w:rPr>
        <w:t>for the post-pandemic hence also feature both high monetary policy uncertainty and a high volatility of supply shocks. However, the volatility of monetary policy shocks has a quantitatively much smaller effect on both nominal and real bond-stock betas. The reason is that monetary policy surprises induce only transitory movements in the real short rate and very little movement in inflation in the model, whereas supply shocks lead to more long-lived movements in inflation and – through the monetary policy response to inflation – the real rate. Hence, when supply shocks are a significant concern, as they were during the post-pandemic, the interaction between supply shocks with the monetary policy inflation coefficient drives how strongly the Fed moves interest rates in response to macroeconomic shocks, and hence bond-stock betas. In that sense, my model helps make precise how “</w:t>
      </w:r>
      <w:r w:rsidRPr="001A3008">
        <w:rPr>
          <w:rFonts w:ascii="Times New Roman" w:hAnsi="Times New Roman" w:cs="Times New Roman"/>
          <w:color w:val="0000FF"/>
        </w:rPr>
        <w:t>The prevalence of macroeconomic shocks increased the</w:t>
      </w:r>
      <w:r w:rsidRPr="001A3008">
        <w:rPr>
          <w:rFonts w:ascii="Times New Roman" w:hAnsi="Times New Roman" w:cs="Times New Roman" w:hint="eastAsia"/>
          <w:color w:val="0000FF"/>
        </w:rPr>
        <w:t xml:space="preserve"> </w:t>
      </w:r>
      <w:r w:rsidRPr="001A3008">
        <w:rPr>
          <w:rFonts w:ascii="Times New Roman" w:hAnsi="Times New Roman" w:cs="Times New Roman"/>
          <w:color w:val="0000FF"/>
        </w:rPr>
        <w:t>interest rate volatility and the bond-stock betas starting from a negative level” as you suggest in your comment</w:t>
      </w:r>
      <w:r>
        <w:rPr>
          <w:rFonts w:ascii="Times New Roman" w:hAnsi="Times New Roman" w:cs="Times New Roman"/>
          <w:color w:val="0000FF"/>
        </w:rPr>
        <w:t xml:space="preserve"> above</w:t>
      </w:r>
      <w:r w:rsidRPr="001A3008">
        <w:rPr>
          <w:rFonts w:ascii="Times New Roman" w:hAnsi="Times New Roman" w:cs="Times New Roman"/>
          <w:color w:val="0000FF"/>
        </w:rPr>
        <w:t>.</w:t>
      </w:r>
      <w:r w:rsidRPr="007555C5">
        <w:rPr>
          <w:rFonts w:ascii="Times New Roman" w:hAnsi="Times New Roman" w:cs="Times New Roman"/>
          <w:color w:val="0000FF"/>
        </w:rPr>
        <w:t xml:space="preserve"> </w:t>
      </w:r>
      <w:r w:rsidR="007555C5" w:rsidRPr="007555C5">
        <w:rPr>
          <w:rFonts w:ascii="Times New Roman" w:hAnsi="Times New Roman" w:cs="Times New Roman"/>
          <w:color w:val="0000FF"/>
        </w:rPr>
        <w:t xml:space="preserve">This intuition is now explained on </w:t>
      </w:r>
      <w:r w:rsidR="007555C5" w:rsidRPr="007555C5">
        <w:rPr>
          <w:rFonts w:ascii="Times New Roman" w:hAnsi="Times New Roman" w:cs="Times New Roman"/>
          <w:b/>
          <w:bCs/>
          <w:color w:val="0000FF"/>
        </w:rPr>
        <w:t>p.40</w:t>
      </w:r>
      <w:r w:rsidR="007555C5" w:rsidRPr="007555C5">
        <w:rPr>
          <w:rFonts w:ascii="Times New Roman" w:hAnsi="Times New Roman" w:cs="Times New Roman"/>
          <w:color w:val="0000FF"/>
        </w:rPr>
        <w:t xml:space="preserve"> (</w:t>
      </w:r>
      <w:r w:rsidR="00B95A43" w:rsidRPr="00B95A43">
        <w:rPr>
          <w:rFonts w:ascii="Times New Roman" w:hAnsi="Times New Roman" w:cs="Times New Roman"/>
          <w:b/>
          <w:bCs/>
          <w:color w:val="0000FF"/>
        </w:rPr>
        <w:t xml:space="preserve">second half of </w:t>
      </w:r>
      <w:r w:rsidR="007555C5" w:rsidRPr="007555C5">
        <w:rPr>
          <w:rFonts w:ascii="Times New Roman" w:hAnsi="Times New Roman" w:cs="Times New Roman"/>
          <w:b/>
          <w:bCs/>
          <w:color w:val="0000FF"/>
        </w:rPr>
        <w:t>paragraph starting “I find that the model matches the changes in nominal and real bond-stock betas with a shift from a low to high inflation coefficient in monetary policy, and dominant supply shocks during the post-pandemic period.”</w:t>
      </w:r>
      <w:r w:rsidR="007555C5" w:rsidRPr="007555C5">
        <w:rPr>
          <w:rFonts w:ascii="Times New Roman" w:hAnsi="Times New Roman" w:cs="Times New Roman"/>
          <w:color w:val="0000FF"/>
        </w:rPr>
        <w:t>)</w:t>
      </w:r>
    </w:p>
    <w:p w14:paraId="1CC08170" w14:textId="29750D61" w:rsidR="008B07AC" w:rsidRDefault="00EE681B" w:rsidP="001A3008">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lastRenderedPageBreak/>
        <w:t xml:space="preserve">Thank you again for your thoughtful and excellent suggestions, which have helped me to substantially improve the paper! </w:t>
      </w:r>
    </w:p>
    <w:p w14:paraId="6866D9FB" w14:textId="77777777" w:rsidR="001A3008" w:rsidRDefault="001A3008" w:rsidP="001A3008">
      <w:pPr>
        <w:adjustRightInd w:val="0"/>
        <w:spacing w:before="240" w:after="0" w:line="240" w:lineRule="auto"/>
        <w:ind w:left="360"/>
        <w:rPr>
          <w:rFonts w:ascii="Times New Roman" w:hAnsi="Times New Roman" w:cs="Times New Roman"/>
          <w:color w:val="0000FF"/>
        </w:rPr>
      </w:pPr>
    </w:p>
    <w:p w14:paraId="1DF6A348" w14:textId="114AAF2E" w:rsidR="008B07AC" w:rsidRPr="00B84221" w:rsidRDefault="008B07AC" w:rsidP="00A75284">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t xml:space="preserve">Responses to Referee </w:t>
      </w:r>
      <w:r>
        <w:rPr>
          <w:rFonts w:ascii="Times New Roman" w:hAnsi="Times New Roman" w:cs="Times New Roman"/>
          <w:b/>
          <w:bCs/>
          <w:u w:val="single"/>
        </w:rPr>
        <w:t>2</w:t>
      </w:r>
    </w:p>
    <w:p w14:paraId="19E2C3B2" w14:textId="77777777" w:rsidR="008B07AC" w:rsidRDefault="008B07AC" w:rsidP="00A75284">
      <w:pPr>
        <w:adjustRightInd w:val="0"/>
        <w:spacing w:after="0" w:line="240" w:lineRule="auto"/>
        <w:rPr>
          <w:rFonts w:ascii="Times New Roman" w:hAnsi="Times New Roman" w:cs="Times New Roman"/>
          <w:b/>
          <w:bCs/>
        </w:rPr>
      </w:pPr>
    </w:p>
    <w:p w14:paraId="2B7A4288" w14:textId="79740196" w:rsidR="008B07AC" w:rsidRDefault="008B07AC" w:rsidP="00A75284">
      <w:pPr>
        <w:adjustRightInd w:val="0"/>
        <w:spacing w:after="0" w:line="240" w:lineRule="auto"/>
        <w:rPr>
          <w:rFonts w:ascii="Times New Roman" w:hAnsi="Times New Roman" w:cs="Times New Roman"/>
          <w:color w:val="0000FF"/>
        </w:rPr>
      </w:pPr>
      <w:r w:rsidRPr="00E81D4B">
        <w:rPr>
          <w:rFonts w:ascii="Times New Roman" w:hAnsi="Times New Roman" w:cs="Times New Roman"/>
          <w:color w:val="0000FF"/>
        </w:rPr>
        <w:t xml:space="preserve">Thank you for </w:t>
      </w:r>
      <w:r>
        <w:rPr>
          <w:rFonts w:ascii="Times New Roman" w:hAnsi="Times New Roman" w:cs="Times New Roman"/>
          <w:color w:val="0000FF"/>
        </w:rPr>
        <w:t>your suggestions, and especially your lucid discussion of the literature. Following your discussion and the AE’s suggestion, the revised manuscript contains a new and updated discussion of how the current manuscript stands out from the existing literature. I also updated the paper to contain a more extensive discussion of the calibration, especially the first subperiod</w:t>
      </w:r>
      <w:r w:rsidR="00822417">
        <w:rPr>
          <w:rFonts w:ascii="Times New Roman" w:hAnsi="Times New Roman" w:cs="Times New Roman"/>
          <w:color w:val="0000FF"/>
        </w:rPr>
        <w:t xml:space="preserve"> comprising the 1980s</w:t>
      </w:r>
      <w:r>
        <w:rPr>
          <w:rFonts w:ascii="Times New Roman" w:hAnsi="Times New Roman" w:cs="Times New Roman"/>
          <w:color w:val="0000FF"/>
        </w:rPr>
        <w:t xml:space="preserve">. Detailed point-by-point responses to your comments are included below. </w:t>
      </w:r>
    </w:p>
    <w:p w14:paraId="7BB20C3E" w14:textId="77777777" w:rsidR="00730FE5" w:rsidRDefault="00730FE5" w:rsidP="00A75284">
      <w:pPr>
        <w:adjustRightInd w:val="0"/>
        <w:spacing w:after="0" w:line="240" w:lineRule="auto"/>
        <w:rPr>
          <w:rFonts w:ascii="Times New Roman" w:hAnsi="Times New Roman" w:cs="Times New Roman"/>
          <w:color w:val="0000FF"/>
        </w:rPr>
      </w:pPr>
    </w:p>
    <w:p w14:paraId="61A2380A" w14:textId="77777777" w:rsidR="004A54B1" w:rsidRDefault="004A54B1" w:rsidP="00A75284">
      <w:pPr>
        <w:adjustRightInd w:val="0"/>
        <w:spacing w:after="0" w:line="240" w:lineRule="auto"/>
        <w:rPr>
          <w:rFonts w:ascii="Times New Roman" w:hAnsi="Times New Roman" w:cs="Times New Roman"/>
        </w:rPr>
      </w:pPr>
      <w:r>
        <w:rPr>
          <w:rFonts w:ascii="Times New Roman" w:hAnsi="Times New Roman" w:cs="Times New Roman"/>
        </w:rPr>
        <w:t>In</w:t>
      </w:r>
      <w:r>
        <w:rPr>
          <w:rFonts w:ascii="Times New Roman" w:hAnsi="Times New Roman" w:cs="Times New Roman" w:hint="eastAsia"/>
        </w:rPr>
        <w:t xml:space="preserve"> this sense, the paper</w:t>
      </w:r>
      <w:r>
        <w:rPr>
          <w:rFonts w:ascii="Times New Roman" w:hAnsi="Times New Roman" w:cs="Times New Roman"/>
        </w:rPr>
        <w:t>’</w:t>
      </w:r>
      <w:r>
        <w:rPr>
          <w:rFonts w:ascii="Times New Roman" w:hAnsi="Times New Roman" w:cs="Times New Roman" w:hint="eastAsia"/>
        </w:rPr>
        <w:t>s setup builds on the author</w:t>
      </w:r>
      <w:r>
        <w:rPr>
          <w:rFonts w:ascii="Times New Roman" w:hAnsi="Times New Roman" w:cs="Times New Roman"/>
        </w:rPr>
        <w:t>’</w:t>
      </w:r>
      <w:r>
        <w:rPr>
          <w:rFonts w:ascii="Times New Roman" w:hAnsi="Times New Roman" w:cs="Times New Roman" w:hint="eastAsia"/>
        </w:rPr>
        <w:t xml:space="preserve">s previous two published papers,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and Pflueger and Rinaldi (2022), as they both include (P1) and (P2). While the model (P1) in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is not as micro-founded as the one in the current paper, (P1) in Pflueger and Rinaldi (2022) is very similar, but with some important changes such as enriching structural shocks to include both demand and supply, and considering adaptive subjective inflation expectations.</w:t>
      </w:r>
    </w:p>
    <w:p w14:paraId="4804354E" w14:textId="77777777" w:rsidR="004A54B1" w:rsidRDefault="004A54B1" w:rsidP="00A75284">
      <w:pPr>
        <w:adjustRightInd w:val="0"/>
        <w:spacing w:after="0" w:line="240" w:lineRule="auto"/>
        <w:rPr>
          <w:rFonts w:ascii="Times New Roman" w:hAnsi="Times New Roman" w:cs="Times New Roman"/>
        </w:rPr>
      </w:pPr>
    </w:p>
    <w:p w14:paraId="4A159A78" w14:textId="274CCA93" w:rsidR="00730FE5" w:rsidRPr="009A39D9"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The calibration of the model for two distinct subperiods sets the current paper apart from Pflueger</w:t>
      </w:r>
      <w:r>
        <w:rPr>
          <w:rFonts w:ascii="Times New Roman" w:hAnsi="Times New Roman" w:cs="Times New Roman" w:hint="eastAsia"/>
        </w:rPr>
        <w:t xml:space="preserve"> </w:t>
      </w:r>
      <w:r w:rsidRPr="009A39D9">
        <w:rPr>
          <w:rFonts w:ascii="Times New Roman" w:hAnsi="Times New Roman" w:cs="Times New Roman"/>
        </w:rPr>
        <w:t>and Rinaldi (2022), while its unique ability to perform counterfactual exercises assessing the impact of</w:t>
      </w:r>
      <w:r>
        <w:rPr>
          <w:rFonts w:ascii="Times New Roman" w:hAnsi="Times New Roman" w:cs="Times New Roman" w:hint="eastAsia"/>
        </w:rPr>
        <w:t xml:space="preserve"> </w:t>
      </w:r>
      <w:r w:rsidRPr="009A39D9">
        <w:rPr>
          <w:rFonts w:ascii="Times New Roman" w:hAnsi="Times New Roman" w:cs="Times New Roman"/>
        </w:rPr>
        <w:t>Taylor-rule coefficients and macroeconomic shock volatilities on bond-stock betas amplifies its significance.</w:t>
      </w:r>
    </w:p>
    <w:p w14:paraId="39D3D2BF" w14:textId="77777777" w:rsidR="00730FE5" w:rsidRDefault="00730FE5" w:rsidP="00A75284">
      <w:pPr>
        <w:adjustRightInd w:val="0"/>
        <w:spacing w:after="0" w:line="240" w:lineRule="auto"/>
        <w:rPr>
          <w:rFonts w:ascii="Times New Roman" w:hAnsi="Times New Roman" w:cs="Times New Roman"/>
        </w:rPr>
      </w:pPr>
    </w:p>
    <w:p w14:paraId="0E48CB79" w14:textId="77777777"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In the literature, various channels explain bond-stock comovement, including the inflation-risk narrative</w:t>
      </w:r>
      <w:r>
        <w:rPr>
          <w:rFonts w:ascii="Times New Roman" w:hAnsi="Times New Roman" w:cs="Times New Roman" w:hint="eastAsia"/>
        </w:rPr>
        <w:t xml:space="preserve"> </w:t>
      </w:r>
      <w:r w:rsidRPr="009A39D9">
        <w:rPr>
          <w:rFonts w:ascii="Times New Roman" w:hAnsi="Times New Roman" w:cs="Times New Roman"/>
        </w:rPr>
        <w:t xml:space="preserve">proposed by David and Veronesi (2013), Song (2017), Campbell, Pflueger, and </w:t>
      </w:r>
      <w:proofErr w:type="spellStart"/>
      <w:r w:rsidRPr="009A39D9">
        <w:rPr>
          <w:rFonts w:ascii="Times New Roman" w:hAnsi="Times New Roman" w:cs="Times New Roman"/>
        </w:rPr>
        <w:t>Viceira</w:t>
      </w:r>
      <w:proofErr w:type="spellEnd"/>
      <w:r w:rsidRPr="009A39D9">
        <w:rPr>
          <w:rFonts w:ascii="Times New Roman" w:hAnsi="Times New Roman" w:cs="Times New Roman"/>
        </w:rPr>
        <w:t xml:space="preserve"> (2020),</w:t>
      </w:r>
      <w:r>
        <w:rPr>
          <w:rFonts w:ascii="Times New Roman" w:hAnsi="Times New Roman" w:cs="Times New Roman" w:hint="eastAsia"/>
        </w:rPr>
        <w:t xml:space="preserve"> </w:t>
      </w:r>
      <w:proofErr w:type="spellStart"/>
      <w:r w:rsidRPr="009A39D9">
        <w:rPr>
          <w:rFonts w:ascii="Times New Roman" w:hAnsi="Times New Roman" w:cs="Times New Roman"/>
        </w:rPr>
        <w:t>Gourio</w:t>
      </w:r>
      <w:proofErr w:type="spellEnd"/>
      <w:r w:rsidRPr="009A39D9">
        <w:rPr>
          <w:rFonts w:ascii="Times New Roman" w:hAnsi="Times New Roman" w:cs="Times New Roman"/>
        </w:rPr>
        <w:t xml:space="preserve"> and Ngo (2020), and Fang, Liu, and </w:t>
      </w:r>
      <w:proofErr w:type="spellStart"/>
      <w:r w:rsidRPr="009A39D9">
        <w:rPr>
          <w:rFonts w:ascii="Times New Roman" w:hAnsi="Times New Roman" w:cs="Times New Roman"/>
        </w:rPr>
        <w:t>Roussanov</w:t>
      </w:r>
      <w:proofErr w:type="spellEnd"/>
      <w:r w:rsidRPr="009A39D9">
        <w:rPr>
          <w:rFonts w:ascii="Times New Roman" w:hAnsi="Times New Roman" w:cs="Times New Roman"/>
        </w:rPr>
        <w:t xml:space="preserve"> (2022); the liquidity, flight-to-safety, and time</w:t>
      </w:r>
      <w:r>
        <w:rPr>
          <w:rFonts w:ascii="Times New Roman" w:hAnsi="Times New Roman" w:cs="Times New Roman" w:hint="eastAsia"/>
        </w:rPr>
        <w:t>-</w:t>
      </w:r>
      <w:r w:rsidRPr="009A39D9">
        <w:rPr>
          <w:rFonts w:ascii="Times New Roman" w:hAnsi="Times New Roman" w:cs="Times New Roman"/>
        </w:rPr>
        <w:t>varying</w:t>
      </w:r>
      <w:r>
        <w:rPr>
          <w:rFonts w:ascii="Times New Roman" w:hAnsi="Times New Roman" w:cs="Times New Roman" w:hint="eastAsia"/>
        </w:rPr>
        <w:t xml:space="preserve"> </w:t>
      </w:r>
      <w:r w:rsidRPr="009A39D9">
        <w:rPr>
          <w:rFonts w:ascii="Times New Roman" w:hAnsi="Times New Roman" w:cs="Times New Roman"/>
        </w:rPr>
        <w:t xml:space="preserve">risk aversion argument presented by Baele, Bekaert, and </w:t>
      </w:r>
      <w:proofErr w:type="spellStart"/>
      <w:r w:rsidRPr="009A39D9">
        <w:rPr>
          <w:rFonts w:ascii="Times New Roman" w:hAnsi="Times New Roman" w:cs="Times New Roman"/>
        </w:rPr>
        <w:t>Inghelbrecht</w:t>
      </w:r>
      <w:proofErr w:type="spellEnd"/>
      <w:r w:rsidRPr="009A39D9">
        <w:rPr>
          <w:rFonts w:ascii="Times New Roman" w:hAnsi="Times New Roman" w:cs="Times New Roman"/>
        </w:rPr>
        <w:t xml:space="preserve"> (2010), Kozak (2022),</w:t>
      </w:r>
      <w:r>
        <w:rPr>
          <w:rFonts w:ascii="Times New Roman" w:hAnsi="Times New Roman" w:cs="Times New Roman" w:hint="eastAsia"/>
        </w:rPr>
        <w:t xml:space="preserve"> </w:t>
      </w:r>
      <w:r w:rsidRPr="009A39D9">
        <w:rPr>
          <w:rFonts w:ascii="Times New Roman" w:hAnsi="Times New Roman" w:cs="Times New Roman"/>
        </w:rPr>
        <w:t xml:space="preserve">and </w:t>
      </w:r>
      <w:proofErr w:type="spellStart"/>
      <w:r w:rsidRPr="009A39D9">
        <w:rPr>
          <w:rFonts w:ascii="Times New Roman" w:hAnsi="Times New Roman" w:cs="Times New Roman"/>
        </w:rPr>
        <w:t>Laarits</w:t>
      </w:r>
      <w:proofErr w:type="spellEnd"/>
      <w:r w:rsidRPr="009A39D9">
        <w:rPr>
          <w:rFonts w:ascii="Times New Roman" w:hAnsi="Times New Roman" w:cs="Times New Roman"/>
        </w:rPr>
        <w:t xml:space="preserve"> (2022); examination of permanent-transitory compositional changes discussed by Chernov,</w:t>
      </w:r>
      <w:r>
        <w:rPr>
          <w:rFonts w:ascii="Times New Roman" w:hAnsi="Times New Roman" w:cs="Times New Roman" w:hint="eastAsia"/>
        </w:rPr>
        <w:t xml:space="preserve"> </w:t>
      </w:r>
      <w:proofErr w:type="spellStart"/>
      <w:r w:rsidRPr="009A39D9">
        <w:rPr>
          <w:rFonts w:ascii="Times New Roman" w:hAnsi="Times New Roman" w:cs="Times New Roman"/>
        </w:rPr>
        <w:t>Lochstoer</w:t>
      </w:r>
      <w:proofErr w:type="spellEnd"/>
      <w:r w:rsidRPr="009A39D9">
        <w:rPr>
          <w:rFonts w:ascii="Times New Roman" w:hAnsi="Times New Roman" w:cs="Times New Roman"/>
        </w:rPr>
        <w:t>, and Song (2021); and the examination of monetary-fiscal mix regimes explored by Li, Zha,</w:t>
      </w:r>
      <w:r>
        <w:rPr>
          <w:rFonts w:ascii="Times New Roman" w:hAnsi="Times New Roman" w:cs="Times New Roman" w:hint="eastAsia"/>
        </w:rPr>
        <w:t xml:space="preserve"> </w:t>
      </w:r>
      <w:r w:rsidRPr="009A39D9">
        <w:rPr>
          <w:rFonts w:ascii="Times New Roman" w:hAnsi="Times New Roman" w:cs="Times New Roman"/>
        </w:rPr>
        <w:t>Zhang, and Zhou (2022), among others.</w:t>
      </w:r>
    </w:p>
    <w:p w14:paraId="19B28B85" w14:textId="77777777" w:rsidR="00730FE5" w:rsidRPr="009A39D9" w:rsidRDefault="00730FE5" w:rsidP="00A75284">
      <w:pPr>
        <w:adjustRightInd w:val="0"/>
        <w:spacing w:after="0" w:line="240" w:lineRule="auto"/>
        <w:rPr>
          <w:rFonts w:ascii="Times New Roman" w:hAnsi="Times New Roman" w:cs="Times New Roman"/>
        </w:rPr>
      </w:pPr>
    </w:p>
    <w:p w14:paraId="48C509CB" w14:textId="719F2762"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What sets the current paper apart is its remarkable ability to integrate these popular narratives</w:t>
      </w:r>
      <w:r>
        <w:rPr>
          <w:rFonts w:ascii="Times New Roman" w:hAnsi="Times New Roman" w:cs="Times New Roman" w:hint="eastAsia"/>
        </w:rPr>
        <w:t xml:space="preserve"> </w:t>
      </w:r>
      <w:r w:rsidRPr="009A39D9">
        <w:rPr>
          <w:rFonts w:ascii="Times New Roman" w:hAnsi="Times New Roman" w:cs="Times New Roman"/>
        </w:rPr>
        <w:t>within a relatively simple unified framework. It adeptly incorporates elements such as the inflation</w:t>
      </w:r>
      <w:r>
        <w:rPr>
          <w:rFonts w:ascii="Times New Roman" w:hAnsi="Times New Roman" w:cs="Times New Roman" w:hint="eastAsia"/>
        </w:rPr>
        <w:t xml:space="preserve"> </w:t>
      </w:r>
      <w:r w:rsidRPr="009A39D9">
        <w:rPr>
          <w:rFonts w:ascii="Times New Roman" w:hAnsi="Times New Roman" w:cs="Times New Roman"/>
        </w:rPr>
        <w:t>risk</w:t>
      </w:r>
      <w:r>
        <w:rPr>
          <w:rFonts w:ascii="Times New Roman" w:hAnsi="Times New Roman" w:cs="Times New Roman" w:hint="eastAsia"/>
        </w:rPr>
        <w:t xml:space="preserve"> </w:t>
      </w:r>
      <w:r w:rsidRPr="009A39D9">
        <w:rPr>
          <w:rFonts w:ascii="Times New Roman" w:hAnsi="Times New Roman" w:cs="Times New Roman"/>
        </w:rPr>
        <w:t>narrative through the differentiation of demand versus supply shocks, time-varying risk aversion via</w:t>
      </w:r>
      <w:r>
        <w:rPr>
          <w:rFonts w:ascii="Times New Roman" w:hAnsi="Times New Roman" w:cs="Times New Roman" w:hint="eastAsia"/>
        </w:rPr>
        <w:t xml:space="preserve"> </w:t>
      </w:r>
      <w:r w:rsidRPr="009A39D9">
        <w:rPr>
          <w:rFonts w:ascii="Times New Roman" w:hAnsi="Times New Roman" w:cs="Times New Roman"/>
        </w:rPr>
        <w:t>habit-formation preferences, adjustments in the persistence of state variables, achieved by calibrating</w:t>
      </w:r>
      <w:r>
        <w:rPr>
          <w:rFonts w:ascii="Times New Roman" w:hAnsi="Times New Roman" w:cs="Times New Roman" w:hint="eastAsia"/>
        </w:rPr>
        <w:t xml:space="preserve"> </w:t>
      </w:r>
      <w:r w:rsidRPr="009A39D9">
        <w:rPr>
          <w:rFonts w:ascii="Times New Roman" w:hAnsi="Times New Roman" w:cs="Times New Roman"/>
        </w:rPr>
        <w:t>the model for two distinct subperiods, and modifications in the monetary policy rule, all contributing</w:t>
      </w:r>
      <w:r>
        <w:rPr>
          <w:rFonts w:ascii="Times New Roman" w:hAnsi="Times New Roman" w:cs="Times New Roman" w:hint="eastAsia"/>
        </w:rPr>
        <w:t xml:space="preserve"> </w:t>
      </w:r>
      <w:r w:rsidRPr="009A39D9">
        <w:rPr>
          <w:rFonts w:ascii="Times New Roman" w:hAnsi="Times New Roman" w:cs="Times New Roman"/>
        </w:rPr>
        <w:t>to a comprehensive understanding of bond-stock comovement.</w:t>
      </w:r>
    </w:p>
    <w:p w14:paraId="2115D19E" w14:textId="77777777" w:rsidR="00730FE5" w:rsidRPr="00C62C29"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 xml:space="preserve">Overall, I believe the paper merits publication in the </w:t>
      </w:r>
      <w:r w:rsidRPr="00C62C29">
        <w:rPr>
          <w:rFonts w:ascii="Times New Roman" w:hAnsi="Times New Roman" w:cs="Times New Roman"/>
          <w:i/>
          <w:iCs/>
        </w:rPr>
        <w:t>Journal of Financial Economics</w:t>
      </w:r>
      <w:r w:rsidRPr="00C62C29">
        <w:rPr>
          <w:rFonts w:ascii="Times New Roman" w:hAnsi="Times New Roman" w:cs="Times New Roman"/>
        </w:rPr>
        <w:t>. While I find</w:t>
      </w:r>
      <w:r>
        <w:rPr>
          <w:rFonts w:ascii="Times New Roman" w:hAnsi="Times New Roman" w:cs="Times New Roman" w:hint="eastAsia"/>
        </w:rPr>
        <w:t xml:space="preserve"> </w:t>
      </w:r>
      <w:r w:rsidRPr="00C62C29">
        <w:rPr>
          <w:rFonts w:ascii="Times New Roman" w:hAnsi="Times New Roman" w:cs="Times New Roman"/>
        </w:rPr>
        <w:t>the current paper already quite clear, I will only raise two relatively minor points.</w:t>
      </w:r>
    </w:p>
    <w:p w14:paraId="5D175F8E" w14:textId="77777777" w:rsidR="00730FE5"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Firstly, considering that the paper’s primary contribution focuses on explaining changing bond-stock</w:t>
      </w:r>
      <w:r>
        <w:rPr>
          <w:rFonts w:ascii="Times New Roman" w:hAnsi="Times New Roman" w:cs="Times New Roman" w:hint="eastAsia"/>
        </w:rPr>
        <w:t xml:space="preserve"> </w:t>
      </w:r>
      <w:r w:rsidRPr="00C62C29">
        <w:rPr>
          <w:rFonts w:ascii="Times New Roman" w:hAnsi="Times New Roman" w:cs="Times New Roman"/>
        </w:rPr>
        <w:t>comovement, I recommend that the author provide a more precise explanation of her contribution to</w:t>
      </w:r>
      <w:r>
        <w:rPr>
          <w:rFonts w:ascii="Times New Roman" w:hAnsi="Times New Roman" w:cs="Times New Roman" w:hint="eastAsia"/>
        </w:rPr>
        <w:t xml:space="preserve"> </w:t>
      </w:r>
      <w:r w:rsidRPr="00C62C29">
        <w:rPr>
          <w:rFonts w:ascii="Times New Roman" w:hAnsi="Times New Roman" w:cs="Times New Roman"/>
        </w:rPr>
        <w:t>the literature. Although the author cites most of the papers mentioned above in the paper, many</w:t>
      </w:r>
      <w:r>
        <w:rPr>
          <w:rFonts w:ascii="Times New Roman" w:hAnsi="Times New Roman" w:cs="Times New Roman" w:hint="eastAsia"/>
        </w:rPr>
        <w:t xml:space="preserve"> </w:t>
      </w:r>
      <w:r w:rsidRPr="00C62C29">
        <w:rPr>
          <w:rFonts w:ascii="Times New Roman" w:hAnsi="Times New Roman" w:cs="Times New Roman"/>
        </w:rPr>
        <w:t>of them are relegated to footnotes. For example, among the more pertinent papers, the author’s</w:t>
      </w:r>
      <w:r>
        <w:rPr>
          <w:rFonts w:ascii="Times New Roman" w:hAnsi="Times New Roman" w:cs="Times New Roman" w:hint="eastAsia"/>
        </w:rPr>
        <w:t xml:space="preserve"> </w:t>
      </w:r>
      <w:r w:rsidRPr="00C62C29">
        <w:rPr>
          <w:rFonts w:ascii="Times New Roman" w:hAnsi="Times New Roman" w:cs="Times New Roman"/>
        </w:rPr>
        <w:t xml:space="preserve">paper undoubtedly </w:t>
      </w:r>
      <w:r w:rsidRPr="00D024F0">
        <w:rPr>
          <w:rFonts w:ascii="Times New Roman" w:hAnsi="Times New Roman" w:cs="Times New Roman"/>
        </w:rPr>
        <w:t>presents advancements beyond Song (2017), which also discussed changes in the</w:t>
      </w:r>
      <w:r w:rsidRPr="00D024F0">
        <w:rPr>
          <w:rFonts w:ascii="Times New Roman" w:hAnsi="Times New Roman" w:cs="Times New Roman" w:hint="eastAsia"/>
        </w:rPr>
        <w:t xml:space="preserve"> </w:t>
      </w:r>
      <w:r w:rsidRPr="00D024F0">
        <w:rPr>
          <w:rFonts w:ascii="Times New Roman" w:hAnsi="Times New Roman" w:cs="Times New Roman"/>
        </w:rPr>
        <w:t xml:space="preserve">monetary policy rule within an endowment economy, and it extends Campbell, Pflueger, and </w:t>
      </w:r>
      <w:proofErr w:type="spellStart"/>
      <w:r w:rsidRPr="00D024F0">
        <w:rPr>
          <w:rFonts w:ascii="Times New Roman" w:hAnsi="Times New Roman" w:cs="Times New Roman"/>
        </w:rPr>
        <w:t>Viceira</w:t>
      </w:r>
      <w:proofErr w:type="spellEnd"/>
      <w:r w:rsidRPr="00D024F0">
        <w:rPr>
          <w:rFonts w:ascii="Times New Roman" w:hAnsi="Times New Roman" w:cs="Times New Roman" w:hint="eastAsia"/>
        </w:rPr>
        <w:t xml:space="preserve"> </w:t>
      </w:r>
      <w:r w:rsidRPr="00D024F0">
        <w:rPr>
          <w:rFonts w:ascii="Times New Roman" w:hAnsi="Times New Roman" w:cs="Times New Roman"/>
        </w:rPr>
        <w:t xml:space="preserve">(2020), where the </w:t>
      </w:r>
      <w:r w:rsidRPr="00D024F0">
        <w:rPr>
          <w:rFonts w:ascii="Times New Roman" w:hAnsi="Times New Roman" w:cs="Times New Roman"/>
        </w:rPr>
        <w:lastRenderedPageBreak/>
        <w:t>monetary policy rule isn’t specified. None of the production-based papers mentioned</w:t>
      </w:r>
      <w:r w:rsidRPr="00D024F0">
        <w:rPr>
          <w:rFonts w:ascii="Times New Roman" w:hAnsi="Times New Roman" w:cs="Times New Roman" w:hint="eastAsia"/>
        </w:rPr>
        <w:t xml:space="preserve"> </w:t>
      </w:r>
      <w:r w:rsidRPr="00D024F0">
        <w:rPr>
          <w:rFonts w:ascii="Times New Roman" w:hAnsi="Times New Roman" w:cs="Times New Roman"/>
        </w:rPr>
        <w:t xml:space="preserve">above, such as </w:t>
      </w:r>
      <w:proofErr w:type="spellStart"/>
      <w:r w:rsidRPr="00D024F0">
        <w:rPr>
          <w:rFonts w:ascii="Times New Roman" w:hAnsi="Times New Roman" w:cs="Times New Roman"/>
        </w:rPr>
        <w:t>Gourio</w:t>
      </w:r>
      <w:proofErr w:type="spellEnd"/>
      <w:r w:rsidRPr="00D024F0">
        <w:rPr>
          <w:rFonts w:ascii="Times New Roman" w:hAnsi="Times New Roman" w:cs="Times New Roman"/>
        </w:rPr>
        <w:t xml:space="preserve"> and Ngo (2020), Fang, Liu, and </w:t>
      </w:r>
      <w:proofErr w:type="spellStart"/>
      <w:r w:rsidRPr="00D024F0">
        <w:rPr>
          <w:rFonts w:ascii="Times New Roman" w:hAnsi="Times New Roman" w:cs="Times New Roman"/>
        </w:rPr>
        <w:t>Roussanov</w:t>
      </w:r>
      <w:proofErr w:type="spellEnd"/>
      <w:r w:rsidRPr="00D024F0">
        <w:rPr>
          <w:rFonts w:ascii="Times New Roman" w:hAnsi="Times New Roman" w:cs="Times New Roman"/>
        </w:rPr>
        <w:t xml:space="preserve"> (2022), and Kozak (2022), incorporate</w:t>
      </w:r>
      <w:r w:rsidRPr="00D024F0">
        <w:rPr>
          <w:rFonts w:ascii="Times New Roman" w:hAnsi="Times New Roman" w:cs="Times New Roman" w:hint="eastAsia"/>
        </w:rPr>
        <w:t xml:space="preserve"> </w:t>
      </w:r>
      <w:r w:rsidRPr="00D024F0">
        <w:rPr>
          <w:rFonts w:ascii="Times New Roman" w:hAnsi="Times New Roman" w:cs="Times New Roman"/>
        </w:rPr>
        <w:t>changes in the monetary policy rule. However, the work of Li, Zha, Zhang, and Zhou (2022) is somewhat</w:t>
      </w:r>
      <w:r w:rsidRPr="00D024F0">
        <w:rPr>
          <w:rFonts w:ascii="Times New Roman" w:hAnsi="Times New Roman" w:cs="Times New Roman" w:hint="eastAsia"/>
        </w:rPr>
        <w:t xml:space="preserve"> </w:t>
      </w:r>
      <w:r w:rsidRPr="00D024F0">
        <w:rPr>
          <w:rFonts w:ascii="Times New Roman" w:hAnsi="Times New Roman" w:cs="Times New Roman"/>
        </w:rPr>
        <w:t>unclear, as it also explores changes in policy rules, encompassing both monetary</w:t>
      </w:r>
      <w:r w:rsidRPr="00C62C29">
        <w:rPr>
          <w:rFonts w:ascii="Times New Roman" w:hAnsi="Times New Roman" w:cs="Times New Roman"/>
        </w:rPr>
        <w:t xml:space="preserve"> and fiscal aspects.</w:t>
      </w:r>
      <w:r>
        <w:rPr>
          <w:rFonts w:ascii="Times New Roman" w:hAnsi="Times New Roman" w:cs="Times New Roman" w:hint="eastAsia"/>
        </w:rPr>
        <w:t xml:space="preserve"> </w:t>
      </w:r>
      <w:r w:rsidRPr="00C62C29">
        <w:rPr>
          <w:rFonts w:ascii="Times New Roman" w:hAnsi="Times New Roman" w:cs="Times New Roman"/>
        </w:rPr>
        <w:t>The distinction may lie in the fact that Li, Zha, Zhang, and Zhou (2022) do not consider changes in</w:t>
      </w:r>
      <w:r>
        <w:rPr>
          <w:rFonts w:ascii="Times New Roman" w:hAnsi="Times New Roman" w:cs="Times New Roman" w:hint="eastAsia"/>
        </w:rPr>
        <w:t xml:space="preserve"> </w:t>
      </w:r>
      <w:r w:rsidRPr="00C62C29">
        <w:rPr>
          <w:rFonts w:ascii="Times New Roman" w:hAnsi="Times New Roman" w:cs="Times New Roman"/>
        </w:rPr>
        <w:t>volatility related to structural shocks. Clarifying both the precise contribution of this paper and that</w:t>
      </w:r>
      <w:r>
        <w:rPr>
          <w:rFonts w:ascii="Times New Roman" w:hAnsi="Times New Roman" w:cs="Times New Roman" w:hint="eastAsia"/>
        </w:rPr>
        <w:t xml:space="preserve"> </w:t>
      </w:r>
      <w:r w:rsidRPr="00C62C29">
        <w:rPr>
          <w:rFonts w:ascii="Times New Roman" w:hAnsi="Times New Roman" w:cs="Times New Roman"/>
        </w:rPr>
        <w:t>of others would be beneficial for readers to comprehend its position in the literature.</w:t>
      </w:r>
    </w:p>
    <w:p w14:paraId="3D40ADB7" w14:textId="77777777" w:rsidR="00A94F9C" w:rsidRDefault="00A94F9C" w:rsidP="00A94F9C">
      <w:pPr>
        <w:adjustRightInd w:val="0"/>
        <w:spacing w:after="0" w:line="240" w:lineRule="auto"/>
        <w:rPr>
          <w:rFonts w:ascii="Times New Roman" w:hAnsi="Times New Roman" w:cs="Times New Roman"/>
          <w:b/>
          <w:bCs/>
          <w:color w:val="0000FF"/>
        </w:rPr>
      </w:pPr>
    </w:p>
    <w:p w14:paraId="665C089B" w14:textId="05B20A81" w:rsidR="00A94F9C" w:rsidRDefault="00A94F9C" w:rsidP="001C00B9">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I liked your summary a lot and found it very helpful to clarify the current manuscript’s relationship to the literature. The revised manuscript now highlights the papers’ key difference relative to my own prior work at the very beginning of the introduction </w:t>
      </w:r>
      <w:r w:rsidRPr="00C10E55">
        <w:rPr>
          <w:rFonts w:ascii="Times New Roman" w:hAnsi="Times New Roman" w:cs="Times New Roman"/>
          <w:b/>
          <w:bCs/>
          <w:color w:val="0000FF"/>
        </w:rPr>
        <w:t>(</w:t>
      </w:r>
      <w:r>
        <w:rPr>
          <w:rFonts w:ascii="Times New Roman" w:hAnsi="Times New Roman" w:cs="Times New Roman"/>
          <w:b/>
          <w:bCs/>
          <w:color w:val="0000FF"/>
        </w:rPr>
        <w:t xml:space="preserve">see </w:t>
      </w:r>
      <w:r w:rsidRPr="00C10E55">
        <w:rPr>
          <w:rFonts w:ascii="Times New Roman" w:hAnsi="Times New Roman" w:cs="Times New Roman"/>
          <w:b/>
          <w:bCs/>
          <w:color w:val="0000FF"/>
        </w:rPr>
        <w:t xml:space="preserve">p.1, paragraph starting "The habit formation preferences in this paper build on Campbell, Pflueger, and </w:t>
      </w:r>
      <w:proofErr w:type="spellStart"/>
      <w:r w:rsidRPr="00C10E55">
        <w:rPr>
          <w:rFonts w:ascii="Times New Roman" w:hAnsi="Times New Roman" w:cs="Times New Roman"/>
          <w:b/>
          <w:bCs/>
          <w:color w:val="0000FF"/>
        </w:rPr>
        <w:t>Viceira</w:t>
      </w:r>
      <w:proofErr w:type="spellEnd"/>
      <w:r w:rsidRPr="00C10E55">
        <w:rPr>
          <w:rFonts w:ascii="Times New Roman" w:hAnsi="Times New Roman" w:cs="Times New Roman"/>
          <w:b/>
          <w:bCs/>
          <w:color w:val="0000FF"/>
        </w:rPr>
        <w:t xml:space="preserve"> (2020) and Pflueger and Rinaldi (2022) but the model in this paper also contains several changes (…)”</w:t>
      </w:r>
      <w:r>
        <w:rPr>
          <w:rFonts w:ascii="Times New Roman" w:hAnsi="Times New Roman" w:cs="Times New Roman"/>
          <w:b/>
          <w:bCs/>
          <w:color w:val="0000FF"/>
        </w:rPr>
        <w:t>)</w:t>
      </w:r>
      <w:r>
        <w:rPr>
          <w:rFonts w:ascii="Times New Roman" w:hAnsi="Times New Roman" w:cs="Times New Roman"/>
          <w:color w:val="0000FF"/>
        </w:rPr>
        <w:t xml:space="preserve">. </w:t>
      </w:r>
    </w:p>
    <w:p w14:paraId="1F6BF4A3" w14:textId="77777777" w:rsidR="00A94F9C" w:rsidRDefault="00A94F9C" w:rsidP="001C00B9">
      <w:pPr>
        <w:adjustRightInd w:val="0"/>
        <w:spacing w:after="0" w:line="240" w:lineRule="auto"/>
        <w:ind w:left="360"/>
        <w:rPr>
          <w:rFonts w:ascii="Times New Roman" w:hAnsi="Times New Roman" w:cs="Times New Roman"/>
          <w:color w:val="0000FF"/>
        </w:rPr>
      </w:pPr>
    </w:p>
    <w:p w14:paraId="4B1FC0DD" w14:textId="22EFFEF7" w:rsidR="00A94F9C" w:rsidRDefault="00A94F9C" w:rsidP="001C00B9">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An updated and detailed discussion of how this paper contributes over the broader literature </w:t>
      </w:r>
      <w:r w:rsidR="00CD4E6E">
        <w:rPr>
          <w:rFonts w:ascii="Times New Roman" w:hAnsi="Times New Roman" w:cs="Times New Roman"/>
          <w:color w:val="0000FF"/>
        </w:rPr>
        <w:t xml:space="preserve">on bond-stock betas </w:t>
      </w:r>
      <w:r>
        <w:rPr>
          <w:rFonts w:ascii="Times New Roman" w:hAnsi="Times New Roman" w:cs="Times New Roman"/>
          <w:color w:val="0000FF"/>
        </w:rPr>
        <w:t>is now included at the end of the introduction (</w:t>
      </w:r>
      <w:r w:rsidRPr="0078498D">
        <w:rPr>
          <w:rFonts w:ascii="Times New Roman" w:hAnsi="Times New Roman" w:cs="Times New Roman"/>
          <w:b/>
          <w:bCs/>
          <w:color w:val="0000FF"/>
        </w:rPr>
        <w:t>p</w:t>
      </w:r>
      <w:r w:rsidR="0080743E">
        <w:rPr>
          <w:rFonts w:ascii="Times New Roman" w:hAnsi="Times New Roman" w:cs="Times New Roman"/>
          <w:b/>
          <w:bCs/>
          <w:color w:val="0000FF"/>
        </w:rPr>
        <w:t>p</w:t>
      </w:r>
      <w:r w:rsidRPr="0078498D">
        <w:rPr>
          <w:rFonts w:ascii="Times New Roman" w:hAnsi="Times New Roman" w:cs="Times New Roman"/>
          <w:b/>
          <w:bCs/>
          <w:color w:val="0000FF"/>
        </w:rPr>
        <w:t>. 5</w:t>
      </w:r>
      <w:r w:rsidR="0080743E">
        <w:rPr>
          <w:rFonts w:ascii="Times New Roman" w:hAnsi="Times New Roman" w:cs="Times New Roman"/>
          <w:b/>
          <w:bCs/>
          <w:color w:val="0000FF"/>
        </w:rPr>
        <w:t>-7</w:t>
      </w:r>
      <w:r>
        <w:rPr>
          <w:rFonts w:ascii="Times New Roman" w:hAnsi="Times New Roman" w:cs="Times New Roman"/>
          <w:b/>
          <w:bCs/>
          <w:color w:val="0000FF"/>
        </w:rPr>
        <w:t xml:space="preserve">, paragraphs starting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 xml:space="preserve">Campbell, Pflueger, and </w:t>
      </w:r>
      <w:proofErr w:type="spellStart"/>
      <w:r>
        <w:rPr>
          <w:rFonts w:ascii="Times New Roman" w:hAnsi="Times New Roman" w:cs="Times New Roman"/>
          <w:b/>
          <w:bCs/>
          <w:color w:val="0000FF"/>
        </w:rPr>
        <w:t>Viceira</w:t>
      </w:r>
      <w:proofErr w:type="spellEnd"/>
      <w:r>
        <w:rPr>
          <w:rFonts w:ascii="Times New Roman" w:hAnsi="Times New Roman" w:cs="Times New Roman"/>
          <w:b/>
          <w:bCs/>
          <w:color w:val="0000FF"/>
        </w:rPr>
        <w:t xml:space="preserve">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Pflueger and Rinaldi (2022)</w:t>
      </w:r>
      <w:r w:rsidRPr="0078498D">
        <w:rPr>
          <w:rFonts w:ascii="Times New Roman" w:hAnsi="Times New Roman" w:cs="Times New Roman"/>
          <w:b/>
          <w:bCs/>
          <w:color w:val="0000FF"/>
        </w:rPr>
        <w:t xml:space="preserve"> (…)”)</w:t>
      </w:r>
      <w:r w:rsidRPr="004C4B9E">
        <w:rPr>
          <w:rFonts w:ascii="Times New Roman" w:hAnsi="Times New Roman" w:cs="Times New Roman"/>
          <w:color w:val="0000FF"/>
        </w:rPr>
        <w:t>.</w:t>
      </w:r>
      <w:r>
        <w:rPr>
          <w:rFonts w:ascii="Times New Roman" w:hAnsi="Times New Roman" w:cs="Times New Roman"/>
          <w:color w:val="0000FF"/>
        </w:rPr>
        <w:t xml:space="preserve"> All papers </w:t>
      </w:r>
      <w:r w:rsidR="006E1431">
        <w:rPr>
          <w:rFonts w:ascii="Times New Roman" w:hAnsi="Times New Roman" w:cs="Times New Roman"/>
          <w:color w:val="0000FF"/>
        </w:rPr>
        <w:t xml:space="preserve">mentioned in your report </w:t>
      </w:r>
      <w:r>
        <w:rPr>
          <w:rFonts w:ascii="Times New Roman" w:hAnsi="Times New Roman" w:cs="Times New Roman"/>
          <w:color w:val="0000FF"/>
        </w:rPr>
        <w:t xml:space="preserve">are now described in the text of the introduction, and previous footnotes have been deleted. </w:t>
      </w:r>
    </w:p>
    <w:p w14:paraId="7DC4F2AA" w14:textId="77777777" w:rsidR="006E1431" w:rsidRPr="00C62C29" w:rsidRDefault="006E1431" w:rsidP="00A94F9C">
      <w:pPr>
        <w:adjustRightInd w:val="0"/>
        <w:spacing w:after="0" w:line="240" w:lineRule="auto"/>
        <w:rPr>
          <w:rFonts w:ascii="Times New Roman" w:hAnsi="Times New Roman" w:cs="Times New Roman"/>
        </w:rPr>
      </w:pPr>
    </w:p>
    <w:p w14:paraId="4E24FE85" w14:textId="64B9BD86" w:rsidR="00730FE5" w:rsidRDefault="00730FE5" w:rsidP="00A75284">
      <w:pPr>
        <w:adjustRightInd w:val="0"/>
        <w:spacing w:after="0" w:line="240" w:lineRule="auto"/>
        <w:rPr>
          <w:rFonts w:ascii="Times New Roman" w:hAnsi="Times New Roman" w:cs="Times New Roman"/>
        </w:rPr>
      </w:pPr>
      <w:r w:rsidRPr="00C62C29">
        <w:rPr>
          <w:rFonts w:ascii="Times New Roman" w:hAnsi="Times New Roman" w:cs="Times New Roman"/>
        </w:rPr>
        <w:t>Secondly, while I generally agree with the author’s calibration across two periods, denoted as R1</w:t>
      </w:r>
      <w:r>
        <w:rPr>
          <w:rFonts w:ascii="Times New Roman" w:hAnsi="Times New Roman" w:cs="Times New Roman" w:hint="eastAsia"/>
        </w:rPr>
        <w:t xml:space="preserve"> </w:t>
      </w:r>
      <w:r w:rsidRPr="00C62C29">
        <w:rPr>
          <w:rFonts w:ascii="Times New Roman" w:hAnsi="Times New Roman" w:cs="Times New Roman"/>
        </w:rPr>
        <w:t>and R2 in my report, I recommend that the author provide more discussion regarding the existing</w:t>
      </w:r>
      <w:r>
        <w:rPr>
          <w:rFonts w:ascii="Times New Roman" w:hAnsi="Times New Roman" w:cs="Times New Roman" w:hint="eastAsia"/>
        </w:rPr>
        <w:t xml:space="preserve"> </w:t>
      </w:r>
      <w:r w:rsidRPr="00C62C29">
        <w:rPr>
          <w:rFonts w:ascii="Times New Roman" w:hAnsi="Times New Roman" w:cs="Times New Roman"/>
        </w:rPr>
        <w:t>macro literature on calibration. The author has touched upon this to some extent in footnote 4,</w:t>
      </w:r>
      <w:r>
        <w:rPr>
          <w:rFonts w:ascii="Times New Roman" w:hAnsi="Times New Roman" w:cs="Times New Roman" w:hint="eastAsia"/>
        </w:rPr>
        <w:t xml:space="preserve"> </w:t>
      </w:r>
      <w:r w:rsidRPr="00C62C29">
        <w:rPr>
          <w:rFonts w:ascii="Times New Roman" w:hAnsi="Times New Roman" w:cs="Times New Roman"/>
        </w:rPr>
        <w:t>where she discussed the shift to a more inertial monetary policy rule with greater emphasis on output,</w:t>
      </w:r>
      <w:r>
        <w:rPr>
          <w:rFonts w:ascii="Times New Roman" w:hAnsi="Times New Roman" w:cs="Times New Roman" w:hint="eastAsia"/>
        </w:rPr>
        <w:t xml:space="preserve"> </w:t>
      </w:r>
      <w:r w:rsidRPr="00C62C29">
        <w:rPr>
          <w:rFonts w:ascii="Times New Roman" w:hAnsi="Times New Roman" w:cs="Times New Roman"/>
        </w:rPr>
        <w:t>aligning with anecdotal evidence. However, the part concerning dominant supply shocks in the 80s</w:t>
      </w:r>
      <w:r>
        <w:rPr>
          <w:rFonts w:ascii="Times New Roman" w:hAnsi="Times New Roman" w:cs="Times New Roman" w:hint="eastAsia"/>
        </w:rPr>
        <w:t xml:space="preserve"> </w:t>
      </w:r>
      <w:r w:rsidRPr="00C62C29">
        <w:rPr>
          <w:rFonts w:ascii="Times New Roman" w:hAnsi="Times New Roman" w:cs="Times New Roman"/>
        </w:rPr>
        <w:t xml:space="preserve">versus demand shocks in the 00s may warrant further discussion. </w:t>
      </w:r>
      <w:proofErr w:type="gramStart"/>
      <w:r w:rsidRPr="00C62C29">
        <w:rPr>
          <w:rFonts w:ascii="Times New Roman" w:hAnsi="Times New Roman" w:cs="Times New Roman"/>
        </w:rPr>
        <w:t>In particular, Table</w:t>
      </w:r>
      <w:proofErr w:type="gramEnd"/>
      <w:r w:rsidRPr="00C62C29">
        <w:rPr>
          <w:rFonts w:ascii="Times New Roman" w:hAnsi="Times New Roman" w:cs="Times New Roman"/>
        </w:rPr>
        <w:t xml:space="preserve"> 1 highlights a</w:t>
      </w:r>
      <w:r>
        <w:rPr>
          <w:rFonts w:ascii="Times New Roman" w:hAnsi="Times New Roman" w:cs="Times New Roman" w:hint="eastAsia"/>
        </w:rPr>
        <w:t xml:space="preserve"> </w:t>
      </w:r>
      <w:r w:rsidRPr="00C62C29">
        <w:rPr>
          <w:rFonts w:ascii="Times New Roman" w:hAnsi="Times New Roman" w:cs="Times New Roman"/>
        </w:rPr>
        <w:t xml:space="preserve">substantial difference in the </w:t>
      </w:r>
      <w:r w:rsidRPr="00A43011">
        <w:rPr>
          <w:rFonts w:ascii="Times New Roman" w:hAnsi="Times New Roman" w:cs="Times New Roman"/>
        </w:rPr>
        <w:t xml:space="preserve">magnitudes of volatilities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oMath>
      <w:r w:rsidRPr="00A43011">
        <w:rPr>
          <w:rFonts w:ascii="Times New Roman" w:hAnsi="Times New Roman" w:cs="Times New Roman"/>
        </w:rPr>
        <w:t xml:space="preserve"> for </w:t>
      </w:r>
      <m:oMath>
        <m:r>
          <w:rPr>
            <w:rFonts w:ascii="Cambria Math" w:hAnsi="Cambria Math" w:cs="Times New Roman"/>
          </w:rPr>
          <m:t xml:space="preserve">j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x,</m:t>
        </m:r>
        <m:r>
          <m:rPr>
            <m:sty m:val="p"/>
          </m:rPr>
          <w:rPr>
            <w:rFonts w:ascii="Cambria Math" w:hAnsi="Cambria Math" w:cs="Times New Roman"/>
          </w:rPr>
          <m:t>π</m:t>
        </m:r>
        <m:r>
          <w:rPr>
            <w:rFonts w:ascii="Cambria Math" w:hAnsi="Cambria Math" w:cs="Times New Roman"/>
          </w:rPr>
          <m:t>, i</m:t>
        </m:r>
        <m:r>
          <m:rPr>
            <m:lit/>
          </m:rPr>
          <w:rPr>
            <w:rFonts w:ascii="Cambria Math" w:hAnsi="Cambria Math" w:cs="Times New Roman"/>
          </w:rPr>
          <m:t>}</m:t>
        </m:r>
      </m:oMath>
      <w:r w:rsidRPr="00A43011">
        <w:rPr>
          <w:rFonts w:ascii="Times New Roman" w:hAnsi="Times New Roman" w:cs="Times New Roman" w:hint="eastAsia"/>
        </w:rPr>
        <w:t xml:space="preserve"> </w:t>
      </w:r>
      <w:r w:rsidRPr="00A43011">
        <w:rPr>
          <w:rFonts w:ascii="Times New Roman" w:hAnsi="Times New Roman" w:cs="Times New Roman"/>
        </w:rPr>
        <w:t>across the two periods. Two</w:t>
      </w:r>
      <w:r w:rsidRPr="00A43011">
        <w:rPr>
          <w:rFonts w:ascii="Times New Roman" w:hAnsi="Times New Roman" w:cs="Times New Roman" w:hint="eastAsia"/>
        </w:rPr>
        <w:t xml:space="preserve"> </w:t>
      </w:r>
      <w:r w:rsidRPr="00A43011">
        <w:rPr>
          <w:rFonts w:ascii="Times New Roman" w:hAnsi="Times New Roman" w:cs="Times New Roman"/>
        </w:rPr>
        <w:t xml:space="preserve">notable references, Liu, Waggoner, and Zha (2011) and Bianchi and </w:t>
      </w:r>
      <w:proofErr w:type="spellStart"/>
      <w:r w:rsidRPr="00A43011">
        <w:rPr>
          <w:rFonts w:ascii="Times New Roman" w:hAnsi="Times New Roman" w:cs="Times New Roman"/>
        </w:rPr>
        <w:t>Ilut</w:t>
      </w:r>
      <w:proofErr w:type="spellEnd"/>
      <w:r w:rsidRPr="00A43011">
        <w:rPr>
          <w:rFonts w:ascii="Times New Roman" w:hAnsi="Times New Roman" w:cs="Times New Roman"/>
        </w:rPr>
        <w:t xml:space="preserve"> (2017), offer diverse volatility</w:t>
      </w:r>
      <w:r w:rsidRPr="00A43011">
        <w:rPr>
          <w:rFonts w:ascii="Times New Roman" w:hAnsi="Times New Roman" w:cs="Times New Roman" w:hint="eastAsia"/>
        </w:rPr>
        <w:t xml:space="preserve"> </w:t>
      </w:r>
      <w:r w:rsidRPr="00A43011">
        <w:rPr>
          <w:rFonts w:ascii="Times New Roman" w:hAnsi="Times New Roman" w:cs="Times New Roman"/>
        </w:rPr>
        <w:t>estimates within regime-switching New Keynesian models, both of which are highly cited. However,</w:t>
      </w:r>
      <w:r w:rsidRPr="00A43011">
        <w:rPr>
          <w:rFonts w:ascii="Times New Roman" w:hAnsi="Times New Roman" w:cs="Times New Roman" w:hint="eastAsia"/>
        </w:rPr>
        <w:t xml:space="preserve"> </w:t>
      </w:r>
      <w:r w:rsidRPr="00A43011">
        <w:rPr>
          <w:rFonts w:ascii="Times New Roman" w:hAnsi="Times New Roman" w:cs="Times New Roman"/>
        </w:rPr>
        <w:t>given the intricacies of their respective frameworks, which incorporate</w:t>
      </w:r>
      <w:r w:rsidRPr="00166411">
        <w:rPr>
          <w:rFonts w:ascii="Times New Roman" w:hAnsi="Times New Roman" w:cs="Times New Roman"/>
        </w:rPr>
        <w:t xml:space="preserve"> a broader array of structural</w:t>
      </w:r>
      <w:r w:rsidRPr="00166411">
        <w:rPr>
          <w:rFonts w:ascii="Times New Roman" w:hAnsi="Times New Roman" w:cs="Times New Roman" w:hint="eastAsia"/>
        </w:rPr>
        <w:t xml:space="preserve"> </w:t>
      </w:r>
      <w:r w:rsidRPr="00166411">
        <w:rPr>
          <w:rFonts w:ascii="Times New Roman" w:hAnsi="Times New Roman" w:cs="Times New Roman"/>
        </w:rPr>
        <w:t xml:space="preserve">shocks, direct comparisons may be challenging. </w:t>
      </w:r>
      <w:proofErr w:type="gramStart"/>
      <w:r w:rsidRPr="00166411">
        <w:rPr>
          <w:rFonts w:ascii="Times New Roman" w:hAnsi="Times New Roman" w:cs="Times New Roman"/>
        </w:rPr>
        <w:t>In light of</w:t>
      </w:r>
      <w:proofErr w:type="gramEnd"/>
      <w:r w:rsidRPr="00166411">
        <w:rPr>
          <w:rFonts w:ascii="Times New Roman" w:hAnsi="Times New Roman" w:cs="Times New Roman"/>
        </w:rPr>
        <w:t xml:space="preserve"> this complexity, it becomes imperative</w:t>
      </w:r>
      <w:r w:rsidRPr="00166411">
        <w:rPr>
          <w:rFonts w:ascii="Times New Roman" w:hAnsi="Times New Roman" w:cs="Times New Roman" w:hint="eastAsia"/>
        </w:rPr>
        <w:t xml:space="preserve"> </w:t>
      </w:r>
      <w:r w:rsidRPr="00166411">
        <w:rPr>
          <w:rFonts w:ascii="Times New Roman" w:hAnsi="Times New Roman" w:cs="Times New Roman"/>
        </w:rPr>
        <w:t>for the reader to discern whether the current paper’s calibration, particularly on (P1), aligns broadly</w:t>
      </w:r>
      <w:r w:rsidRPr="00166411">
        <w:rPr>
          <w:rFonts w:ascii="Times New Roman" w:hAnsi="Times New Roman" w:cs="Times New Roman" w:hint="eastAsia"/>
        </w:rPr>
        <w:t xml:space="preserve"> </w:t>
      </w:r>
      <w:r w:rsidRPr="00166411">
        <w:rPr>
          <w:rFonts w:ascii="Times New Roman" w:hAnsi="Times New Roman" w:cs="Times New Roman"/>
        </w:rPr>
        <w:t>with the trends observed in the macro DSGE literature. Should disparities arise, elucidating</w:t>
      </w:r>
      <w:r w:rsidRPr="00C62C29">
        <w:rPr>
          <w:rFonts w:ascii="Times New Roman" w:hAnsi="Times New Roman" w:cs="Times New Roman"/>
        </w:rPr>
        <w:t xml:space="preserve"> the</w:t>
      </w:r>
      <w:r>
        <w:rPr>
          <w:rFonts w:ascii="Times New Roman" w:hAnsi="Times New Roman" w:cs="Times New Roman" w:hint="eastAsia"/>
        </w:rPr>
        <w:t xml:space="preserve"> </w:t>
      </w:r>
      <w:r w:rsidRPr="00C62C29">
        <w:rPr>
          <w:rFonts w:ascii="Times New Roman" w:hAnsi="Times New Roman" w:cs="Times New Roman"/>
        </w:rPr>
        <w:t>rationale behind such deviations becomes essential. This clarity is paramount, especially considering</w:t>
      </w:r>
      <w:r>
        <w:rPr>
          <w:rFonts w:ascii="Times New Roman" w:hAnsi="Times New Roman" w:cs="Times New Roman" w:hint="eastAsia"/>
        </w:rPr>
        <w:t xml:space="preserve"> </w:t>
      </w:r>
      <w:r w:rsidRPr="00C62C29">
        <w:rPr>
          <w:rFonts w:ascii="Times New Roman" w:hAnsi="Times New Roman" w:cs="Times New Roman"/>
        </w:rPr>
        <w:t>that subsequent counterfactual analyses pivot critically on the calibration values delineated in Table 1.</w:t>
      </w:r>
    </w:p>
    <w:p w14:paraId="261D2DEB" w14:textId="77777777" w:rsidR="001C00B9" w:rsidRDefault="001C00B9" w:rsidP="00A75284">
      <w:pPr>
        <w:adjustRightInd w:val="0"/>
        <w:spacing w:after="0" w:line="240" w:lineRule="auto"/>
        <w:rPr>
          <w:rFonts w:ascii="Times New Roman" w:hAnsi="Times New Roman" w:cs="Times New Roman"/>
        </w:rPr>
      </w:pPr>
    </w:p>
    <w:p w14:paraId="525EACED" w14:textId="2CF76DDD" w:rsidR="00D40AFE" w:rsidRDefault="001C00B9" w:rsidP="00D40AFE">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w:t>
      </w:r>
      <w:r w:rsidR="00D40AFE">
        <w:rPr>
          <w:rFonts w:ascii="Times New Roman" w:hAnsi="Times New Roman" w:cs="Times New Roman"/>
          <w:color w:val="0000FF"/>
        </w:rPr>
        <w:t xml:space="preserve">Thank you for this helpful comment. I added a much more detailed discussion of the shock volatility calibrations, especially for the first subperiod covering the 1980s and 1990s. </w:t>
      </w:r>
    </w:p>
    <w:p w14:paraId="0063DCEA" w14:textId="77777777" w:rsidR="00D40AFE" w:rsidRDefault="00D40AFE" w:rsidP="00D40AFE">
      <w:pPr>
        <w:adjustRightInd w:val="0"/>
        <w:spacing w:after="0" w:line="240" w:lineRule="auto"/>
        <w:ind w:left="360"/>
        <w:rPr>
          <w:rFonts w:ascii="Times New Roman" w:hAnsi="Times New Roman" w:cs="Times New Roman"/>
          <w:color w:val="0000FF"/>
        </w:rPr>
      </w:pPr>
    </w:p>
    <w:p w14:paraId="6B81BCDA" w14:textId="1CD20474" w:rsidR="006C295A" w:rsidRDefault="00D40AFE" w:rsidP="00D40AFE">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Liu, Waggoner and Zha (2011) and Bianchi and </w:t>
      </w:r>
      <w:proofErr w:type="spellStart"/>
      <w:r>
        <w:rPr>
          <w:rFonts w:ascii="Times New Roman" w:hAnsi="Times New Roman" w:cs="Times New Roman"/>
          <w:color w:val="0000FF"/>
        </w:rPr>
        <w:t>Ilut</w:t>
      </w:r>
      <w:proofErr w:type="spellEnd"/>
      <w:r>
        <w:rPr>
          <w:rFonts w:ascii="Times New Roman" w:hAnsi="Times New Roman" w:cs="Times New Roman"/>
          <w:color w:val="0000FF"/>
        </w:rPr>
        <w:t xml:space="preserve"> (2017) </w:t>
      </w:r>
      <w:r w:rsidR="0042698B">
        <w:rPr>
          <w:rFonts w:ascii="Times New Roman" w:hAnsi="Times New Roman" w:cs="Times New Roman"/>
          <w:color w:val="0000FF"/>
        </w:rPr>
        <w:t>both rely on</w:t>
      </w:r>
      <w:r w:rsidR="008661BE">
        <w:rPr>
          <w:rFonts w:ascii="Times New Roman" w:hAnsi="Times New Roman" w:cs="Times New Roman"/>
          <w:color w:val="0000FF"/>
        </w:rPr>
        <w:t xml:space="preserve"> sample</w:t>
      </w:r>
      <w:r w:rsidR="0042698B">
        <w:rPr>
          <w:rFonts w:ascii="Times New Roman" w:hAnsi="Times New Roman" w:cs="Times New Roman"/>
          <w:color w:val="0000FF"/>
        </w:rPr>
        <w:t>s</w:t>
      </w:r>
      <w:r w:rsidR="008661BE">
        <w:rPr>
          <w:rFonts w:ascii="Times New Roman" w:hAnsi="Times New Roman" w:cs="Times New Roman"/>
          <w:color w:val="0000FF"/>
        </w:rPr>
        <w:t xml:space="preserve"> that start significantly earlier and end earlier than </w:t>
      </w:r>
      <w:r w:rsidR="0042698B">
        <w:rPr>
          <w:rFonts w:ascii="Times New Roman" w:hAnsi="Times New Roman" w:cs="Times New Roman"/>
          <w:color w:val="0000FF"/>
        </w:rPr>
        <w:t>the one in this paper, and allow only for two different volatility regimes</w:t>
      </w:r>
      <w:r w:rsidR="00684F25">
        <w:rPr>
          <w:rFonts w:ascii="Times New Roman" w:hAnsi="Times New Roman" w:cs="Times New Roman"/>
          <w:color w:val="0000FF"/>
        </w:rPr>
        <w:t xml:space="preserve">. As a result, they </w:t>
      </w:r>
      <w:r w:rsidR="0042698B">
        <w:rPr>
          <w:rFonts w:ascii="Times New Roman" w:hAnsi="Times New Roman" w:cs="Times New Roman"/>
          <w:color w:val="0000FF"/>
        </w:rPr>
        <w:t xml:space="preserve">naturally </w:t>
      </w:r>
      <w:r w:rsidR="00684F25">
        <w:rPr>
          <w:rFonts w:ascii="Times New Roman" w:hAnsi="Times New Roman" w:cs="Times New Roman"/>
          <w:color w:val="0000FF"/>
        </w:rPr>
        <w:t xml:space="preserve">detect one switch in shock volatilities around </w:t>
      </w:r>
      <w:r w:rsidR="00294589">
        <w:rPr>
          <w:rFonts w:ascii="Times New Roman" w:hAnsi="Times New Roman" w:cs="Times New Roman"/>
          <w:color w:val="0000FF"/>
        </w:rPr>
        <w:t xml:space="preserve">or shortly after 1980, </w:t>
      </w:r>
      <w:r w:rsidR="00DD21D5">
        <w:rPr>
          <w:rFonts w:ascii="Times New Roman" w:hAnsi="Times New Roman" w:cs="Times New Roman"/>
          <w:color w:val="0000FF"/>
        </w:rPr>
        <w:t>characterized by a roughly proportional decline in the volatilities of all shocks</w:t>
      </w:r>
      <w:r w:rsidR="0042698B">
        <w:rPr>
          <w:rFonts w:ascii="Times New Roman" w:hAnsi="Times New Roman" w:cs="Times New Roman"/>
          <w:color w:val="0000FF"/>
        </w:rPr>
        <w:t>. My sample starts roughly at the time of th</w:t>
      </w:r>
      <w:r w:rsidR="00684F25">
        <w:rPr>
          <w:rFonts w:ascii="Times New Roman" w:hAnsi="Times New Roman" w:cs="Times New Roman"/>
          <w:color w:val="0000FF"/>
        </w:rPr>
        <w:t>eir</w:t>
      </w:r>
      <w:r w:rsidR="0042698B">
        <w:rPr>
          <w:rFonts w:ascii="Times New Roman" w:hAnsi="Times New Roman" w:cs="Times New Roman"/>
          <w:color w:val="0000FF"/>
        </w:rPr>
        <w:t xml:space="preserve"> </w:t>
      </w:r>
      <w:r w:rsidR="00684F25">
        <w:rPr>
          <w:rFonts w:ascii="Times New Roman" w:hAnsi="Times New Roman" w:cs="Times New Roman"/>
          <w:color w:val="0000FF"/>
        </w:rPr>
        <w:t>switch in volatilities</w:t>
      </w:r>
      <w:r w:rsidR="006C295A">
        <w:rPr>
          <w:rFonts w:ascii="Times New Roman" w:hAnsi="Times New Roman" w:cs="Times New Roman"/>
          <w:color w:val="0000FF"/>
        </w:rPr>
        <w:t>,</w:t>
      </w:r>
      <w:r w:rsidR="0042698B">
        <w:rPr>
          <w:rFonts w:ascii="Times New Roman" w:hAnsi="Times New Roman" w:cs="Times New Roman"/>
          <w:color w:val="0000FF"/>
        </w:rPr>
        <w:t xml:space="preserve"> because concerns about sunspots and fiscal dominance prior to 1980 are outside the scope of this paper. I </w:t>
      </w:r>
      <w:r w:rsidR="00684F25">
        <w:rPr>
          <w:rFonts w:ascii="Times New Roman" w:hAnsi="Times New Roman" w:cs="Times New Roman"/>
          <w:color w:val="0000FF"/>
        </w:rPr>
        <w:t xml:space="preserve">therefore </w:t>
      </w:r>
      <w:r w:rsidR="0042698B">
        <w:rPr>
          <w:rFonts w:ascii="Times New Roman" w:hAnsi="Times New Roman" w:cs="Times New Roman"/>
          <w:color w:val="0000FF"/>
        </w:rPr>
        <w:t xml:space="preserve">cannot detect the shift from high volatility to low volatility that they </w:t>
      </w:r>
      <w:r w:rsidR="006C295A">
        <w:rPr>
          <w:rFonts w:ascii="Times New Roman" w:hAnsi="Times New Roman" w:cs="Times New Roman"/>
          <w:color w:val="0000FF"/>
        </w:rPr>
        <w:t>focus on</w:t>
      </w:r>
      <w:r w:rsidR="0042698B">
        <w:rPr>
          <w:rFonts w:ascii="Times New Roman" w:hAnsi="Times New Roman" w:cs="Times New Roman"/>
          <w:color w:val="0000FF"/>
        </w:rPr>
        <w:t xml:space="preserve">. </w:t>
      </w:r>
      <w:r w:rsidR="006C295A">
        <w:rPr>
          <w:rFonts w:ascii="Times New Roman" w:hAnsi="Times New Roman" w:cs="Times New Roman"/>
          <w:color w:val="0000FF"/>
        </w:rPr>
        <w:t xml:space="preserve">I use a break around 2000 and estimate a shift in </w:t>
      </w:r>
      <w:r w:rsidR="006C295A">
        <w:rPr>
          <w:rFonts w:ascii="Times New Roman" w:hAnsi="Times New Roman" w:cs="Times New Roman"/>
          <w:color w:val="0000FF"/>
        </w:rPr>
        <w:lastRenderedPageBreak/>
        <w:t xml:space="preserve">the relative volatilities of supply-type v. demand-type shocks, in line with the more reduced-form approach to regime switches of Sims and Zha (2006) and the monetary policy model with term premia of Bianchi, Lettau, and Ludvigson (2022).  </w:t>
      </w:r>
    </w:p>
    <w:p w14:paraId="3473702F" w14:textId="77777777" w:rsidR="006C295A" w:rsidRDefault="006C295A" w:rsidP="00D40AFE">
      <w:pPr>
        <w:adjustRightInd w:val="0"/>
        <w:spacing w:after="0" w:line="240" w:lineRule="auto"/>
        <w:ind w:left="360"/>
        <w:rPr>
          <w:rFonts w:ascii="Times New Roman" w:hAnsi="Times New Roman" w:cs="Times New Roman"/>
          <w:color w:val="0000FF"/>
        </w:rPr>
      </w:pPr>
    </w:p>
    <w:p w14:paraId="4C11B700" w14:textId="7C01BBB4" w:rsidR="00434C5E" w:rsidRDefault="006C295A" w:rsidP="005560B4">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focus of this paper on </w:t>
      </w:r>
      <w:r w:rsidR="00A43011">
        <w:rPr>
          <w:rFonts w:ascii="Times New Roman" w:hAnsi="Times New Roman" w:cs="Times New Roman"/>
          <w:color w:val="0000FF"/>
        </w:rPr>
        <w:t>bond risks</w:t>
      </w:r>
      <w:r>
        <w:rPr>
          <w:rFonts w:ascii="Times New Roman" w:hAnsi="Times New Roman" w:cs="Times New Roman"/>
          <w:color w:val="0000FF"/>
        </w:rPr>
        <w:t xml:space="preserve"> is another important differentiator relative to this prior literature</w:t>
      </w:r>
      <w:r w:rsidR="000A2927">
        <w:rPr>
          <w:rFonts w:ascii="Times New Roman" w:hAnsi="Times New Roman" w:cs="Times New Roman"/>
          <w:color w:val="0000FF"/>
        </w:rPr>
        <w:t xml:space="preserve">, and </w:t>
      </w:r>
      <w:r w:rsidR="00A43011">
        <w:rPr>
          <w:rFonts w:ascii="Times New Roman" w:hAnsi="Times New Roman" w:cs="Times New Roman"/>
          <w:color w:val="0000FF"/>
        </w:rPr>
        <w:t xml:space="preserve">is a further rationale </w:t>
      </w:r>
      <w:r w:rsidR="000A2927">
        <w:rPr>
          <w:rFonts w:ascii="Times New Roman" w:hAnsi="Times New Roman" w:cs="Times New Roman"/>
          <w:color w:val="0000FF"/>
        </w:rPr>
        <w:t xml:space="preserve">why the </w:t>
      </w:r>
      <w:r w:rsidR="00A43011">
        <w:rPr>
          <w:rFonts w:ascii="Times New Roman" w:hAnsi="Times New Roman" w:cs="Times New Roman"/>
          <w:color w:val="0000FF"/>
        </w:rPr>
        <w:t xml:space="preserve">volatility </w:t>
      </w:r>
      <w:r w:rsidR="00B94194">
        <w:rPr>
          <w:rFonts w:ascii="Times New Roman" w:hAnsi="Times New Roman" w:cs="Times New Roman"/>
          <w:color w:val="0000FF"/>
        </w:rPr>
        <w:t xml:space="preserve">regimes </w:t>
      </w:r>
      <w:r w:rsidR="00A43011">
        <w:rPr>
          <w:rFonts w:ascii="Times New Roman" w:hAnsi="Times New Roman" w:cs="Times New Roman"/>
          <w:color w:val="0000FF"/>
        </w:rPr>
        <w:t>in this paper are different from the macroeconomics literature</w:t>
      </w:r>
      <w:r>
        <w:rPr>
          <w:rFonts w:ascii="Times New Roman" w:hAnsi="Times New Roman" w:cs="Times New Roman"/>
          <w:color w:val="0000FF"/>
        </w:rPr>
        <w:t xml:space="preserve">. Bond-stock betas are regression coefficients, and hence roughly </w:t>
      </w:r>
      <w:r w:rsidR="00A43011">
        <w:rPr>
          <w:rFonts w:ascii="Times New Roman" w:hAnsi="Times New Roman" w:cs="Times New Roman"/>
          <w:color w:val="0000FF"/>
        </w:rPr>
        <w:t xml:space="preserve">invariant </w:t>
      </w:r>
      <w:r>
        <w:rPr>
          <w:rFonts w:ascii="Times New Roman" w:hAnsi="Times New Roman" w:cs="Times New Roman"/>
          <w:color w:val="0000FF"/>
        </w:rPr>
        <w:t xml:space="preserve">to a proportional </w:t>
      </w:r>
      <w:r w:rsidR="00A138AD">
        <w:rPr>
          <w:rFonts w:ascii="Times New Roman" w:hAnsi="Times New Roman" w:cs="Times New Roman"/>
          <w:color w:val="0000FF"/>
        </w:rPr>
        <w:t>change</w:t>
      </w:r>
      <w:r>
        <w:rPr>
          <w:rFonts w:ascii="Times New Roman" w:hAnsi="Times New Roman" w:cs="Times New Roman"/>
          <w:color w:val="0000FF"/>
        </w:rPr>
        <w:t xml:space="preserve"> in the </w:t>
      </w:r>
      <w:r w:rsidR="00A43011">
        <w:rPr>
          <w:rFonts w:ascii="Times New Roman" w:hAnsi="Times New Roman" w:cs="Times New Roman"/>
          <w:color w:val="0000FF"/>
        </w:rPr>
        <w:t>volatilit</w:t>
      </w:r>
      <w:r w:rsidR="003213B0">
        <w:rPr>
          <w:rFonts w:ascii="Times New Roman" w:hAnsi="Times New Roman" w:cs="Times New Roman"/>
          <w:color w:val="0000FF"/>
        </w:rPr>
        <w:t>ies</w:t>
      </w:r>
      <w:r w:rsidR="00A43011">
        <w:rPr>
          <w:rFonts w:ascii="Times New Roman" w:hAnsi="Times New Roman" w:cs="Times New Roman"/>
          <w:color w:val="0000FF"/>
        </w:rPr>
        <w:t xml:space="preserve"> of all shocks</w:t>
      </w:r>
      <w:r>
        <w:rPr>
          <w:rFonts w:ascii="Times New Roman" w:hAnsi="Times New Roman" w:cs="Times New Roman"/>
          <w:color w:val="0000FF"/>
        </w:rPr>
        <w:t xml:space="preserve">. The same is true for the </w:t>
      </w:r>
      <w:r w:rsidR="008661BE">
        <w:rPr>
          <w:rFonts w:ascii="Times New Roman" w:hAnsi="Times New Roman" w:cs="Times New Roman"/>
          <w:color w:val="0000FF"/>
        </w:rPr>
        <w:t>output-inflation, output-interest rate, and interest rate-inflation loadings</w:t>
      </w:r>
      <w:r>
        <w:rPr>
          <w:rFonts w:ascii="Times New Roman" w:hAnsi="Times New Roman" w:cs="Times New Roman"/>
          <w:color w:val="0000FF"/>
        </w:rPr>
        <w:t xml:space="preserve"> targeted in the calibration. For this reason, </w:t>
      </w:r>
      <w:r w:rsidR="00A43011">
        <w:rPr>
          <w:rFonts w:ascii="Times New Roman" w:hAnsi="Times New Roman" w:cs="Times New Roman"/>
          <w:color w:val="0000FF"/>
        </w:rPr>
        <w:t xml:space="preserve">my calibration procedure picks up on </w:t>
      </w:r>
      <w:r>
        <w:rPr>
          <w:rFonts w:ascii="Times New Roman" w:hAnsi="Times New Roman" w:cs="Times New Roman"/>
          <w:color w:val="0000FF"/>
        </w:rPr>
        <w:t xml:space="preserve">the relative volatilities of </w:t>
      </w:r>
      <w:r w:rsidR="00A43011">
        <w:rPr>
          <w:rFonts w:ascii="Times New Roman" w:hAnsi="Times New Roman" w:cs="Times New Roman"/>
          <w:color w:val="0000FF"/>
        </w:rPr>
        <w:t xml:space="preserve">supply vs. demand </w:t>
      </w:r>
      <w:r>
        <w:rPr>
          <w:rFonts w:ascii="Times New Roman" w:hAnsi="Times New Roman" w:cs="Times New Roman"/>
          <w:color w:val="0000FF"/>
        </w:rPr>
        <w:t>shocks</w:t>
      </w:r>
      <w:r w:rsidR="00A43011">
        <w:rPr>
          <w:rFonts w:ascii="Times New Roman" w:hAnsi="Times New Roman" w:cs="Times New Roman"/>
          <w:color w:val="0000FF"/>
        </w:rPr>
        <w:t>, which also drive the</w:t>
      </w:r>
      <w:r>
        <w:rPr>
          <w:rFonts w:ascii="Times New Roman" w:hAnsi="Times New Roman" w:cs="Times New Roman"/>
          <w:color w:val="0000FF"/>
        </w:rPr>
        <w:t xml:space="preserve"> bond</w:t>
      </w:r>
      <w:r w:rsidR="00A43011">
        <w:rPr>
          <w:rFonts w:ascii="Times New Roman" w:hAnsi="Times New Roman" w:cs="Times New Roman"/>
          <w:color w:val="0000FF"/>
        </w:rPr>
        <w:t>-stock betas which are the focus of this paper</w:t>
      </w:r>
      <w:r>
        <w:rPr>
          <w:rFonts w:ascii="Times New Roman" w:hAnsi="Times New Roman" w:cs="Times New Roman"/>
          <w:color w:val="0000FF"/>
        </w:rPr>
        <w:t xml:space="preserve">. </w:t>
      </w:r>
      <w:r w:rsidR="0042698B">
        <w:rPr>
          <w:rFonts w:ascii="Times New Roman" w:hAnsi="Times New Roman" w:cs="Times New Roman"/>
          <w:color w:val="0000FF"/>
        </w:rPr>
        <w:t>The overall volatilit</w:t>
      </w:r>
      <w:r w:rsidR="003C7A80">
        <w:rPr>
          <w:rFonts w:ascii="Times New Roman" w:hAnsi="Times New Roman" w:cs="Times New Roman"/>
          <w:color w:val="0000FF"/>
        </w:rPr>
        <w:t>y</w:t>
      </w:r>
      <w:r w:rsidR="0042698B">
        <w:rPr>
          <w:rFonts w:ascii="Times New Roman" w:hAnsi="Times New Roman" w:cs="Times New Roman"/>
          <w:color w:val="0000FF"/>
        </w:rPr>
        <w:t xml:space="preserve"> of shocks is identified in my calibration procedure by targeting the macroeconomic volatilities in the bottom panel of Table 3, but the</w:t>
      </w:r>
      <w:r>
        <w:rPr>
          <w:rFonts w:ascii="Times New Roman" w:hAnsi="Times New Roman" w:cs="Times New Roman"/>
          <w:color w:val="0000FF"/>
        </w:rPr>
        <w:t xml:space="preserve"> overall level of the volatility of shocks is </w:t>
      </w:r>
      <w:r w:rsidR="005240CC">
        <w:rPr>
          <w:rFonts w:ascii="Times New Roman" w:hAnsi="Times New Roman" w:cs="Times New Roman"/>
          <w:color w:val="0000FF"/>
        </w:rPr>
        <w:t xml:space="preserve">less </w:t>
      </w:r>
      <w:r>
        <w:rPr>
          <w:rFonts w:ascii="Times New Roman" w:hAnsi="Times New Roman" w:cs="Times New Roman"/>
          <w:color w:val="0000FF"/>
        </w:rPr>
        <w:t xml:space="preserve">central to </w:t>
      </w:r>
      <w:r w:rsidR="005240CC">
        <w:rPr>
          <w:rFonts w:ascii="Times New Roman" w:hAnsi="Times New Roman" w:cs="Times New Roman"/>
          <w:color w:val="0000FF"/>
        </w:rPr>
        <w:t xml:space="preserve">the question of this paper than it is for the </w:t>
      </w:r>
      <w:r>
        <w:rPr>
          <w:rFonts w:ascii="Times New Roman" w:hAnsi="Times New Roman" w:cs="Times New Roman"/>
          <w:color w:val="0000FF"/>
        </w:rPr>
        <w:t>macroeconomics literature on regime switches.</w:t>
      </w:r>
      <w:r w:rsidR="00D40AFE">
        <w:rPr>
          <w:rFonts w:ascii="Times New Roman" w:hAnsi="Times New Roman" w:cs="Times New Roman"/>
          <w:color w:val="0000FF"/>
        </w:rPr>
        <w:t xml:space="preserve"> </w:t>
      </w:r>
      <w:r w:rsidR="00113AF3">
        <w:rPr>
          <w:rFonts w:ascii="Times New Roman" w:hAnsi="Times New Roman" w:cs="Times New Roman"/>
          <w:color w:val="0000FF"/>
        </w:rPr>
        <w:t xml:space="preserve">The revised manuscript clarifies the relationship to Liu, Waggoner, and Zha (2011) and Bianchi and </w:t>
      </w:r>
      <w:proofErr w:type="spellStart"/>
      <w:r w:rsidR="00113AF3">
        <w:rPr>
          <w:rFonts w:ascii="Times New Roman" w:hAnsi="Times New Roman" w:cs="Times New Roman"/>
          <w:color w:val="0000FF"/>
        </w:rPr>
        <w:t>Ilut</w:t>
      </w:r>
      <w:proofErr w:type="spellEnd"/>
      <w:r w:rsidR="00113AF3">
        <w:rPr>
          <w:rFonts w:ascii="Times New Roman" w:hAnsi="Times New Roman" w:cs="Times New Roman"/>
          <w:color w:val="0000FF"/>
        </w:rPr>
        <w:t xml:space="preserve"> (2017) in the introduction (</w:t>
      </w:r>
      <w:r w:rsidR="00113AF3" w:rsidRPr="00113AF3">
        <w:rPr>
          <w:rFonts w:ascii="Times New Roman" w:hAnsi="Times New Roman" w:cs="Times New Roman"/>
          <w:b/>
          <w:bCs/>
          <w:color w:val="0000FF"/>
        </w:rPr>
        <w:t>p.7 “A long-standing literature on DSGE models with regime switches</w:t>
      </w:r>
      <w:r w:rsidR="00113AF3">
        <w:rPr>
          <w:rFonts w:ascii="Times New Roman" w:hAnsi="Times New Roman" w:cs="Times New Roman"/>
          <w:b/>
          <w:bCs/>
          <w:color w:val="0000FF"/>
        </w:rPr>
        <w:t>…</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 xml:space="preserve">) </w:t>
      </w:r>
      <w:r w:rsidR="00113AF3">
        <w:rPr>
          <w:rFonts w:ascii="Times New Roman" w:hAnsi="Times New Roman" w:cs="Times New Roman"/>
          <w:color w:val="0000FF"/>
        </w:rPr>
        <w:t>and in the calibration section (</w:t>
      </w:r>
      <w:r w:rsidR="00113AF3" w:rsidRPr="00113AF3">
        <w:rPr>
          <w:rFonts w:ascii="Times New Roman" w:hAnsi="Times New Roman" w:cs="Times New Roman"/>
          <w:b/>
          <w:bCs/>
          <w:color w:val="0000FF"/>
        </w:rPr>
        <w:t>p.21, paragraph starting “One might wonder whether the change in the shock volatilities</w:t>
      </w:r>
      <w:r w:rsidR="00113AF3">
        <w:rPr>
          <w:rFonts w:ascii="Times New Roman" w:hAnsi="Times New Roman" w:cs="Times New Roman"/>
          <w:b/>
          <w:bCs/>
          <w:color w:val="0000FF"/>
        </w:rPr>
        <w:t>…</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w:t>
      </w:r>
      <w:r w:rsidR="00113AF3">
        <w:t xml:space="preserve"> </w:t>
      </w:r>
      <w:r w:rsidR="00113AF3">
        <w:rPr>
          <w:rFonts w:ascii="Times New Roman" w:hAnsi="Times New Roman" w:cs="Times New Roman"/>
          <w:color w:val="0000FF"/>
        </w:rPr>
        <w:t xml:space="preserve"> </w:t>
      </w:r>
    </w:p>
    <w:p w14:paraId="3946A139" w14:textId="77777777" w:rsidR="005560B4" w:rsidRDefault="005560B4" w:rsidP="005560B4">
      <w:pPr>
        <w:adjustRightInd w:val="0"/>
        <w:spacing w:after="0" w:line="240" w:lineRule="auto"/>
        <w:ind w:left="360"/>
        <w:rPr>
          <w:rFonts w:ascii="Times New Roman" w:hAnsi="Times New Roman" w:cs="Times New Roman"/>
          <w:color w:val="0000FF"/>
        </w:rPr>
      </w:pPr>
    </w:p>
    <w:p w14:paraId="59CE9804" w14:textId="4BC8A696" w:rsidR="005560B4" w:rsidRDefault="002C148B" w:rsidP="005560B4">
      <w:pPr>
        <w:adjustRightInd w:val="0"/>
        <w:spacing w:after="0" w:line="240" w:lineRule="auto"/>
        <w:ind w:left="360"/>
        <w:rPr>
          <w:rFonts w:ascii="Times New Roman" w:hAnsi="Times New Roman" w:cs="Times New Roman"/>
          <w:b/>
          <w:bCs/>
          <w:color w:val="0000FF"/>
        </w:rPr>
      </w:pPr>
      <w:r>
        <w:rPr>
          <w:rFonts w:ascii="Times New Roman" w:hAnsi="Times New Roman" w:cs="Times New Roman"/>
          <w:color w:val="0000FF"/>
        </w:rPr>
        <w:t xml:space="preserve">To further support the </w:t>
      </w:r>
      <w:r w:rsidR="005560B4">
        <w:rPr>
          <w:rFonts w:ascii="Times New Roman" w:hAnsi="Times New Roman" w:cs="Times New Roman"/>
          <w:color w:val="0000FF"/>
        </w:rPr>
        <w:t xml:space="preserve">high </w:t>
      </w:r>
      <w:r>
        <w:rPr>
          <w:rFonts w:ascii="Times New Roman" w:hAnsi="Times New Roman" w:cs="Times New Roman"/>
          <w:color w:val="0000FF"/>
        </w:rPr>
        <w:t xml:space="preserve">supply shock volatility </w:t>
      </w:r>
      <w:r w:rsidR="005560B4">
        <w:rPr>
          <w:rFonts w:ascii="Times New Roman" w:hAnsi="Times New Roman" w:cs="Times New Roman"/>
          <w:color w:val="0000FF"/>
        </w:rPr>
        <w:t xml:space="preserve">in </w:t>
      </w:r>
      <w:r w:rsidR="003C7A80">
        <w:rPr>
          <w:rFonts w:ascii="Times New Roman" w:hAnsi="Times New Roman" w:cs="Times New Roman"/>
          <w:color w:val="0000FF"/>
        </w:rPr>
        <w:t>my</w:t>
      </w:r>
      <w:r w:rsidR="005560B4">
        <w:rPr>
          <w:rFonts w:ascii="Times New Roman" w:hAnsi="Times New Roman" w:cs="Times New Roman"/>
          <w:color w:val="0000FF"/>
        </w:rPr>
        <w:t xml:space="preserve"> 1980s calibration</w:t>
      </w:r>
      <w:r>
        <w:rPr>
          <w:rFonts w:ascii="Times New Roman" w:hAnsi="Times New Roman" w:cs="Times New Roman"/>
          <w:color w:val="0000FF"/>
        </w:rPr>
        <w:t xml:space="preserve">, I also added extensive </w:t>
      </w:r>
      <w:proofErr w:type="gramStart"/>
      <w:r>
        <w:rPr>
          <w:rFonts w:ascii="Times New Roman" w:hAnsi="Times New Roman" w:cs="Times New Roman"/>
          <w:color w:val="0000FF"/>
        </w:rPr>
        <w:t>discussion</w:t>
      </w:r>
      <w:proofErr w:type="gramEnd"/>
      <w:r>
        <w:rPr>
          <w:rFonts w:ascii="Times New Roman" w:hAnsi="Times New Roman" w:cs="Times New Roman"/>
          <w:color w:val="0000FF"/>
        </w:rPr>
        <w:t xml:space="preserve"> and a simple newspaper count exercise to the revised manuscript</w:t>
      </w:r>
      <w:r w:rsidR="005560B4">
        <w:rPr>
          <w:rFonts w:ascii="Times New Roman" w:hAnsi="Times New Roman" w:cs="Times New Roman"/>
          <w:color w:val="0000FF"/>
        </w:rPr>
        <w:t xml:space="preserve">. </w:t>
      </w:r>
      <w:r w:rsidR="00EC41F8">
        <w:rPr>
          <w:rFonts w:ascii="Times New Roman" w:hAnsi="Times New Roman" w:cs="Times New Roman"/>
          <w:color w:val="0000FF"/>
        </w:rPr>
        <w:t xml:space="preserve">See </w:t>
      </w:r>
      <w:r w:rsidR="00EC41F8" w:rsidRPr="00EC41F8">
        <w:rPr>
          <w:rFonts w:ascii="Times New Roman" w:hAnsi="Times New Roman" w:cs="Times New Roman"/>
          <w:b/>
          <w:bCs/>
          <w:color w:val="0000FF"/>
        </w:rPr>
        <w:t>p.3</w:t>
      </w:r>
      <w:r w:rsidR="00EC41F8">
        <w:rPr>
          <w:rFonts w:ascii="Times New Roman" w:hAnsi="Times New Roman" w:cs="Times New Roman"/>
          <w:color w:val="0000FF"/>
        </w:rPr>
        <w:t xml:space="preserve"> in the introduction (</w:t>
      </w:r>
      <w:r w:rsidR="00EC41F8" w:rsidRPr="00EC41F8">
        <w:rPr>
          <w:rFonts w:ascii="Times New Roman" w:hAnsi="Times New Roman" w:cs="Times New Roman"/>
          <w:b/>
          <w:bCs/>
          <w:color w:val="0000FF"/>
        </w:rPr>
        <w:t>paragraph starting “The calibrated changes in the monetary policy rule and the nature of macroeconomic shocks are consistent with anecdotal evidence…”</w:t>
      </w:r>
      <w:r w:rsidR="00EC41F8">
        <w:rPr>
          <w:rFonts w:ascii="Times New Roman" w:hAnsi="Times New Roman" w:cs="Times New Roman"/>
          <w:color w:val="0000FF"/>
        </w:rPr>
        <w:t>)</w:t>
      </w:r>
      <w:r>
        <w:rPr>
          <w:rFonts w:ascii="Times New Roman" w:hAnsi="Times New Roman" w:cs="Times New Roman"/>
          <w:color w:val="0000FF"/>
        </w:rPr>
        <w:t xml:space="preserve"> and the calibration section </w:t>
      </w:r>
      <w:r w:rsidR="00113AF3">
        <w:rPr>
          <w:rFonts w:ascii="Times New Roman" w:hAnsi="Times New Roman" w:cs="Times New Roman"/>
          <w:b/>
          <w:bCs/>
          <w:color w:val="0000FF"/>
        </w:rPr>
        <w:t>(see p.20, the two paragraphs starting “</w:t>
      </w:r>
      <w:r w:rsidR="00113AF3" w:rsidRPr="00662D76">
        <w:rPr>
          <w:rFonts w:ascii="Times New Roman" w:hAnsi="Times New Roman" w:cs="Times New Roman"/>
          <w:b/>
          <w:bCs/>
          <w:color w:val="0000FF"/>
        </w:rPr>
        <w:t xml:space="preserve">The top-left plot in Figure </w:t>
      </w:r>
      <w:r w:rsidR="00113AF3">
        <w:rPr>
          <w:rFonts w:ascii="Times New Roman" w:hAnsi="Times New Roman" w:cs="Times New Roman"/>
          <w:b/>
          <w:bCs/>
          <w:color w:val="0000FF"/>
        </w:rPr>
        <w:t xml:space="preserve">2, </w:t>
      </w:r>
      <w:r w:rsidR="00113AF3" w:rsidRPr="00662D76">
        <w:rPr>
          <w:rFonts w:ascii="Times New Roman" w:hAnsi="Times New Roman" w:cs="Times New Roman"/>
          <w:b/>
          <w:bCs/>
          <w:color w:val="0000FF"/>
        </w:rPr>
        <w:t xml:space="preserve">Panel A shows </w:t>
      </w:r>
      <w:proofErr w:type="gramStart"/>
      <w:r w:rsidR="00113AF3" w:rsidRPr="00662D76">
        <w:rPr>
          <w:rFonts w:ascii="Times New Roman" w:hAnsi="Times New Roman" w:cs="Times New Roman"/>
          <w:b/>
          <w:bCs/>
          <w:color w:val="0000FF"/>
        </w:rPr>
        <w:t>that..</w:t>
      </w:r>
      <w:proofErr w:type="gramEnd"/>
      <w:r w:rsidR="00113AF3" w:rsidRPr="00662D76">
        <w:rPr>
          <w:rFonts w:ascii="Times New Roman" w:hAnsi="Times New Roman" w:cs="Times New Roman"/>
          <w:b/>
          <w:bCs/>
          <w:color w:val="0000FF"/>
        </w:rPr>
        <w:t xml:space="preserve">” </w:t>
      </w:r>
      <w:r w:rsidR="00113AF3" w:rsidRPr="00141F18">
        <w:rPr>
          <w:rFonts w:ascii="Times New Roman" w:hAnsi="Times New Roman" w:cs="Times New Roman"/>
          <w:color w:val="0000FF"/>
        </w:rPr>
        <w:t>and the</w:t>
      </w:r>
      <w:r w:rsidR="00113AF3">
        <w:rPr>
          <w:rFonts w:ascii="Times New Roman" w:hAnsi="Times New Roman" w:cs="Times New Roman"/>
          <w:b/>
          <w:bCs/>
          <w:color w:val="0000FF"/>
        </w:rPr>
        <w:t xml:space="preserve"> new </w:t>
      </w:r>
      <w:r w:rsidR="00113AF3" w:rsidRPr="00662D76">
        <w:rPr>
          <w:rFonts w:ascii="Times New Roman" w:hAnsi="Times New Roman" w:cs="Times New Roman"/>
          <w:b/>
          <w:bCs/>
          <w:color w:val="0000FF"/>
        </w:rPr>
        <w:t>footnote 14 on the same page).</w:t>
      </w:r>
      <w:r w:rsidR="00660FBB">
        <w:rPr>
          <w:rFonts w:ascii="Times New Roman" w:hAnsi="Times New Roman" w:cs="Times New Roman"/>
          <w:b/>
          <w:bCs/>
          <w:color w:val="0000FF"/>
        </w:rPr>
        <w:t xml:space="preserve"> </w:t>
      </w:r>
      <w:r w:rsidR="00660FBB">
        <w:rPr>
          <w:rFonts w:ascii="Times New Roman" w:hAnsi="Times New Roman" w:cs="Times New Roman"/>
          <w:color w:val="0000FF"/>
        </w:rPr>
        <w:t xml:space="preserve">Note that the paper by Bauer, Pflueger and </w:t>
      </w:r>
      <w:proofErr w:type="spellStart"/>
      <w:r w:rsidR="00660FBB">
        <w:rPr>
          <w:rFonts w:ascii="Times New Roman" w:hAnsi="Times New Roman" w:cs="Times New Roman"/>
          <w:color w:val="0000FF"/>
        </w:rPr>
        <w:t>Sunderam</w:t>
      </w:r>
      <w:proofErr w:type="spellEnd"/>
      <w:r w:rsidR="00660FBB">
        <w:rPr>
          <w:rFonts w:ascii="Times New Roman" w:hAnsi="Times New Roman" w:cs="Times New Roman"/>
          <w:color w:val="0000FF"/>
        </w:rPr>
        <w:t xml:space="preserve"> (2024) referenced in these paragraphs is purely empirical and uses </w:t>
      </w:r>
      <w:proofErr w:type="gramStart"/>
      <w:r w:rsidR="00660FBB">
        <w:rPr>
          <w:rFonts w:ascii="Times New Roman" w:hAnsi="Times New Roman" w:cs="Times New Roman"/>
          <w:color w:val="0000FF"/>
        </w:rPr>
        <w:t>completely separate</w:t>
      </w:r>
      <w:proofErr w:type="gramEnd"/>
      <w:r w:rsidR="00660FBB">
        <w:rPr>
          <w:rFonts w:ascii="Times New Roman" w:hAnsi="Times New Roman" w:cs="Times New Roman"/>
          <w:color w:val="0000FF"/>
        </w:rPr>
        <w:t xml:space="preserve"> data from the present manuscript, namely surveys and high-frequency interest rate responses to core CPI inflation surprises. This complementary paper can therefore not speak to the underlying macroeconomic shocks and contains no asset pricing model, so it is insufficient to reach the key conclusion of the present manuscript that a “perfect storm” is needed to turn bonds risky again.</w:t>
      </w:r>
    </w:p>
    <w:p w14:paraId="186B8FCE" w14:textId="77777777" w:rsidR="00113AF3" w:rsidRDefault="00113AF3" w:rsidP="005560B4">
      <w:pPr>
        <w:adjustRightInd w:val="0"/>
        <w:spacing w:after="0" w:line="240" w:lineRule="auto"/>
        <w:ind w:left="360"/>
        <w:rPr>
          <w:rFonts w:ascii="Times New Roman" w:hAnsi="Times New Roman" w:cs="Times New Roman"/>
        </w:rPr>
      </w:pPr>
    </w:p>
    <w:p w14:paraId="7485052E" w14:textId="7010C4E9" w:rsidR="00113AF3" w:rsidRDefault="002C148B" w:rsidP="00113AF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The newspaper count exercise is contained in the</w:t>
      </w:r>
      <w:r w:rsidR="00113AF3">
        <w:rPr>
          <w:rFonts w:ascii="Times New Roman" w:hAnsi="Times New Roman" w:cs="Times New Roman"/>
          <w:color w:val="0000FF"/>
        </w:rPr>
        <w:t xml:space="preserve"> </w:t>
      </w:r>
      <w:r w:rsidR="00113AF3" w:rsidRPr="002C148B">
        <w:rPr>
          <w:rFonts w:ascii="Times New Roman" w:hAnsi="Times New Roman" w:cs="Times New Roman"/>
          <w:b/>
          <w:bCs/>
          <w:color w:val="0000FF"/>
        </w:rPr>
        <w:t>new Appendix Figure A1</w:t>
      </w:r>
      <w:r w:rsidR="00113AF3">
        <w:rPr>
          <w:rFonts w:ascii="Times New Roman" w:hAnsi="Times New Roman" w:cs="Times New Roman"/>
          <w:color w:val="0000FF"/>
        </w:rPr>
        <w:t xml:space="preserve">, reproduced below for your convenience. This figure shows for each decade the number of Wall Street Journal articles mentioning both “supply” and “inflation”, scaled by the number of articles mentioning “inflation”. This new analysis shows that the share of supply mentions peaked in the 1980s, and was lower before and after, reaching a trough during the decade of the 2010s.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w:t>
      </w:r>
      <w:proofErr w:type="gramStart"/>
      <w:r w:rsidR="00113AF3">
        <w:rPr>
          <w:rFonts w:ascii="Times New Roman" w:hAnsi="Times New Roman" w:cs="Times New Roman"/>
          <w:color w:val="0000FF"/>
        </w:rPr>
        <w:t>similar to</w:t>
      </w:r>
      <w:proofErr w:type="gramEnd"/>
      <w:r w:rsidR="00113AF3">
        <w:rPr>
          <w:rFonts w:ascii="Times New Roman" w:hAnsi="Times New Roman" w:cs="Times New Roman"/>
          <w:color w:val="0000FF"/>
        </w:rPr>
        <w:t xml:space="preserve"> the level last observed during the 1980s. Overall, newspaper counts further support the notion that the public and investors were highly attuned to macroeconomic supply shocks during the 1980s</w:t>
      </w:r>
      <w:r>
        <w:rPr>
          <w:rFonts w:ascii="Times New Roman" w:hAnsi="Times New Roman" w:cs="Times New Roman"/>
          <w:color w:val="0000FF"/>
        </w:rPr>
        <w:t xml:space="preserve">, and also </w:t>
      </w:r>
      <w:r w:rsidR="00113AF3">
        <w:rPr>
          <w:rFonts w:ascii="Times New Roman" w:hAnsi="Times New Roman" w:cs="Times New Roman"/>
          <w:color w:val="0000FF"/>
        </w:rPr>
        <w:t xml:space="preserve">the post-pandemic period after 2020. </w:t>
      </w:r>
    </w:p>
    <w:p w14:paraId="2E24AC8C" w14:textId="77777777" w:rsidR="00113AF3" w:rsidRDefault="00113AF3" w:rsidP="00113AF3">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lastRenderedPageBreak/>
        <w:drawing>
          <wp:inline distT="0" distB="0" distL="0" distR="0" wp14:anchorId="4FFC53FF" wp14:editId="1E2F2F03">
            <wp:extent cx="5943600" cy="4556125"/>
            <wp:effectExtent l="0" t="0" r="0" b="0"/>
            <wp:docPr id="994549135"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179" name="Picture 2" descr="A graph with blue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3B119808" w14:textId="4B256448" w:rsidR="00113AF3" w:rsidRPr="005560B4" w:rsidRDefault="00113AF3" w:rsidP="005560B4">
      <w:pPr>
        <w:adjustRightInd w:val="0"/>
        <w:spacing w:after="0" w:line="240" w:lineRule="auto"/>
        <w:ind w:left="360"/>
        <w:rPr>
          <w:rFonts w:ascii="Times New Roman" w:hAnsi="Times New Roman" w:cs="Times New Roman"/>
          <w:color w:val="0000FF"/>
        </w:rPr>
      </w:pPr>
    </w:p>
    <w:sectPr w:rsidR="00113AF3" w:rsidRPr="005560B4" w:rsidSect="00A81ECC">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rolin Pflueger" w:date="2024-11-06T11:10:00Z" w:initials="CP">
    <w:p w14:paraId="385850FE" w14:textId="77777777" w:rsidR="003B7156" w:rsidRDefault="003B7156" w:rsidP="003B7156">
      <w:pPr>
        <w:pStyle w:val="CommentText"/>
      </w:pPr>
      <w:r>
        <w:rPr>
          <w:rStyle w:val="CommentReference"/>
        </w:rPr>
        <w:annotationRef/>
      </w:r>
      <w:r>
        <w:t xml:space="preserve">Change this to second half of 2023 throughout. Chosen to match timing of significantly positive breakeven beta. Incidentally, this also matches the timing of the peak in the perceived Taylor rule inflation coefficient in BPS2024, Table 2. </w:t>
      </w:r>
    </w:p>
  </w:comment>
  <w:comment w:id="1" w:author="Carolin Pflueger" w:date="2024-10-29T15:22:00Z" w:initials="CP">
    <w:p w14:paraId="209D7FF4" w14:textId="31FD4CF0" w:rsidR="000B5A51" w:rsidRDefault="000B5A51" w:rsidP="000B5A51">
      <w:pPr>
        <w:pStyle w:val="CommentText"/>
      </w:pPr>
      <w:r>
        <w:rPr>
          <w:rStyle w:val="CommentReference"/>
        </w:rPr>
        <w:annotationRef/>
      </w:r>
      <w:r>
        <w:t>Same as AE comment 1</w:t>
      </w:r>
    </w:p>
  </w:comment>
  <w:comment w:id="2" w:author="Carolin Pflueger" w:date="2024-10-30T10:48:00Z" w:initials="CP">
    <w:p w14:paraId="587DAC1E" w14:textId="77777777" w:rsidR="00A476FF" w:rsidRDefault="00A476FF" w:rsidP="00A476FF">
      <w:pPr>
        <w:pStyle w:val="CommentText"/>
      </w:pPr>
      <w:r>
        <w:rPr>
          <w:rStyle w:val="CommentReference"/>
        </w:rPr>
        <w:annotationRef/>
      </w:r>
      <w:r>
        <w:t>This is the same as the response to the AE, comment 3</w:t>
      </w:r>
    </w:p>
  </w:comment>
  <w:comment w:id="3" w:author="Carolin Pflueger" w:date="2024-10-30T10:55:00Z" w:initials="CP">
    <w:p w14:paraId="140BFEC2" w14:textId="77777777" w:rsidR="00251F6F" w:rsidRDefault="00251F6F" w:rsidP="00251F6F">
      <w:pPr>
        <w:pStyle w:val="CommentText"/>
      </w:pPr>
      <w:r>
        <w:rPr>
          <w:rStyle w:val="CommentReference"/>
        </w:rPr>
        <w:annotationRef/>
      </w:r>
      <w:r>
        <w:t>Slightly different from AE reply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5850FE" w15:done="0"/>
  <w15:commentEx w15:paraId="209D7FF4" w15:done="0"/>
  <w15:commentEx w15:paraId="587DAC1E" w15:done="0"/>
  <w15:commentEx w15:paraId="140BFE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B7C9546" w16cex:dateUtc="2024-11-06T17:10:00Z"/>
  <w16cex:commentExtensible w16cex:durableId="7DDE0CC5" w16cex:dateUtc="2024-10-29T20:22:00Z"/>
  <w16cex:commentExtensible w16cex:durableId="719ACF71" w16cex:dateUtc="2024-10-30T15:48:00Z"/>
  <w16cex:commentExtensible w16cex:durableId="1DFE0413" w16cex:dateUtc="2024-10-30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5850FE" w16cid:durableId="4B7C9546"/>
  <w16cid:commentId w16cid:paraId="209D7FF4" w16cid:durableId="7DDE0CC5"/>
  <w16cid:commentId w16cid:paraId="587DAC1E" w16cid:durableId="719ACF71"/>
  <w16cid:commentId w16cid:paraId="140BFEC2" w16cid:durableId="1DFE0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B8FBA" w14:textId="77777777" w:rsidR="00784082" w:rsidRDefault="00784082" w:rsidP="00C04384">
      <w:pPr>
        <w:spacing w:after="0" w:line="240" w:lineRule="auto"/>
      </w:pPr>
      <w:r>
        <w:separator/>
      </w:r>
    </w:p>
  </w:endnote>
  <w:endnote w:type="continuationSeparator" w:id="0">
    <w:p w14:paraId="21B1A02D" w14:textId="77777777" w:rsidR="00784082" w:rsidRDefault="00784082"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2F800" w14:textId="77777777" w:rsidR="00784082" w:rsidRDefault="00784082" w:rsidP="00C04384">
      <w:pPr>
        <w:spacing w:after="0" w:line="240" w:lineRule="auto"/>
      </w:pPr>
      <w:r>
        <w:separator/>
      </w:r>
    </w:p>
  </w:footnote>
  <w:footnote w:type="continuationSeparator" w:id="0">
    <w:p w14:paraId="1C189ADD" w14:textId="77777777" w:rsidR="00784082" w:rsidRDefault="00784082" w:rsidP="00C04384">
      <w:pPr>
        <w:spacing w:after="0" w:line="240" w:lineRule="auto"/>
      </w:pPr>
      <w:r>
        <w:continuationSeparator/>
      </w:r>
    </w:p>
  </w:footnote>
  <w:footnote w:id="1">
    <w:p w14:paraId="6563D610" w14:textId="77777777" w:rsidR="008925ED" w:rsidRDefault="008925ED" w:rsidP="008925ED">
      <w:pPr>
        <w:pStyle w:val="FootnoteText"/>
      </w:pPr>
      <w:r>
        <w:rPr>
          <w:rStyle w:val="FootnoteReference"/>
        </w:rPr>
        <w:footnoteRef/>
      </w:r>
      <w:r>
        <w:t xml:space="preserve"> </w:t>
      </w:r>
      <w:r>
        <w:rPr>
          <w:rFonts w:ascii="Times New Roman" w:hAnsi="Times New Roman" w:cs="Times New Roman"/>
          <w:color w:val="0000FF"/>
        </w:rPr>
        <w:t>The evidence in Bauer, Pflueger and Sunderam (2024) is purely empirical and uses completely separate data from the present manuscript, namely surveys and high-frequency interest rate responses to core CPI inflation surprises. While BPS2024 speaks directly to the perceived monetary policy rule, it has little to say about the underlying macroeconomic shocks and contains no asset pricing model, so it is insufficient to reach the key conclusion of the present manuscript that a “perfect storm” is needed to turn bonds risky again.</w:t>
      </w:r>
    </w:p>
  </w:footnote>
  <w:footnote w:id="2">
    <w:p w14:paraId="326EE25E" w14:textId="77777777" w:rsidR="00F303D9" w:rsidRPr="00AE5C04" w:rsidRDefault="00F303D9" w:rsidP="00F303D9">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 https://www.aeaweb.org/articles?id=10.1257/jep.21.4.47</w:t>
      </w:r>
    </w:p>
  </w:footnote>
  <w:footnote w:id="3">
    <w:p w14:paraId="62EEECC3" w14:textId="77777777" w:rsidR="00F303D9" w:rsidRPr="00130791" w:rsidRDefault="00F303D9" w:rsidP="00F303D9">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ects stock prices more than bond prices). These shocks are common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022F4E"/>
    <w:multiLevelType w:val="hybridMultilevel"/>
    <w:tmpl w:val="1DD8494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5"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148"/>
    <w:multiLevelType w:val="hybridMultilevel"/>
    <w:tmpl w:val="FD4E64AE"/>
    <w:lvl w:ilvl="0" w:tplc="FFFFFFFF">
      <w:start w:val="1"/>
      <w:numFmt w:val="decimal"/>
      <w:lvlText w:val="%1."/>
      <w:lvlJc w:val="left"/>
      <w:pPr>
        <w:ind w:left="800" w:hanging="360"/>
      </w:pPr>
      <w:rPr>
        <w:rFonts w:hint="default"/>
      </w:rPr>
    </w:lvl>
    <w:lvl w:ilvl="1" w:tplc="04090001">
      <w:start w:val="1"/>
      <w:numFmt w:val="bullet"/>
      <w:lvlText w:val=""/>
      <w:lvlJc w:val="left"/>
      <w:pPr>
        <w:ind w:left="1240" w:hanging="360"/>
      </w:pPr>
      <w:rPr>
        <w:rFonts w:ascii="Symbol" w:hAnsi="Symbol"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9"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54103"/>
    <w:multiLevelType w:val="hybridMultilevel"/>
    <w:tmpl w:val="66425788"/>
    <w:lvl w:ilvl="0" w:tplc="FFFFFFFF">
      <w:start w:val="1"/>
      <w:numFmt w:val="decimal"/>
      <w:lvlText w:val="%1."/>
      <w:lvlJc w:val="left"/>
      <w:pPr>
        <w:ind w:left="1240" w:hanging="440"/>
      </w:pPr>
    </w:lvl>
    <w:lvl w:ilvl="1" w:tplc="FFFFFFFF">
      <w:start w:val="1"/>
      <w:numFmt w:val="bullet"/>
      <w:lvlText w:val=""/>
      <w:lvlJc w:val="left"/>
      <w:pPr>
        <w:ind w:left="1680" w:hanging="440"/>
      </w:pPr>
      <w:rPr>
        <w:rFonts w:ascii="Wingdings" w:hAnsi="Wingdings" w:hint="default"/>
      </w:rPr>
    </w:lvl>
    <w:lvl w:ilvl="2" w:tplc="04090001">
      <w:start w:val="1"/>
      <w:numFmt w:val="bullet"/>
      <w:lvlText w:val=""/>
      <w:lvlJc w:val="left"/>
      <w:pPr>
        <w:ind w:left="2040" w:hanging="360"/>
      </w:pPr>
      <w:rPr>
        <w:rFonts w:ascii="Symbol" w:hAnsi="Symbol" w:hint="default"/>
      </w:r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1"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908CB"/>
    <w:multiLevelType w:val="hybridMultilevel"/>
    <w:tmpl w:val="9474BF40"/>
    <w:lvl w:ilvl="0" w:tplc="9716CDC6">
      <w:start w:val="1"/>
      <w:numFmt w:val="decimal"/>
      <w:lvlText w:val="%1."/>
      <w:lvlJc w:val="left"/>
      <w:pPr>
        <w:ind w:left="800" w:hanging="360"/>
      </w:pPr>
      <w:rPr>
        <w:rFonts w:hint="default"/>
      </w:rPr>
    </w:lvl>
    <w:lvl w:ilvl="1" w:tplc="04090001">
      <w:start w:val="1"/>
      <w:numFmt w:val="bullet"/>
      <w:lvlText w:val=""/>
      <w:lvlJc w:val="left"/>
      <w:pPr>
        <w:ind w:left="2040" w:hanging="360"/>
      </w:pPr>
      <w:rPr>
        <w:rFonts w:ascii="Symbol" w:hAnsi="Symbol"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4"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21" w15:restartNumberingAfterBreak="0">
    <w:nsid w:val="6CC6253B"/>
    <w:multiLevelType w:val="hybridMultilevel"/>
    <w:tmpl w:val="8BF0FA5A"/>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520" w:hanging="36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22"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5"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8"/>
  </w:num>
  <w:num w:numId="2" w16cid:durableId="757366061">
    <w:abstractNumId w:val="19"/>
  </w:num>
  <w:num w:numId="3" w16cid:durableId="544024557">
    <w:abstractNumId w:val="14"/>
  </w:num>
  <w:num w:numId="4" w16cid:durableId="831681105">
    <w:abstractNumId w:val="8"/>
  </w:num>
  <w:num w:numId="5" w16cid:durableId="1234853715">
    <w:abstractNumId w:val="24"/>
  </w:num>
  <w:num w:numId="6" w16cid:durableId="1201435851">
    <w:abstractNumId w:val="4"/>
  </w:num>
  <w:num w:numId="7" w16cid:durableId="1211268208">
    <w:abstractNumId w:val="25"/>
  </w:num>
  <w:num w:numId="8" w16cid:durableId="561408953">
    <w:abstractNumId w:val="11"/>
  </w:num>
  <w:num w:numId="9" w16cid:durableId="1988703194">
    <w:abstractNumId w:val="15"/>
  </w:num>
  <w:num w:numId="10" w16cid:durableId="284385945">
    <w:abstractNumId w:val="5"/>
  </w:num>
  <w:num w:numId="11" w16cid:durableId="613056324">
    <w:abstractNumId w:val="1"/>
  </w:num>
  <w:num w:numId="12" w16cid:durableId="1545632130">
    <w:abstractNumId w:val="22"/>
  </w:num>
  <w:num w:numId="13" w16cid:durableId="2089694804">
    <w:abstractNumId w:val="7"/>
  </w:num>
  <w:num w:numId="14" w16cid:durableId="570577411">
    <w:abstractNumId w:val="9"/>
  </w:num>
  <w:num w:numId="15" w16cid:durableId="2066827734">
    <w:abstractNumId w:val="2"/>
  </w:num>
  <w:num w:numId="16" w16cid:durableId="839856700">
    <w:abstractNumId w:val="16"/>
  </w:num>
  <w:num w:numId="17" w16cid:durableId="549223316">
    <w:abstractNumId w:val="17"/>
  </w:num>
  <w:num w:numId="18" w16cid:durableId="1289316116">
    <w:abstractNumId w:val="21"/>
  </w:num>
  <w:num w:numId="19" w16cid:durableId="14963411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 w:numId="22" w16cid:durableId="537476318">
    <w:abstractNumId w:val="13"/>
  </w:num>
  <w:num w:numId="23" w16cid:durableId="1054700509">
    <w:abstractNumId w:val="10"/>
  </w:num>
  <w:num w:numId="24" w16cid:durableId="17900541">
    <w:abstractNumId w:val="12"/>
  </w:num>
  <w:num w:numId="25" w16cid:durableId="451368903">
    <w:abstractNumId w:val="23"/>
  </w:num>
  <w:num w:numId="26" w16cid:durableId="1218205134">
    <w:abstractNumId w:val="6"/>
  </w:num>
  <w:num w:numId="27" w16cid:durableId="11025356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in Pflueger">
    <w15:presenceInfo w15:providerId="AD" w15:userId="S::cpflueger@UCHICAGO.EDU::a02219aa-9165-4d55-ad01-be907e6f4a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5F98"/>
    <w:rsid w:val="00006F28"/>
    <w:rsid w:val="000077A2"/>
    <w:rsid w:val="00007A6A"/>
    <w:rsid w:val="000141BD"/>
    <w:rsid w:val="000148B5"/>
    <w:rsid w:val="00014EED"/>
    <w:rsid w:val="000157E3"/>
    <w:rsid w:val="00015E53"/>
    <w:rsid w:val="000162F6"/>
    <w:rsid w:val="0001757A"/>
    <w:rsid w:val="000179F5"/>
    <w:rsid w:val="00017D94"/>
    <w:rsid w:val="0002171C"/>
    <w:rsid w:val="00024DFF"/>
    <w:rsid w:val="00025B82"/>
    <w:rsid w:val="00027037"/>
    <w:rsid w:val="00033994"/>
    <w:rsid w:val="000360EC"/>
    <w:rsid w:val="00036C51"/>
    <w:rsid w:val="00037903"/>
    <w:rsid w:val="00037C07"/>
    <w:rsid w:val="00043178"/>
    <w:rsid w:val="00045F40"/>
    <w:rsid w:val="000528D6"/>
    <w:rsid w:val="00053C34"/>
    <w:rsid w:val="00054D89"/>
    <w:rsid w:val="00057113"/>
    <w:rsid w:val="000600BB"/>
    <w:rsid w:val="000611F6"/>
    <w:rsid w:val="00061A65"/>
    <w:rsid w:val="00061ABE"/>
    <w:rsid w:val="00061E83"/>
    <w:rsid w:val="00062D0B"/>
    <w:rsid w:val="000641E5"/>
    <w:rsid w:val="000659BB"/>
    <w:rsid w:val="00070DA1"/>
    <w:rsid w:val="00070F1E"/>
    <w:rsid w:val="00073E9C"/>
    <w:rsid w:val="00074D07"/>
    <w:rsid w:val="000760D0"/>
    <w:rsid w:val="00080FFB"/>
    <w:rsid w:val="0008110E"/>
    <w:rsid w:val="0008122B"/>
    <w:rsid w:val="000817BE"/>
    <w:rsid w:val="00084743"/>
    <w:rsid w:val="00085681"/>
    <w:rsid w:val="000856BF"/>
    <w:rsid w:val="00085C83"/>
    <w:rsid w:val="000878E8"/>
    <w:rsid w:val="00091AD5"/>
    <w:rsid w:val="00092419"/>
    <w:rsid w:val="000936BB"/>
    <w:rsid w:val="00097D16"/>
    <w:rsid w:val="000A0FE8"/>
    <w:rsid w:val="000A172D"/>
    <w:rsid w:val="000A2257"/>
    <w:rsid w:val="000A2927"/>
    <w:rsid w:val="000A4251"/>
    <w:rsid w:val="000B0584"/>
    <w:rsid w:val="000B31B5"/>
    <w:rsid w:val="000B3971"/>
    <w:rsid w:val="000B4932"/>
    <w:rsid w:val="000B5A51"/>
    <w:rsid w:val="000B5F7C"/>
    <w:rsid w:val="000B6244"/>
    <w:rsid w:val="000B640A"/>
    <w:rsid w:val="000B7E91"/>
    <w:rsid w:val="000C0459"/>
    <w:rsid w:val="000C0484"/>
    <w:rsid w:val="000C15DB"/>
    <w:rsid w:val="000C1662"/>
    <w:rsid w:val="000C19B6"/>
    <w:rsid w:val="000C38F7"/>
    <w:rsid w:val="000C4021"/>
    <w:rsid w:val="000C4316"/>
    <w:rsid w:val="000D1D41"/>
    <w:rsid w:val="000D1F33"/>
    <w:rsid w:val="000D2B97"/>
    <w:rsid w:val="000D32FD"/>
    <w:rsid w:val="000D537A"/>
    <w:rsid w:val="000E06AB"/>
    <w:rsid w:val="000E1941"/>
    <w:rsid w:val="000E19FE"/>
    <w:rsid w:val="000E585F"/>
    <w:rsid w:val="000E5C4D"/>
    <w:rsid w:val="000E7455"/>
    <w:rsid w:val="000E763A"/>
    <w:rsid w:val="000F3DA5"/>
    <w:rsid w:val="000F68DE"/>
    <w:rsid w:val="000F7252"/>
    <w:rsid w:val="001011AB"/>
    <w:rsid w:val="00104516"/>
    <w:rsid w:val="0010666E"/>
    <w:rsid w:val="00111E78"/>
    <w:rsid w:val="001129F4"/>
    <w:rsid w:val="00113AF3"/>
    <w:rsid w:val="00114566"/>
    <w:rsid w:val="00117F9A"/>
    <w:rsid w:val="001206FE"/>
    <w:rsid w:val="00120BDE"/>
    <w:rsid w:val="00120D8E"/>
    <w:rsid w:val="00123542"/>
    <w:rsid w:val="00123CD5"/>
    <w:rsid w:val="001261B3"/>
    <w:rsid w:val="001264C5"/>
    <w:rsid w:val="0012738F"/>
    <w:rsid w:val="00127520"/>
    <w:rsid w:val="001302C0"/>
    <w:rsid w:val="001346EE"/>
    <w:rsid w:val="00134DD0"/>
    <w:rsid w:val="00135A08"/>
    <w:rsid w:val="00135E25"/>
    <w:rsid w:val="00136761"/>
    <w:rsid w:val="00136FBD"/>
    <w:rsid w:val="00140943"/>
    <w:rsid w:val="00140E95"/>
    <w:rsid w:val="00140F39"/>
    <w:rsid w:val="00141157"/>
    <w:rsid w:val="00141F18"/>
    <w:rsid w:val="0014272B"/>
    <w:rsid w:val="001430D1"/>
    <w:rsid w:val="0014453E"/>
    <w:rsid w:val="00144B73"/>
    <w:rsid w:val="00144CBE"/>
    <w:rsid w:val="00147233"/>
    <w:rsid w:val="001512AA"/>
    <w:rsid w:val="00152528"/>
    <w:rsid w:val="00152CC2"/>
    <w:rsid w:val="00153DCD"/>
    <w:rsid w:val="00153E7E"/>
    <w:rsid w:val="001546D5"/>
    <w:rsid w:val="00161208"/>
    <w:rsid w:val="001623F3"/>
    <w:rsid w:val="0016253D"/>
    <w:rsid w:val="00162BEE"/>
    <w:rsid w:val="00164F58"/>
    <w:rsid w:val="00165493"/>
    <w:rsid w:val="00166411"/>
    <w:rsid w:val="001717F8"/>
    <w:rsid w:val="00172334"/>
    <w:rsid w:val="00172FE9"/>
    <w:rsid w:val="001736D9"/>
    <w:rsid w:val="001738AC"/>
    <w:rsid w:val="00175C2D"/>
    <w:rsid w:val="00176545"/>
    <w:rsid w:val="00182744"/>
    <w:rsid w:val="00182B3A"/>
    <w:rsid w:val="0018368E"/>
    <w:rsid w:val="0018476B"/>
    <w:rsid w:val="001854E2"/>
    <w:rsid w:val="001913E1"/>
    <w:rsid w:val="00192260"/>
    <w:rsid w:val="00193958"/>
    <w:rsid w:val="00193C91"/>
    <w:rsid w:val="0019453B"/>
    <w:rsid w:val="001965F2"/>
    <w:rsid w:val="00197DD4"/>
    <w:rsid w:val="001A070E"/>
    <w:rsid w:val="001A3008"/>
    <w:rsid w:val="001A579E"/>
    <w:rsid w:val="001A760A"/>
    <w:rsid w:val="001B167D"/>
    <w:rsid w:val="001B37F8"/>
    <w:rsid w:val="001B5608"/>
    <w:rsid w:val="001B7410"/>
    <w:rsid w:val="001C00B9"/>
    <w:rsid w:val="001C1272"/>
    <w:rsid w:val="001C2153"/>
    <w:rsid w:val="001C3861"/>
    <w:rsid w:val="001C5CB6"/>
    <w:rsid w:val="001D00A9"/>
    <w:rsid w:val="001D0AAC"/>
    <w:rsid w:val="001D3BEC"/>
    <w:rsid w:val="001D565F"/>
    <w:rsid w:val="001E0CC1"/>
    <w:rsid w:val="001E27A0"/>
    <w:rsid w:val="001E3C72"/>
    <w:rsid w:val="001E5320"/>
    <w:rsid w:val="001E7523"/>
    <w:rsid w:val="001E7960"/>
    <w:rsid w:val="001F1305"/>
    <w:rsid w:val="001F17D2"/>
    <w:rsid w:val="001F3A01"/>
    <w:rsid w:val="001F4ACD"/>
    <w:rsid w:val="001F4E5E"/>
    <w:rsid w:val="001F52C3"/>
    <w:rsid w:val="001F6F89"/>
    <w:rsid w:val="00201418"/>
    <w:rsid w:val="00201B3B"/>
    <w:rsid w:val="00202AB1"/>
    <w:rsid w:val="002038BB"/>
    <w:rsid w:val="00204545"/>
    <w:rsid w:val="00204FA7"/>
    <w:rsid w:val="00210D1C"/>
    <w:rsid w:val="002111CA"/>
    <w:rsid w:val="00211AB7"/>
    <w:rsid w:val="0021791F"/>
    <w:rsid w:val="00217946"/>
    <w:rsid w:val="00220EE3"/>
    <w:rsid w:val="0022516B"/>
    <w:rsid w:val="00225361"/>
    <w:rsid w:val="0022561E"/>
    <w:rsid w:val="00226638"/>
    <w:rsid w:val="00226B75"/>
    <w:rsid w:val="00231F21"/>
    <w:rsid w:val="00233219"/>
    <w:rsid w:val="0023403B"/>
    <w:rsid w:val="002348CC"/>
    <w:rsid w:val="0023578E"/>
    <w:rsid w:val="002362B7"/>
    <w:rsid w:val="00236CC4"/>
    <w:rsid w:val="002417AF"/>
    <w:rsid w:val="00241858"/>
    <w:rsid w:val="00241D87"/>
    <w:rsid w:val="00242991"/>
    <w:rsid w:val="00243981"/>
    <w:rsid w:val="002458D6"/>
    <w:rsid w:val="00247E98"/>
    <w:rsid w:val="00250F27"/>
    <w:rsid w:val="00251F6F"/>
    <w:rsid w:val="00253276"/>
    <w:rsid w:val="00253320"/>
    <w:rsid w:val="00254238"/>
    <w:rsid w:val="0025503E"/>
    <w:rsid w:val="00257186"/>
    <w:rsid w:val="002571A5"/>
    <w:rsid w:val="00257C96"/>
    <w:rsid w:val="00260060"/>
    <w:rsid w:val="002604D2"/>
    <w:rsid w:val="00261002"/>
    <w:rsid w:val="0026237A"/>
    <w:rsid w:val="002625D1"/>
    <w:rsid w:val="00266618"/>
    <w:rsid w:val="0026726A"/>
    <w:rsid w:val="002715AD"/>
    <w:rsid w:val="00272855"/>
    <w:rsid w:val="00273828"/>
    <w:rsid w:val="002739F0"/>
    <w:rsid w:val="0027555B"/>
    <w:rsid w:val="002766A4"/>
    <w:rsid w:val="00276775"/>
    <w:rsid w:val="002768F5"/>
    <w:rsid w:val="002772E4"/>
    <w:rsid w:val="002813AD"/>
    <w:rsid w:val="00281692"/>
    <w:rsid w:val="00281881"/>
    <w:rsid w:val="00284412"/>
    <w:rsid w:val="00291CFA"/>
    <w:rsid w:val="002925A3"/>
    <w:rsid w:val="00292A39"/>
    <w:rsid w:val="002932D2"/>
    <w:rsid w:val="00294269"/>
    <w:rsid w:val="00294589"/>
    <w:rsid w:val="002947D4"/>
    <w:rsid w:val="002A079C"/>
    <w:rsid w:val="002A1CDF"/>
    <w:rsid w:val="002A2AA8"/>
    <w:rsid w:val="002A312B"/>
    <w:rsid w:val="002A387A"/>
    <w:rsid w:val="002A3E2E"/>
    <w:rsid w:val="002A40D2"/>
    <w:rsid w:val="002A5D0D"/>
    <w:rsid w:val="002A7A21"/>
    <w:rsid w:val="002B003A"/>
    <w:rsid w:val="002B01CE"/>
    <w:rsid w:val="002B1F65"/>
    <w:rsid w:val="002B26DF"/>
    <w:rsid w:val="002B2B76"/>
    <w:rsid w:val="002B3E99"/>
    <w:rsid w:val="002B413F"/>
    <w:rsid w:val="002B66DD"/>
    <w:rsid w:val="002C1382"/>
    <w:rsid w:val="002C148B"/>
    <w:rsid w:val="002C1D0E"/>
    <w:rsid w:val="002C23E2"/>
    <w:rsid w:val="002C24D6"/>
    <w:rsid w:val="002C313D"/>
    <w:rsid w:val="002C3333"/>
    <w:rsid w:val="002C4DA1"/>
    <w:rsid w:val="002C6686"/>
    <w:rsid w:val="002D094B"/>
    <w:rsid w:val="002D1019"/>
    <w:rsid w:val="002D4BFD"/>
    <w:rsid w:val="002D4EE1"/>
    <w:rsid w:val="002D5488"/>
    <w:rsid w:val="002D5ED1"/>
    <w:rsid w:val="002D604B"/>
    <w:rsid w:val="002D6D38"/>
    <w:rsid w:val="002E0D97"/>
    <w:rsid w:val="002E2389"/>
    <w:rsid w:val="002F1087"/>
    <w:rsid w:val="002F1B72"/>
    <w:rsid w:val="002F21A1"/>
    <w:rsid w:val="002F3F8D"/>
    <w:rsid w:val="002F45BF"/>
    <w:rsid w:val="002F47E9"/>
    <w:rsid w:val="002F4B1B"/>
    <w:rsid w:val="002F6884"/>
    <w:rsid w:val="002F7785"/>
    <w:rsid w:val="00301D47"/>
    <w:rsid w:val="003036FF"/>
    <w:rsid w:val="0030639D"/>
    <w:rsid w:val="00306826"/>
    <w:rsid w:val="0031061F"/>
    <w:rsid w:val="00314CEF"/>
    <w:rsid w:val="003213B0"/>
    <w:rsid w:val="003222D8"/>
    <w:rsid w:val="00323286"/>
    <w:rsid w:val="0032655B"/>
    <w:rsid w:val="00327733"/>
    <w:rsid w:val="00332907"/>
    <w:rsid w:val="00332BC8"/>
    <w:rsid w:val="00332F20"/>
    <w:rsid w:val="00333898"/>
    <w:rsid w:val="00334E21"/>
    <w:rsid w:val="003369E2"/>
    <w:rsid w:val="00336F57"/>
    <w:rsid w:val="00337A40"/>
    <w:rsid w:val="00340704"/>
    <w:rsid w:val="00341841"/>
    <w:rsid w:val="0034349C"/>
    <w:rsid w:val="00343AB8"/>
    <w:rsid w:val="00344551"/>
    <w:rsid w:val="00344F0F"/>
    <w:rsid w:val="003515FF"/>
    <w:rsid w:val="0035188B"/>
    <w:rsid w:val="0035335D"/>
    <w:rsid w:val="003542D4"/>
    <w:rsid w:val="00354E4A"/>
    <w:rsid w:val="0035598D"/>
    <w:rsid w:val="0035754B"/>
    <w:rsid w:val="00357BB9"/>
    <w:rsid w:val="00357C4C"/>
    <w:rsid w:val="00360A08"/>
    <w:rsid w:val="003623A0"/>
    <w:rsid w:val="0036263B"/>
    <w:rsid w:val="00362760"/>
    <w:rsid w:val="00364C53"/>
    <w:rsid w:val="0036532B"/>
    <w:rsid w:val="003654EF"/>
    <w:rsid w:val="003659AD"/>
    <w:rsid w:val="00365F1D"/>
    <w:rsid w:val="00367910"/>
    <w:rsid w:val="003718D3"/>
    <w:rsid w:val="00372A3F"/>
    <w:rsid w:val="00373B39"/>
    <w:rsid w:val="0037482B"/>
    <w:rsid w:val="0037624F"/>
    <w:rsid w:val="0038003A"/>
    <w:rsid w:val="003816B6"/>
    <w:rsid w:val="0038330F"/>
    <w:rsid w:val="003843D9"/>
    <w:rsid w:val="003843DD"/>
    <w:rsid w:val="003902AC"/>
    <w:rsid w:val="003904DA"/>
    <w:rsid w:val="00390A05"/>
    <w:rsid w:val="003927C2"/>
    <w:rsid w:val="00392ADB"/>
    <w:rsid w:val="00393225"/>
    <w:rsid w:val="003945BD"/>
    <w:rsid w:val="003951BA"/>
    <w:rsid w:val="00395576"/>
    <w:rsid w:val="0039732D"/>
    <w:rsid w:val="003974C7"/>
    <w:rsid w:val="00397927"/>
    <w:rsid w:val="00397953"/>
    <w:rsid w:val="00397A8A"/>
    <w:rsid w:val="003A110A"/>
    <w:rsid w:val="003A169D"/>
    <w:rsid w:val="003A29D9"/>
    <w:rsid w:val="003A2C1A"/>
    <w:rsid w:val="003A4C9B"/>
    <w:rsid w:val="003A64FF"/>
    <w:rsid w:val="003A6609"/>
    <w:rsid w:val="003A6BD6"/>
    <w:rsid w:val="003A7BF0"/>
    <w:rsid w:val="003B41D1"/>
    <w:rsid w:val="003B7156"/>
    <w:rsid w:val="003B7864"/>
    <w:rsid w:val="003C1749"/>
    <w:rsid w:val="003C1DD9"/>
    <w:rsid w:val="003C347D"/>
    <w:rsid w:val="003C397E"/>
    <w:rsid w:val="003C5975"/>
    <w:rsid w:val="003C5BA2"/>
    <w:rsid w:val="003C7A80"/>
    <w:rsid w:val="003D0EA2"/>
    <w:rsid w:val="003D177F"/>
    <w:rsid w:val="003D2656"/>
    <w:rsid w:val="003D4969"/>
    <w:rsid w:val="003D4F54"/>
    <w:rsid w:val="003D5222"/>
    <w:rsid w:val="003E10C3"/>
    <w:rsid w:val="003E133C"/>
    <w:rsid w:val="003E13E8"/>
    <w:rsid w:val="003E28E3"/>
    <w:rsid w:val="003E2F1E"/>
    <w:rsid w:val="003E3378"/>
    <w:rsid w:val="003E3785"/>
    <w:rsid w:val="003E3EAD"/>
    <w:rsid w:val="003E4A15"/>
    <w:rsid w:val="003E57CC"/>
    <w:rsid w:val="003E6B32"/>
    <w:rsid w:val="003F0A52"/>
    <w:rsid w:val="003F2174"/>
    <w:rsid w:val="003F5107"/>
    <w:rsid w:val="003F518D"/>
    <w:rsid w:val="003F5DBB"/>
    <w:rsid w:val="00400378"/>
    <w:rsid w:val="00404449"/>
    <w:rsid w:val="00407B0D"/>
    <w:rsid w:val="0041011B"/>
    <w:rsid w:val="004123C4"/>
    <w:rsid w:val="00415173"/>
    <w:rsid w:val="00416F23"/>
    <w:rsid w:val="00417DAB"/>
    <w:rsid w:val="004201B8"/>
    <w:rsid w:val="00421732"/>
    <w:rsid w:val="00422041"/>
    <w:rsid w:val="004261AB"/>
    <w:rsid w:val="0042698B"/>
    <w:rsid w:val="0043174F"/>
    <w:rsid w:val="00431C42"/>
    <w:rsid w:val="00433607"/>
    <w:rsid w:val="00434C5E"/>
    <w:rsid w:val="0043656B"/>
    <w:rsid w:val="004365F3"/>
    <w:rsid w:val="00436A4A"/>
    <w:rsid w:val="00437895"/>
    <w:rsid w:val="004423FC"/>
    <w:rsid w:val="00443CE1"/>
    <w:rsid w:val="00450445"/>
    <w:rsid w:val="00451204"/>
    <w:rsid w:val="00451C4C"/>
    <w:rsid w:val="00452A43"/>
    <w:rsid w:val="0045462E"/>
    <w:rsid w:val="00455412"/>
    <w:rsid w:val="00456BFE"/>
    <w:rsid w:val="00461A92"/>
    <w:rsid w:val="00462668"/>
    <w:rsid w:val="00465AAF"/>
    <w:rsid w:val="00466179"/>
    <w:rsid w:val="00467BD3"/>
    <w:rsid w:val="004732AA"/>
    <w:rsid w:val="004744D0"/>
    <w:rsid w:val="00474825"/>
    <w:rsid w:val="00476D4B"/>
    <w:rsid w:val="004772C8"/>
    <w:rsid w:val="00477650"/>
    <w:rsid w:val="0047798E"/>
    <w:rsid w:val="0048161B"/>
    <w:rsid w:val="00482AD4"/>
    <w:rsid w:val="00482F44"/>
    <w:rsid w:val="0048391E"/>
    <w:rsid w:val="00485C60"/>
    <w:rsid w:val="00486769"/>
    <w:rsid w:val="0049070C"/>
    <w:rsid w:val="00490719"/>
    <w:rsid w:val="00490D4F"/>
    <w:rsid w:val="00491257"/>
    <w:rsid w:val="004934DA"/>
    <w:rsid w:val="00494AF7"/>
    <w:rsid w:val="00495B13"/>
    <w:rsid w:val="0049606A"/>
    <w:rsid w:val="00496687"/>
    <w:rsid w:val="004970E5"/>
    <w:rsid w:val="00497885"/>
    <w:rsid w:val="004A0B02"/>
    <w:rsid w:val="004A0B92"/>
    <w:rsid w:val="004A2F29"/>
    <w:rsid w:val="004A31A6"/>
    <w:rsid w:val="004A36C1"/>
    <w:rsid w:val="004A46DE"/>
    <w:rsid w:val="004A4FC7"/>
    <w:rsid w:val="004A54B1"/>
    <w:rsid w:val="004A620B"/>
    <w:rsid w:val="004B08B0"/>
    <w:rsid w:val="004B0D7B"/>
    <w:rsid w:val="004B2295"/>
    <w:rsid w:val="004B35E8"/>
    <w:rsid w:val="004B38DD"/>
    <w:rsid w:val="004B3EFA"/>
    <w:rsid w:val="004B3F1B"/>
    <w:rsid w:val="004B4178"/>
    <w:rsid w:val="004B4434"/>
    <w:rsid w:val="004C0D4B"/>
    <w:rsid w:val="004C37BD"/>
    <w:rsid w:val="004C416B"/>
    <w:rsid w:val="004C45CE"/>
    <w:rsid w:val="004C4B9E"/>
    <w:rsid w:val="004C60DE"/>
    <w:rsid w:val="004C64B4"/>
    <w:rsid w:val="004D1D6B"/>
    <w:rsid w:val="004D260C"/>
    <w:rsid w:val="004D2611"/>
    <w:rsid w:val="004D4528"/>
    <w:rsid w:val="004D56BB"/>
    <w:rsid w:val="004D5E67"/>
    <w:rsid w:val="004E19F5"/>
    <w:rsid w:val="004E1FC2"/>
    <w:rsid w:val="004E2577"/>
    <w:rsid w:val="004E41BF"/>
    <w:rsid w:val="004E52C1"/>
    <w:rsid w:val="004E52E7"/>
    <w:rsid w:val="004E78A4"/>
    <w:rsid w:val="004F022F"/>
    <w:rsid w:val="004F1321"/>
    <w:rsid w:val="004F1DF7"/>
    <w:rsid w:val="004F635B"/>
    <w:rsid w:val="004F6872"/>
    <w:rsid w:val="004F7184"/>
    <w:rsid w:val="004F7E9E"/>
    <w:rsid w:val="00502F3F"/>
    <w:rsid w:val="005031FD"/>
    <w:rsid w:val="0050467D"/>
    <w:rsid w:val="00504B52"/>
    <w:rsid w:val="00504F5C"/>
    <w:rsid w:val="00512C25"/>
    <w:rsid w:val="00515149"/>
    <w:rsid w:val="005163F4"/>
    <w:rsid w:val="0051666B"/>
    <w:rsid w:val="00516CF5"/>
    <w:rsid w:val="00517B2D"/>
    <w:rsid w:val="00517F77"/>
    <w:rsid w:val="00520EE4"/>
    <w:rsid w:val="005210D0"/>
    <w:rsid w:val="00521346"/>
    <w:rsid w:val="005218FD"/>
    <w:rsid w:val="00521E22"/>
    <w:rsid w:val="005221D5"/>
    <w:rsid w:val="00522742"/>
    <w:rsid w:val="00523797"/>
    <w:rsid w:val="00523F40"/>
    <w:rsid w:val="005240CC"/>
    <w:rsid w:val="00526E6E"/>
    <w:rsid w:val="00527662"/>
    <w:rsid w:val="005324DA"/>
    <w:rsid w:val="005325D4"/>
    <w:rsid w:val="005335E6"/>
    <w:rsid w:val="00536584"/>
    <w:rsid w:val="00537F9F"/>
    <w:rsid w:val="00540268"/>
    <w:rsid w:val="00540D7A"/>
    <w:rsid w:val="00543131"/>
    <w:rsid w:val="0054375E"/>
    <w:rsid w:val="00543BC0"/>
    <w:rsid w:val="00545FB9"/>
    <w:rsid w:val="0054647D"/>
    <w:rsid w:val="005476DB"/>
    <w:rsid w:val="00552B46"/>
    <w:rsid w:val="005552C7"/>
    <w:rsid w:val="0055550F"/>
    <w:rsid w:val="00555A5B"/>
    <w:rsid w:val="005560B4"/>
    <w:rsid w:val="00556210"/>
    <w:rsid w:val="00556C6F"/>
    <w:rsid w:val="005570E0"/>
    <w:rsid w:val="00560DBC"/>
    <w:rsid w:val="00562DBA"/>
    <w:rsid w:val="00562F70"/>
    <w:rsid w:val="0056361E"/>
    <w:rsid w:val="005647A5"/>
    <w:rsid w:val="0056564A"/>
    <w:rsid w:val="00566257"/>
    <w:rsid w:val="005703F0"/>
    <w:rsid w:val="00570528"/>
    <w:rsid w:val="00572040"/>
    <w:rsid w:val="00575540"/>
    <w:rsid w:val="00576062"/>
    <w:rsid w:val="00577F6A"/>
    <w:rsid w:val="00580590"/>
    <w:rsid w:val="00580EF4"/>
    <w:rsid w:val="00581A9C"/>
    <w:rsid w:val="00582A94"/>
    <w:rsid w:val="00583BCA"/>
    <w:rsid w:val="005857CB"/>
    <w:rsid w:val="00585DE9"/>
    <w:rsid w:val="00592B8B"/>
    <w:rsid w:val="00593A4F"/>
    <w:rsid w:val="0059479E"/>
    <w:rsid w:val="005950B5"/>
    <w:rsid w:val="005956F5"/>
    <w:rsid w:val="00595EE4"/>
    <w:rsid w:val="005A092F"/>
    <w:rsid w:val="005A237E"/>
    <w:rsid w:val="005A2524"/>
    <w:rsid w:val="005A2A98"/>
    <w:rsid w:val="005A4306"/>
    <w:rsid w:val="005A70E3"/>
    <w:rsid w:val="005A7E52"/>
    <w:rsid w:val="005B06EE"/>
    <w:rsid w:val="005B3F74"/>
    <w:rsid w:val="005B4EE6"/>
    <w:rsid w:val="005B541C"/>
    <w:rsid w:val="005B54D8"/>
    <w:rsid w:val="005B5D7D"/>
    <w:rsid w:val="005B6095"/>
    <w:rsid w:val="005B6189"/>
    <w:rsid w:val="005B672C"/>
    <w:rsid w:val="005B6AA3"/>
    <w:rsid w:val="005C4F7D"/>
    <w:rsid w:val="005C6DE1"/>
    <w:rsid w:val="005C7AEF"/>
    <w:rsid w:val="005D119C"/>
    <w:rsid w:val="005D1E6F"/>
    <w:rsid w:val="005D2BD2"/>
    <w:rsid w:val="005D5DE9"/>
    <w:rsid w:val="005D76D9"/>
    <w:rsid w:val="005D7C1A"/>
    <w:rsid w:val="005E3960"/>
    <w:rsid w:val="005E39B7"/>
    <w:rsid w:val="005E50A6"/>
    <w:rsid w:val="005E58B3"/>
    <w:rsid w:val="005E5C0A"/>
    <w:rsid w:val="005E5DA6"/>
    <w:rsid w:val="005F071F"/>
    <w:rsid w:val="005F27B8"/>
    <w:rsid w:val="005F5625"/>
    <w:rsid w:val="005F58D1"/>
    <w:rsid w:val="005F672C"/>
    <w:rsid w:val="005F740D"/>
    <w:rsid w:val="005F76B6"/>
    <w:rsid w:val="005F7CBB"/>
    <w:rsid w:val="00600786"/>
    <w:rsid w:val="006009B2"/>
    <w:rsid w:val="006021F2"/>
    <w:rsid w:val="00602637"/>
    <w:rsid w:val="006039A7"/>
    <w:rsid w:val="00605A6A"/>
    <w:rsid w:val="00606811"/>
    <w:rsid w:val="00607240"/>
    <w:rsid w:val="00607CD3"/>
    <w:rsid w:val="00607E1A"/>
    <w:rsid w:val="00610004"/>
    <w:rsid w:val="00610468"/>
    <w:rsid w:val="00611F08"/>
    <w:rsid w:val="006122FD"/>
    <w:rsid w:val="00612BFC"/>
    <w:rsid w:val="00617AF1"/>
    <w:rsid w:val="00620642"/>
    <w:rsid w:val="0062242A"/>
    <w:rsid w:val="006229E4"/>
    <w:rsid w:val="006235D1"/>
    <w:rsid w:val="00631037"/>
    <w:rsid w:val="006314EB"/>
    <w:rsid w:val="00632747"/>
    <w:rsid w:val="00633791"/>
    <w:rsid w:val="00636D04"/>
    <w:rsid w:val="00640403"/>
    <w:rsid w:val="00641A6C"/>
    <w:rsid w:val="00642A56"/>
    <w:rsid w:val="00644095"/>
    <w:rsid w:val="00644115"/>
    <w:rsid w:val="00644865"/>
    <w:rsid w:val="00646000"/>
    <w:rsid w:val="006516C9"/>
    <w:rsid w:val="00652488"/>
    <w:rsid w:val="006524BA"/>
    <w:rsid w:val="0065499F"/>
    <w:rsid w:val="00654F44"/>
    <w:rsid w:val="006563EE"/>
    <w:rsid w:val="00657932"/>
    <w:rsid w:val="00660085"/>
    <w:rsid w:val="006603FA"/>
    <w:rsid w:val="00660B6D"/>
    <w:rsid w:val="00660FBB"/>
    <w:rsid w:val="00662D76"/>
    <w:rsid w:val="00664C68"/>
    <w:rsid w:val="00665E56"/>
    <w:rsid w:val="00667042"/>
    <w:rsid w:val="00670E16"/>
    <w:rsid w:val="00671929"/>
    <w:rsid w:val="00671D3F"/>
    <w:rsid w:val="00672233"/>
    <w:rsid w:val="00675076"/>
    <w:rsid w:val="00676BA4"/>
    <w:rsid w:val="0068007C"/>
    <w:rsid w:val="00680311"/>
    <w:rsid w:val="00682010"/>
    <w:rsid w:val="006833F4"/>
    <w:rsid w:val="006835A2"/>
    <w:rsid w:val="00684E11"/>
    <w:rsid w:val="00684F25"/>
    <w:rsid w:val="006856AC"/>
    <w:rsid w:val="0068776A"/>
    <w:rsid w:val="006878D6"/>
    <w:rsid w:val="006879B3"/>
    <w:rsid w:val="006910BA"/>
    <w:rsid w:val="006911B4"/>
    <w:rsid w:val="00694E04"/>
    <w:rsid w:val="00694F86"/>
    <w:rsid w:val="006951FB"/>
    <w:rsid w:val="00695E47"/>
    <w:rsid w:val="006971EC"/>
    <w:rsid w:val="00697336"/>
    <w:rsid w:val="006A51A2"/>
    <w:rsid w:val="006A6B0C"/>
    <w:rsid w:val="006A755C"/>
    <w:rsid w:val="006B001B"/>
    <w:rsid w:val="006B4B24"/>
    <w:rsid w:val="006B7886"/>
    <w:rsid w:val="006C005B"/>
    <w:rsid w:val="006C2190"/>
    <w:rsid w:val="006C23A0"/>
    <w:rsid w:val="006C295A"/>
    <w:rsid w:val="006C3D0C"/>
    <w:rsid w:val="006C4C21"/>
    <w:rsid w:val="006C521E"/>
    <w:rsid w:val="006C522A"/>
    <w:rsid w:val="006C52A3"/>
    <w:rsid w:val="006C5C11"/>
    <w:rsid w:val="006C6B92"/>
    <w:rsid w:val="006C7784"/>
    <w:rsid w:val="006C7FFC"/>
    <w:rsid w:val="006D14A9"/>
    <w:rsid w:val="006D1E9D"/>
    <w:rsid w:val="006D3289"/>
    <w:rsid w:val="006D37E7"/>
    <w:rsid w:val="006D4542"/>
    <w:rsid w:val="006D4EE7"/>
    <w:rsid w:val="006D60DB"/>
    <w:rsid w:val="006D6EC7"/>
    <w:rsid w:val="006E1431"/>
    <w:rsid w:val="006E16B6"/>
    <w:rsid w:val="006E28EE"/>
    <w:rsid w:val="006E3168"/>
    <w:rsid w:val="006E4051"/>
    <w:rsid w:val="006E4133"/>
    <w:rsid w:val="006F054B"/>
    <w:rsid w:val="006F3AB4"/>
    <w:rsid w:val="006F449F"/>
    <w:rsid w:val="006F5110"/>
    <w:rsid w:val="006F5ADF"/>
    <w:rsid w:val="006F61ED"/>
    <w:rsid w:val="00700C63"/>
    <w:rsid w:val="00701A76"/>
    <w:rsid w:val="007031F4"/>
    <w:rsid w:val="00706785"/>
    <w:rsid w:val="007103AE"/>
    <w:rsid w:val="00711C27"/>
    <w:rsid w:val="007132EE"/>
    <w:rsid w:val="00713C40"/>
    <w:rsid w:val="00714C24"/>
    <w:rsid w:val="0071538F"/>
    <w:rsid w:val="00716469"/>
    <w:rsid w:val="00720118"/>
    <w:rsid w:val="00720851"/>
    <w:rsid w:val="00721902"/>
    <w:rsid w:val="007222D6"/>
    <w:rsid w:val="00726C32"/>
    <w:rsid w:val="00726FAD"/>
    <w:rsid w:val="00730FE5"/>
    <w:rsid w:val="00733A85"/>
    <w:rsid w:val="00734702"/>
    <w:rsid w:val="00734BDE"/>
    <w:rsid w:val="00734D1A"/>
    <w:rsid w:val="00735FED"/>
    <w:rsid w:val="00736054"/>
    <w:rsid w:val="00742993"/>
    <w:rsid w:val="00746B41"/>
    <w:rsid w:val="0075009A"/>
    <w:rsid w:val="007514E2"/>
    <w:rsid w:val="00752A80"/>
    <w:rsid w:val="00753419"/>
    <w:rsid w:val="00754C3D"/>
    <w:rsid w:val="007555C5"/>
    <w:rsid w:val="00755FFD"/>
    <w:rsid w:val="007625FB"/>
    <w:rsid w:val="0076320F"/>
    <w:rsid w:val="00763D2E"/>
    <w:rsid w:val="0076403F"/>
    <w:rsid w:val="007653C4"/>
    <w:rsid w:val="00766290"/>
    <w:rsid w:val="007668DC"/>
    <w:rsid w:val="00766BDE"/>
    <w:rsid w:val="00767334"/>
    <w:rsid w:val="00771C29"/>
    <w:rsid w:val="00771F25"/>
    <w:rsid w:val="00775005"/>
    <w:rsid w:val="0077604B"/>
    <w:rsid w:val="00776DEC"/>
    <w:rsid w:val="007774D1"/>
    <w:rsid w:val="00782971"/>
    <w:rsid w:val="00782DDC"/>
    <w:rsid w:val="00784082"/>
    <w:rsid w:val="0078430E"/>
    <w:rsid w:val="007846EA"/>
    <w:rsid w:val="0078498D"/>
    <w:rsid w:val="00787F1F"/>
    <w:rsid w:val="007904B4"/>
    <w:rsid w:val="00792919"/>
    <w:rsid w:val="00794175"/>
    <w:rsid w:val="00795FBC"/>
    <w:rsid w:val="00796A7D"/>
    <w:rsid w:val="007A1F01"/>
    <w:rsid w:val="007A2A03"/>
    <w:rsid w:val="007A41C8"/>
    <w:rsid w:val="007A459F"/>
    <w:rsid w:val="007A796A"/>
    <w:rsid w:val="007B27F2"/>
    <w:rsid w:val="007B31A8"/>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398"/>
    <w:rsid w:val="007C58CE"/>
    <w:rsid w:val="007C5982"/>
    <w:rsid w:val="007C678F"/>
    <w:rsid w:val="007C7359"/>
    <w:rsid w:val="007C7D80"/>
    <w:rsid w:val="007D0ACB"/>
    <w:rsid w:val="007D2133"/>
    <w:rsid w:val="007D281E"/>
    <w:rsid w:val="007D393E"/>
    <w:rsid w:val="007D62AC"/>
    <w:rsid w:val="007D6480"/>
    <w:rsid w:val="007D68AF"/>
    <w:rsid w:val="007D6AA5"/>
    <w:rsid w:val="007D6C5A"/>
    <w:rsid w:val="007E0306"/>
    <w:rsid w:val="007E0E6E"/>
    <w:rsid w:val="007E23C9"/>
    <w:rsid w:val="007E263D"/>
    <w:rsid w:val="007E42C6"/>
    <w:rsid w:val="007E5A80"/>
    <w:rsid w:val="007E5B98"/>
    <w:rsid w:val="007E5C6B"/>
    <w:rsid w:val="007F06D9"/>
    <w:rsid w:val="007F17CC"/>
    <w:rsid w:val="007F284A"/>
    <w:rsid w:val="007F4938"/>
    <w:rsid w:val="007F6822"/>
    <w:rsid w:val="007F696F"/>
    <w:rsid w:val="00803277"/>
    <w:rsid w:val="00803C64"/>
    <w:rsid w:val="008063E6"/>
    <w:rsid w:val="0080743E"/>
    <w:rsid w:val="00807D40"/>
    <w:rsid w:val="00810820"/>
    <w:rsid w:val="00810E32"/>
    <w:rsid w:val="00810ED0"/>
    <w:rsid w:val="00811080"/>
    <w:rsid w:val="00811D5E"/>
    <w:rsid w:val="00814D69"/>
    <w:rsid w:val="008151F0"/>
    <w:rsid w:val="0081611D"/>
    <w:rsid w:val="00817262"/>
    <w:rsid w:val="00820DE4"/>
    <w:rsid w:val="0082127C"/>
    <w:rsid w:val="00821B08"/>
    <w:rsid w:val="00821E0C"/>
    <w:rsid w:val="00822417"/>
    <w:rsid w:val="0082249A"/>
    <w:rsid w:val="00824FF5"/>
    <w:rsid w:val="0082504D"/>
    <w:rsid w:val="00825167"/>
    <w:rsid w:val="00827B3E"/>
    <w:rsid w:val="008304A5"/>
    <w:rsid w:val="00831723"/>
    <w:rsid w:val="00832833"/>
    <w:rsid w:val="00832DE7"/>
    <w:rsid w:val="00834A35"/>
    <w:rsid w:val="00835DAC"/>
    <w:rsid w:val="0083730D"/>
    <w:rsid w:val="008373CA"/>
    <w:rsid w:val="0084032D"/>
    <w:rsid w:val="00842FFB"/>
    <w:rsid w:val="00843016"/>
    <w:rsid w:val="00843413"/>
    <w:rsid w:val="00843664"/>
    <w:rsid w:val="00843F4A"/>
    <w:rsid w:val="0084465D"/>
    <w:rsid w:val="0084496A"/>
    <w:rsid w:val="00845354"/>
    <w:rsid w:val="0084574A"/>
    <w:rsid w:val="00845EA3"/>
    <w:rsid w:val="00846428"/>
    <w:rsid w:val="0084650D"/>
    <w:rsid w:val="00851F27"/>
    <w:rsid w:val="0085270A"/>
    <w:rsid w:val="00855281"/>
    <w:rsid w:val="0086120A"/>
    <w:rsid w:val="00862BD9"/>
    <w:rsid w:val="00864B27"/>
    <w:rsid w:val="00865E28"/>
    <w:rsid w:val="00865EA3"/>
    <w:rsid w:val="008661BE"/>
    <w:rsid w:val="0087028E"/>
    <w:rsid w:val="0087374C"/>
    <w:rsid w:val="00875445"/>
    <w:rsid w:val="00876515"/>
    <w:rsid w:val="00877D63"/>
    <w:rsid w:val="00877D75"/>
    <w:rsid w:val="00877DC7"/>
    <w:rsid w:val="00880029"/>
    <w:rsid w:val="008802B9"/>
    <w:rsid w:val="00880597"/>
    <w:rsid w:val="00880EC4"/>
    <w:rsid w:val="00883158"/>
    <w:rsid w:val="00884F44"/>
    <w:rsid w:val="0088579D"/>
    <w:rsid w:val="008866B4"/>
    <w:rsid w:val="008877B6"/>
    <w:rsid w:val="00887DC0"/>
    <w:rsid w:val="0089054F"/>
    <w:rsid w:val="00891609"/>
    <w:rsid w:val="008917A1"/>
    <w:rsid w:val="00892037"/>
    <w:rsid w:val="008925ED"/>
    <w:rsid w:val="00894D86"/>
    <w:rsid w:val="00894E3F"/>
    <w:rsid w:val="00895839"/>
    <w:rsid w:val="00896B21"/>
    <w:rsid w:val="008A0574"/>
    <w:rsid w:val="008A05FF"/>
    <w:rsid w:val="008A211A"/>
    <w:rsid w:val="008A2989"/>
    <w:rsid w:val="008A5FDC"/>
    <w:rsid w:val="008A6AC5"/>
    <w:rsid w:val="008A714A"/>
    <w:rsid w:val="008B0501"/>
    <w:rsid w:val="008B07AC"/>
    <w:rsid w:val="008B0CD8"/>
    <w:rsid w:val="008B3EE6"/>
    <w:rsid w:val="008B4E34"/>
    <w:rsid w:val="008B5649"/>
    <w:rsid w:val="008B65F3"/>
    <w:rsid w:val="008B67E7"/>
    <w:rsid w:val="008C0692"/>
    <w:rsid w:val="008C1EBF"/>
    <w:rsid w:val="008C35A5"/>
    <w:rsid w:val="008C36EC"/>
    <w:rsid w:val="008C74DC"/>
    <w:rsid w:val="008C763F"/>
    <w:rsid w:val="008C7BA9"/>
    <w:rsid w:val="008D0B34"/>
    <w:rsid w:val="008D0D6E"/>
    <w:rsid w:val="008D1C9C"/>
    <w:rsid w:val="008D2462"/>
    <w:rsid w:val="008D2E32"/>
    <w:rsid w:val="008D3964"/>
    <w:rsid w:val="008D57A0"/>
    <w:rsid w:val="008D6252"/>
    <w:rsid w:val="008D6393"/>
    <w:rsid w:val="008D709A"/>
    <w:rsid w:val="008E39E5"/>
    <w:rsid w:val="008E47C0"/>
    <w:rsid w:val="008F18F6"/>
    <w:rsid w:val="008F25FE"/>
    <w:rsid w:val="008F2BBA"/>
    <w:rsid w:val="008F3B2C"/>
    <w:rsid w:val="00902417"/>
    <w:rsid w:val="00902524"/>
    <w:rsid w:val="00904E07"/>
    <w:rsid w:val="00911307"/>
    <w:rsid w:val="009119DF"/>
    <w:rsid w:val="00911E29"/>
    <w:rsid w:val="009126C5"/>
    <w:rsid w:val="00913779"/>
    <w:rsid w:val="00915047"/>
    <w:rsid w:val="00915876"/>
    <w:rsid w:val="00917CF4"/>
    <w:rsid w:val="00920969"/>
    <w:rsid w:val="009209C2"/>
    <w:rsid w:val="00923CC4"/>
    <w:rsid w:val="00924A3E"/>
    <w:rsid w:val="00924D7C"/>
    <w:rsid w:val="0092619E"/>
    <w:rsid w:val="009309F8"/>
    <w:rsid w:val="00931208"/>
    <w:rsid w:val="009312AD"/>
    <w:rsid w:val="00934004"/>
    <w:rsid w:val="00936B74"/>
    <w:rsid w:val="009413BE"/>
    <w:rsid w:val="00944CA5"/>
    <w:rsid w:val="009476DD"/>
    <w:rsid w:val="00947E59"/>
    <w:rsid w:val="00947E9A"/>
    <w:rsid w:val="00950EBA"/>
    <w:rsid w:val="009514FF"/>
    <w:rsid w:val="0095258C"/>
    <w:rsid w:val="00952AAC"/>
    <w:rsid w:val="0095354C"/>
    <w:rsid w:val="00954AF1"/>
    <w:rsid w:val="00955A65"/>
    <w:rsid w:val="00962B7F"/>
    <w:rsid w:val="009633E6"/>
    <w:rsid w:val="00967723"/>
    <w:rsid w:val="00967CBA"/>
    <w:rsid w:val="00971333"/>
    <w:rsid w:val="00973AD7"/>
    <w:rsid w:val="00977D14"/>
    <w:rsid w:val="00982916"/>
    <w:rsid w:val="00985496"/>
    <w:rsid w:val="00986F01"/>
    <w:rsid w:val="0099367B"/>
    <w:rsid w:val="0099551D"/>
    <w:rsid w:val="009971B9"/>
    <w:rsid w:val="00997456"/>
    <w:rsid w:val="00997630"/>
    <w:rsid w:val="009A223B"/>
    <w:rsid w:val="009A3308"/>
    <w:rsid w:val="009A3325"/>
    <w:rsid w:val="009A5A06"/>
    <w:rsid w:val="009A6CEF"/>
    <w:rsid w:val="009A71C8"/>
    <w:rsid w:val="009B0905"/>
    <w:rsid w:val="009B2644"/>
    <w:rsid w:val="009B7064"/>
    <w:rsid w:val="009B7ECF"/>
    <w:rsid w:val="009C0601"/>
    <w:rsid w:val="009C109E"/>
    <w:rsid w:val="009C35C5"/>
    <w:rsid w:val="009C395F"/>
    <w:rsid w:val="009C7903"/>
    <w:rsid w:val="009D0F5C"/>
    <w:rsid w:val="009D30EE"/>
    <w:rsid w:val="009D3849"/>
    <w:rsid w:val="009D4B15"/>
    <w:rsid w:val="009D51DE"/>
    <w:rsid w:val="009E10F4"/>
    <w:rsid w:val="009E25B0"/>
    <w:rsid w:val="009E7CB7"/>
    <w:rsid w:val="009F0CAC"/>
    <w:rsid w:val="009F495F"/>
    <w:rsid w:val="009F67C7"/>
    <w:rsid w:val="009F7589"/>
    <w:rsid w:val="009F7C2D"/>
    <w:rsid w:val="00A000A9"/>
    <w:rsid w:val="00A01C2C"/>
    <w:rsid w:val="00A01E82"/>
    <w:rsid w:val="00A02796"/>
    <w:rsid w:val="00A063CC"/>
    <w:rsid w:val="00A064A8"/>
    <w:rsid w:val="00A06F7B"/>
    <w:rsid w:val="00A07023"/>
    <w:rsid w:val="00A11835"/>
    <w:rsid w:val="00A1303B"/>
    <w:rsid w:val="00A138AD"/>
    <w:rsid w:val="00A176B8"/>
    <w:rsid w:val="00A2012A"/>
    <w:rsid w:val="00A20311"/>
    <w:rsid w:val="00A21E01"/>
    <w:rsid w:val="00A22889"/>
    <w:rsid w:val="00A22AD0"/>
    <w:rsid w:val="00A2639C"/>
    <w:rsid w:val="00A279B2"/>
    <w:rsid w:val="00A27BC4"/>
    <w:rsid w:val="00A27F10"/>
    <w:rsid w:val="00A3179F"/>
    <w:rsid w:val="00A323FF"/>
    <w:rsid w:val="00A324F8"/>
    <w:rsid w:val="00A32E7C"/>
    <w:rsid w:val="00A3320B"/>
    <w:rsid w:val="00A335CD"/>
    <w:rsid w:val="00A34D68"/>
    <w:rsid w:val="00A3611F"/>
    <w:rsid w:val="00A3646B"/>
    <w:rsid w:val="00A40D17"/>
    <w:rsid w:val="00A4220F"/>
    <w:rsid w:val="00A43011"/>
    <w:rsid w:val="00A4355C"/>
    <w:rsid w:val="00A4499C"/>
    <w:rsid w:val="00A45191"/>
    <w:rsid w:val="00A45245"/>
    <w:rsid w:val="00A466F0"/>
    <w:rsid w:val="00A46BEC"/>
    <w:rsid w:val="00A47183"/>
    <w:rsid w:val="00A476FF"/>
    <w:rsid w:val="00A50F35"/>
    <w:rsid w:val="00A53AE2"/>
    <w:rsid w:val="00A548AE"/>
    <w:rsid w:val="00A6114B"/>
    <w:rsid w:val="00A6172C"/>
    <w:rsid w:val="00A62604"/>
    <w:rsid w:val="00A64641"/>
    <w:rsid w:val="00A65163"/>
    <w:rsid w:val="00A66781"/>
    <w:rsid w:val="00A71F6C"/>
    <w:rsid w:val="00A72BBC"/>
    <w:rsid w:val="00A737E8"/>
    <w:rsid w:val="00A73FE8"/>
    <w:rsid w:val="00A742D1"/>
    <w:rsid w:val="00A75284"/>
    <w:rsid w:val="00A7692B"/>
    <w:rsid w:val="00A76DDD"/>
    <w:rsid w:val="00A77021"/>
    <w:rsid w:val="00A77613"/>
    <w:rsid w:val="00A81AEB"/>
    <w:rsid w:val="00A81ECC"/>
    <w:rsid w:val="00A81FF6"/>
    <w:rsid w:val="00A82448"/>
    <w:rsid w:val="00A83394"/>
    <w:rsid w:val="00A8553B"/>
    <w:rsid w:val="00A86865"/>
    <w:rsid w:val="00A91769"/>
    <w:rsid w:val="00A91D6E"/>
    <w:rsid w:val="00A9277B"/>
    <w:rsid w:val="00A92C9C"/>
    <w:rsid w:val="00A943AF"/>
    <w:rsid w:val="00A94D4D"/>
    <w:rsid w:val="00A94F9C"/>
    <w:rsid w:val="00A95386"/>
    <w:rsid w:val="00A97319"/>
    <w:rsid w:val="00AA0AF1"/>
    <w:rsid w:val="00AA21EF"/>
    <w:rsid w:val="00AA4EDE"/>
    <w:rsid w:val="00AA5F8F"/>
    <w:rsid w:val="00AA601D"/>
    <w:rsid w:val="00AB0CFA"/>
    <w:rsid w:val="00AB0F74"/>
    <w:rsid w:val="00AB2B45"/>
    <w:rsid w:val="00AB3871"/>
    <w:rsid w:val="00AB3E81"/>
    <w:rsid w:val="00AB5DA3"/>
    <w:rsid w:val="00AB6FC5"/>
    <w:rsid w:val="00AC280C"/>
    <w:rsid w:val="00AC32DE"/>
    <w:rsid w:val="00AC5203"/>
    <w:rsid w:val="00AC6B94"/>
    <w:rsid w:val="00AD0BDD"/>
    <w:rsid w:val="00AD1A61"/>
    <w:rsid w:val="00AD336C"/>
    <w:rsid w:val="00AD3567"/>
    <w:rsid w:val="00AD5F8B"/>
    <w:rsid w:val="00AE2410"/>
    <w:rsid w:val="00AE4E8F"/>
    <w:rsid w:val="00AE6981"/>
    <w:rsid w:val="00AF06A2"/>
    <w:rsid w:val="00AF3A9E"/>
    <w:rsid w:val="00AF476B"/>
    <w:rsid w:val="00AF5E84"/>
    <w:rsid w:val="00AF7B35"/>
    <w:rsid w:val="00B007FC"/>
    <w:rsid w:val="00B03D6E"/>
    <w:rsid w:val="00B04EFA"/>
    <w:rsid w:val="00B06825"/>
    <w:rsid w:val="00B11C82"/>
    <w:rsid w:val="00B1335E"/>
    <w:rsid w:val="00B13AAD"/>
    <w:rsid w:val="00B144D1"/>
    <w:rsid w:val="00B15765"/>
    <w:rsid w:val="00B15A58"/>
    <w:rsid w:val="00B15FEC"/>
    <w:rsid w:val="00B178C3"/>
    <w:rsid w:val="00B17AC5"/>
    <w:rsid w:val="00B17CCB"/>
    <w:rsid w:val="00B20772"/>
    <w:rsid w:val="00B21090"/>
    <w:rsid w:val="00B2226D"/>
    <w:rsid w:val="00B23F0B"/>
    <w:rsid w:val="00B25A45"/>
    <w:rsid w:val="00B25A57"/>
    <w:rsid w:val="00B315B8"/>
    <w:rsid w:val="00B33C77"/>
    <w:rsid w:val="00B3630A"/>
    <w:rsid w:val="00B37190"/>
    <w:rsid w:val="00B3771F"/>
    <w:rsid w:val="00B4069A"/>
    <w:rsid w:val="00B41D41"/>
    <w:rsid w:val="00B42DC1"/>
    <w:rsid w:val="00B43410"/>
    <w:rsid w:val="00B437D7"/>
    <w:rsid w:val="00B44173"/>
    <w:rsid w:val="00B45FFC"/>
    <w:rsid w:val="00B46E7D"/>
    <w:rsid w:val="00B478B5"/>
    <w:rsid w:val="00B52800"/>
    <w:rsid w:val="00B52CE2"/>
    <w:rsid w:val="00B53B8A"/>
    <w:rsid w:val="00B550DE"/>
    <w:rsid w:val="00B562AD"/>
    <w:rsid w:val="00B57D4B"/>
    <w:rsid w:val="00B61C2B"/>
    <w:rsid w:val="00B62CC5"/>
    <w:rsid w:val="00B66F05"/>
    <w:rsid w:val="00B721D8"/>
    <w:rsid w:val="00B72941"/>
    <w:rsid w:val="00B73954"/>
    <w:rsid w:val="00B76039"/>
    <w:rsid w:val="00B763A3"/>
    <w:rsid w:val="00B76F90"/>
    <w:rsid w:val="00B77460"/>
    <w:rsid w:val="00B77C9C"/>
    <w:rsid w:val="00B80926"/>
    <w:rsid w:val="00B80F95"/>
    <w:rsid w:val="00B84221"/>
    <w:rsid w:val="00B85566"/>
    <w:rsid w:val="00B85A8C"/>
    <w:rsid w:val="00B901E7"/>
    <w:rsid w:val="00B93AE1"/>
    <w:rsid w:val="00B93DB3"/>
    <w:rsid w:val="00B94194"/>
    <w:rsid w:val="00B94AC1"/>
    <w:rsid w:val="00B95A43"/>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0E92"/>
    <w:rsid w:val="00BB25D2"/>
    <w:rsid w:val="00BB7341"/>
    <w:rsid w:val="00BB7D15"/>
    <w:rsid w:val="00BB7F05"/>
    <w:rsid w:val="00BC0D25"/>
    <w:rsid w:val="00BC121F"/>
    <w:rsid w:val="00BC3AAE"/>
    <w:rsid w:val="00BC3AD9"/>
    <w:rsid w:val="00BC4A90"/>
    <w:rsid w:val="00BC5076"/>
    <w:rsid w:val="00BC7AA9"/>
    <w:rsid w:val="00BD2655"/>
    <w:rsid w:val="00BD37EA"/>
    <w:rsid w:val="00BD38AF"/>
    <w:rsid w:val="00BD4FF4"/>
    <w:rsid w:val="00BD5200"/>
    <w:rsid w:val="00BD6D87"/>
    <w:rsid w:val="00BE0183"/>
    <w:rsid w:val="00BE0363"/>
    <w:rsid w:val="00BE0BC0"/>
    <w:rsid w:val="00BE24EE"/>
    <w:rsid w:val="00BE5C9C"/>
    <w:rsid w:val="00BE6D9A"/>
    <w:rsid w:val="00BF023E"/>
    <w:rsid w:val="00BF1105"/>
    <w:rsid w:val="00BF1FBE"/>
    <w:rsid w:val="00BF2224"/>
    <w:rsid w:val="00BF3507"/>
    <w:rsid w:val="00BF4140"/>
    <w:rsid w:val="00BF727C"/>
    <w:rsid w:val="00BF7728"/>
    <w:rsid w:val="00BF7CD4"/>
    <w:rsid w:val="00C02E74"/>
    <w:rsid w:val="00C0361C"/>
    <w:rsid w:val="00C04384"/>
    <w:rsid w:val="00C051E8"/>
    <w:rsid w:val="00C056F6"/>
    <w:rsid w:val="00C10E55"/>
    <w:rsid w:val="00C11758"/>
    <w:rsid w:val="00C146CF"/>
    <w:rsid w:val="00C149E4"/>
    <w:rsid w:val="00C16F9C"/>
    <w:rsid w:val="00C21C40"/>
    <w:rsid w:val="00C22F90"/>
    <w:rsid w:val="00C233EA"/>
    <w:rsid w:val="00C2455A"/>
    <w:rsid w:val="00C25F36"/>
    <w:rsid w:val="00C26869"/>
    <w:rsid w:val="00C278D5"/>
    <w:rsid w:val="00C30864"/>
    <w:rsid w:val="00C3408D"/>
    <w:rsid w:val="00C346D8"/>
    <w:rsid w:val="00C356E7"/>
    <w:rsid w:val="00C40500"/>
    <w:rsid w:val="00C40BE0"/>
    <w:rsid w:val="00C40C1D"/>
    <w:rsid w:val="00C417DB"/>
    <w:rsid w:val="00C42524"/>
    <w:rsid w:val="00C426B4"/>
    <w:rsid w:val="00C434B4"/>
    <w:rsid w:val="00C43B8F"/>
    <w:rsid w:val="00C455A6"/>
    <w:rsid w:val="00C4721B"/>
    <w:rsid w:val="00C47E54"/>
    <w:rsid w:val="00C51648"/>
    <w:rsid w:val="00C53A7D"/>
    <w:rsid w:val="00C54B7A"/>
    <w:rsid w:val="00C56E4C"/>
    <w:rsid w:val="00C56EE6"/>
    <w:rsid w:val="00C619F4"/>
    <w:rsid w:val="00C61CFF"/>
    <w:rsid w:val="00C61EC2"/>
    <w:rsid w:val="00C62C21"/>
    <w:rsid w:val="00C651E7"/>
    <w:rsid w:val="00C66F2C"/>
    <w:rsid w:val="00C7081B"/>
    <w:rsid w:val="00C71248"/>
    <w:rsid w:val="00C725E0"/>
    <w:rsid w:val="00C74636"/>
    <w:rsid w:val="00C74BEB"/>
    <w:rsid w:val="00C75DCB"/>
    <w:rsid w:val="00C81D32"/>
    <w:rsid w:val="00C8314F"/>
    <w:rsid w:val="00C8321F"/>
    <w:rsid w:val="00C845C6"/>
    <w:rsid w:val="00C86622"/>
    <w:rsid w:val="00C868D7"/>
    <w:rsid w:val="00CA21A4"/>
    <w:rsid w:val="00CA22A5"/>
    <w:rsid w:val="00CA24C1"/>
    <w:rsid w:val="00CA3317"/>
    <w:rsid w:val="00CA52FD"/>
    <w:rsid w:val="00CA6FA4"/>
    <w:rsid w:val="00CA79CE"/>
    <w:rsid w:val="00CA7DA3"/>
    <w:rsid w:val="00CB106E"/>
    <w:rsid w:val="00CB15B6"/>
    <w:rsid w:val="00CB3804"/>
    <w:rsid w:val="00CB3A6B"/>
    <w:rsid w:val="00CC0CB3"/>
    <w:rsid w:val="00CC137A"/>
    <w:rsid w:val="00CC1FCE"/>
    <w:rsid w:val="00CC2AFD"/>
    <w:rsid w:val="00CC357C"/>
    <w:rsid w:val="00CC518F"/>
    <w:rsid w:val="00CC5B60"/>
    <w:rsid w:val="00CC63E0"/>
    <w:rsid w:val="00CC6817"/>
    <w:rsid w:val="00CC76BA"/>
    <w:rsid w:val="00CC7BBE"/>
    <w:rsid w:val="00CD4E6E"/>
    <w:rsid w:val="00CD529E"/>
    <w:rsid w:val="00CD6FA7"/>
    <w:rsid w:val="00CD74CE"/>
    <w:rsid w:val="00CE0A5F"/>
    <w:rsid w:val="00CE0E64"/>
    <w:rsid w:val="00CE2B68"/>
    <w:rsid w:val="00CE5C16"/>
    <w:rsid w:val="00CE6398"/>
    <w:rsid w:val="00CE6470"/>
    <w:rsid w:val="00CF1081"/>
    <w:rsid w:val="00CF3D9A"/>
    <w:rsid w:val="00D01097"/>
    <w:rsid w:val="00D024F0"/>
    <w:rsid w:val="00D02541"/>
    <w:rsid w:val="00D04325"/>
    <w:rsid w:val="00D050F9"/>
    <w:rsid w:val="00D074B7"/>
    <w:rsid w:val="00D076B4"/>
    <w:rsid w:val="00D07A2E"/>
    <w:rsid w:val="00D20A64"/>
    <w:rsid w:val="00D21B17"/>
    <w:rsid w:val="00D22820"/>
    <w:rsid w:val="00D23D5D"/>
    <w:rsid w:val="00D24040"/>
    <w:rsid w:val="00D271A2"/>
    <w:rsid w:val="00D30D32"/>
    <w:rsid w:val="00D36292"/>
    <w:rsid w:val="00D365B8"/>
    <w:rsid w:val="00D36AF8"/>
    <w:rsid w:val="00D36D1A"/>
    <w:rsid w:val="00D40AFE"/>
    <w:rsid w:val="00D41861"/>
    <w:rsid w:val="00D4333A"/>
    <w:rsid w:val="00D4336E"/>
    <w:rsid w:val="00D4400D"/>
    <w:rsid w:val="00D441B4"/>
    <w:rsid w:val="00D50DBD"/>
    <w:rsid w:val="00D5165F"/>
    <w:rsid w:val="00D53B17"/>
    <w:rsid w:val="00D556D9"/>
    <w:rsid w:val="00D618FA"/>
    <w:rsid w:val="00D62F10"/>
    <w:rsid w:val="00D6429F"/>
    <w:rsid w:val="00D64342"/>
    <w:rsid w:val="00D669F8"/>
    <w:rsid w:val="00D67084"/>
    <w:rsid w:val="00D6782D"/>
    <w:rsid w:val="00D706E5"/>
    <w:rsid w:val="00D719A4"/>
    <w:rsid w:val="00D72BB4"/>
    <w:rsid w:val="00D72F84"/>
    <w:rsid w:val="00D73AE3"/>
    <w:rsid w:val="00D75861"/>
    <w:rsid w:val="00D76421"/>
    <w:rsid w:val="00D80DD4"/>
    <w:rsid w:val="00D80EAB"/>
    <w:rsid w:val="00D81FC1"/>
    <w:rsid w:val="00D83639"/>
    <w:rsid w:val="00D85AE9"/>
    <w:rsid w:val="00D86641"/>
    <w:rsid w:val="00D9272D"/>
    <w:rsid w:val="00D95858"/>
    <w:rsid w:val="00D95C68"/>
    <w:rsid w:val="00DA121E"/>
    <w:rsid w:val="00DA1BBE"/>
    <w:rsid w:val="00DA26D0"/>
    <w:rsid w:val="00DA4B3B"/>
    <w:rsid w:val="00DA4FF8"/>
    <w:rsid w:val="00DA50D9"/>
    <w:rsid w:val="00DA784F"/>
    <w:rsid w:val="00DA7CBA"/>
    <w:rsid w:val="00DB0D40"/>
    <w:rsid w:val="00DB3331"/>
    <w:rsid w:val="00DB5633"/>
    <w:rsid w:val="00DB58EB"/>
    <w:rsid w:val="00DC26C3"/>
    <w:rsid w:val="00DC322F"/>
    <w:rsid w:val="00DC37CE"/>
    <w:rsid w:val="00DC3C4C"/>
    <w:rsid w:val="00DC5E06"/>
    <w:rsid w:val="00DC616B"/>
    <w:rsid w:val="00DC67E3"/>
    <w:rsid w:val="00DC6DD5"/>
    <w:rsid w:val="00DD00AB"/>
    <w:rsid w:val="00DD1DD0"/>
    <w:rsid w:val="00DD1FCB"/>
    <w:rsid w:val="00DD21D5"/>
    <w:rsid w:val="00DD4EF4"/>
    <w:rsid w:val="00DD56DC"/>
    <w:rsid w:val="00DD5CBC"/>
    <w:rsid w:val="00DD66BC"/>
    <w:rsid w:val="00DD71CF"/>
    <w:rsid w:val="00DE499E"/>
    <w:rsid w:val="00DE4B44"/>
    <w:rsid w:val="00DE7172"/>
    <w:rsid w:val="00DE782E"/>
    <w:rsid w:val="00DF15E9"/>
    <w:rsid w:val="00DF2B58"/>
    <w:rsid w:val="00DF3CB9"/>
    <w:rsid w:val="00DF3CEE"/>
    <w:rsid w:val="00DF5E42"/>
    <w:rsid w:val="00DF7C8E"/>
    <w:rsid w:val="00E00250"/>
    <w:rsid w:val="00E00D34"/>
    <w:rsid w:val="00E01913"/>
    <w:rsid w:val="00E0343A"/>
    <w:rsid w:val="00E039E1"/>
    <w:rsid w:val="00E04969"/>
    <w:rsid w:val="00E055D3"/>
    <w:rsid w:val="00E06BC9"/>
    <w:rsid w:val="00E06D41"/>
    <w:rsid w:val="00E11730"/>
    <w:rsid w:val="00E121F9"/>
    <w:rsid w:val="00E13F02"/>
    <w:rsid w:val="00E140BF"/>
    <w:rsid w:val="00E1482E"/>
    <w:rsid w:val="00E14B53"/>
    <w:rsid w:val="00E153AE"/>
    <w:rsid w:val="00E24211"/>
    <w:rsid w:val="00E25114"/>
    <w:rsid w:val="00E26EB2"/>
    <w:rsid w:val="00E30475"/>
    <w:rsid w:val="00E30C4E"/>
    <w:rsid w:val="00E31401"/>
    <w:rsid w:val="00E328B9"/>
    <w:rsid w:val="00E35796"/>
    <w:rsid w:val="00E375CB"/>
    <w:rsid w:val="00E379E8"/>
    <w:rsid w:val="00E40DDA"/>
    <w:rsid w:val="00E4185C"/>
    <w:rsid w:val="00E41DD9"/>
    <w:rsid w:val="00E43151"/>
    <w:rsid w:val="00E43796"/>
    <w:rsid w:val="00E43C70"/>
    <w:rsid w:val="00E43EA3"/>
    <w:rsid w:val="00E446E3"/>
    <w:rsid w:val="00E501E7"/>
    <w:rsid w:val="00E52BEB"/>
    <w:rsid w:val="00E55FA5"/>
    <w:rsid w:val="00E56F46"/>
    <w:rsid w:val="00E57E24"/>
    <w:rsid w:val="00E61157"/>
    <w:rsid w:val="00E64202"/>
    <w:rsid w:val="00E664BC"/>
    <w:rsid w:val="00E667F8"/>
    <w:rsid w:val="00E66CF2"/>
    <w:rsid w:val="00E74FC5"/>
    <w:rsid w:val="00E7757A"/>
    <w:rsid w:val="00E81D4B"/>
    <w:rsid w:val="00E82528"/>
    <w:rsid w:val="00E833B5"/>
    <w:rsid w:val="00E9085B"/>
    <w:rsid w:val="00E9271A"/>
    <w:rsid w:val="00E92C9E"/>
    <w:rsid w:val="00E932A0"/>
    <w:rsid w:val="00E95200"/>
    <w:rsid w:val="00E95A34"/>
    <w:rsid w:val="00E95EA0"/>
    <w:rsid w:val="00EA4C67"/>
    <w:rsid w:val="00EA50D4"/>
    <w:rsid w:val="00EA6441"/>
    <w:rsid w:val="00EA6625"/>
    <w:rsid w:val="00EB1729"/>
    <w:rsid w:val="00EB5275"/>
    <w:rsid w:val="00EB7374"/>
    <w:rsid w:val="00EC41F8"/>
    <w:rsid w:val="00EC4301"/>
    <w:rsid w:val="00EC4B3E"/>
    <w:rsid w:val="00EC4C35"/>
    <w:rsid w:val="00EC510E"/>
    <w:rsid w:val="00EC7D75"/>
    <w:rsid w:val="00ED1DAA"/>
    <w:rsid w:val="00ED215A"/>
    <w:rsid w:val="00ED41D8"/>
    <w:rsid w:val="00ED4AFD"/>
    <w:rsid w:val="00ED5C33"/>
    <w:rsid w:val="00ED7373"/>
    <w:rsid w:val="00ED782E"/>
    <w:rsid w:val="00ED7B49"/>
    <w:rsid w:val="00EE02E8"/>
    <w:rsid w:val="00EE1086"/>
    <w:rsid w:val="00EE469D"/>
    <w:rsid w:val="00EE513E"/>
    <w:rsid w:val="00EE526E"/>
    <w:rsid w:val="00EE60D4"/>
    <w:rsid w:val="00EE681B"/>
    <w:rsid w:val="00EF0D9B"/>
    <w:rsid w:val="00EF0E5E"/>
    <w:rsid w:val="00EF3065"/>
    <w:rsid w:val="00EF39AC"/>
    <w:rsid w:val="00EF4A52"/>
    <w:rsid w:val="00EF7188"/>
    <w:rsid w:val="00EF7474"/>
    <w:rsid w:val="00F027A6"/>
    <w:rsid w:val="00F02E5F"/>
    <w:rsid w:val="00F0390F"/>
    <w:rsid w:val="00F051A6"/>
    <w:rsid w:val="00F06C44"/>
    <w:rsid w:val="00F06F31"/>
    <w:rsid w:val="00F10300"/>
    <w:rsid w:val="00F107D3"/>
    <w:rsid w:val="00F11012"/>
    <w:rsid w:val="00F12C0E"/>
    <w:rsid w:val="00F2114E"/>
    <w:rsid w:val="00F21ACC"/>
    <w:rsid w:val="00F245E7"/>
    <w:rsid w:val="00F25FF9"/>
    <w:rsid w:val="00F303D9"/>
    <w:rsid w:val="00F30D96"/>
    <w:rsid w:val="00F3162F"/>
    <w:rsid w:val="00F325C2"/>
    <w:rsid w:val="00F32D3D"/>
    <w:rsid w:val="00F3358B"/>
    <w:rsid w:val="00F33700"/>
    <w:rsid w:val="00F33B49"/>
    <w:rsid w:val="00F3402C"/>
    <w:rsid w:val="00F3528F"/>
    <w:rsid w:val="00F3672C"/>
    <w:rsid w:val="00F370FB"/>
    <w:rsid w:val="00F377BC"/>
    <w:rsid w:val="00F37E55"/>
    <w:rsid w:val="00F40F67"/>
    <w:rsid w:val="00F417F9"/>
    <w:rsid w:val="00F423D8"/>
    <w:rsid w:val="00F42A1A"/>
    <w:rsid w:val="00F44A5F"/>
    <w:rsid w:val="00F455A0"/>
    <w:rsid w:val="00F45B94"/>
    <w:rsid w:val="00F46E0E"/>
    <w:rsid w:val="00F46FEE"/>
    <w:rsid w:val="00F47A1F"/>
    <w:rsid w:val="00F503E3"/>
    <w:rsid w:val="00F505D4"/>
    <w:rsid w:val="00F5187A"/>
    <w:rsid w:val="00F52C31"/>
    <w:rsid w:val="00F55526"/>
    <w:rsid w:val="00F567B8"/>
    <w:rsid w:val="00F578A5"/>
    <w:rsid w:val="00F607F5"/>
    <w:rsid w:val="00F60E32"/>
    <w:rsid w:val="00F618E4"/>
    <w:rsid w:val="00F63E58"/>
    <w:rsid w:val="00F63F67"/>
    <w:rsid w:val="00F6410B"/>
    <w:rsid w:val="00F64C38"/>
    <w:rsid w:val="00F66C90"/>
    <w:rsid w:val="00F67F2F"/>
    <w:rsid w:val="00F71244"/>
    <w:rsid w:val="00F73FE3"/>
    <w:rsid w:val="00F75B86"/>
    <w:rsid w:val="00F75D5B"/>
    <w:rsid w:val="00F761D5"/>
    <w:rsid w:val="00F771D3"/>
    <w:rsid w:val="00F8376E"/>
    <w:rsid w:val="00F84749"/>
    <w:rsid w:val="00F84913"/>
    <w:rsid w:val="00F84C8D"/>
    <w:rsid w:val="00F85491"/>
    <w:rsid w:val="00F86BEA"/>
    <w:rsid w:val="00F86EAA"/>
    <w:rsid w:val="00F87505"/>
    <w:rsid w:val="00F90A3F"/>
    <w:rsid w:val="00F90BF6"/>
    <w:rsid w:val="00F911DB"/>
    <w:rsid w:val="00F92508"/>
    <w:rsid w:val="00F92944"/>
    <w:rsid w:val="00F9393A"/>
    <w:rsid w:val="00F963B4"/>
    <w:rsid w:val="00F96495"/>
    <w:rsid w:val="00F96AE2"/>
    <w:rsid w:val="00FA29E2"/>
    <w:rsid w:val="00FA3EB3"/>
    <w:rsid w:val="00FA3EEA"/>
    <w:rsid w:val="00FA683E"/>
    <w:rsid w:val="00FA6B89"/>
    <w:rsid w:val="00FA7EE1"/>
    <w:rsid w:val="00FB15ED"/>
    <w:rsid w:val="00FB1ED5"/>
    <w:rsid w:val="00FB2822"/>
    <w:rsid w:val="00FB4778"/>
    <w:rsid w:val="00FB4945"/>
    <w:rsid w:val="00FB4AB0"/>
    <w:rsid w:val="00FB66BD"/>
    <w:rsid w:val="00FC1393"/>
    <w:rsid w:val="00FC1403"/>
    <w:rsid w:val="00FC1BDB"/>
    <w:rsid w:val="00FC22B4"/>
    <w:rsid w:val="00FC28C3"/>
    <w:rsid w:val="00FC5CCB"/>
    <w:rsid w:val="00FC66DA"/>
    <w:rsid w:val="00FC7076"/>
    <w:rsid w:val="00FC7B24"/>
    <w:rsid w:val="00FC7C62"/>
    <w:rsid w:val="00FD39E2"/>
    <w:rsid w:val="00FD41AF"/>
    <w:rsid w:val="00FD69CE"/>
    <w:rsid w:val="00FE1FE6"/>
    <w:rsid w:val="00FE2BB6"/>
    <w:rsid w:val="00FE43A4"/>
    <w:rsid w:val="00FE4605"/>
    <w:rsid w:val="00FE4E3A"/>
    <w:rsid w:val="00FE560F"/>
    <w:rsid w:val="00FE5F61"/>
    <w:rsid w:val="00FE70DD"/>
    <w:rsid w:val="00FF0B70"/>
    <w:rsid w:val="00FF1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 w:type="paragraph" w:customStyle="1" w:styleId="Default">
    <w:name w:val="Default"/>
    <w:rsid w:val="00713C4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303D9"/>
    <w:pPr>
      <w:widowControl w:val="0"/>
      <w:wordWrap w:val="0"/>
      <w:autoSpaceDE w:val="0"/>
      <w:autoSpaceDN w:val="0"/>
      <w:snapToGrid w:val="0"/>
      <w:spacing w:after="160" w:line="259" w:lineRule="auto"/>
    </w:pPr>
    <w:rPr>
      <w:rFonts w:eastAsiaTheme="minorEastAsia"/>
      <w:kern w:val="2"/>
      <w:sz w:val="20"/>
      <w:lang w:eastAsia="ko-KR"/>
    </w:rPr>
  </w:style>
  <w:style w:type="character" w:customStyle="1" w:styleId="FootnoteTextChar">
    <w:name w:val="Footnote Text Char"/>
    <w:basedOn w:val="DefaultParagraphFont"/>
    <w:link w:val="FootnoteText"/>
    <w:uiPriority w:val="99"/>
    <w:semiHidden/>
    <w:rsid w:val="00F303D9"/>
    <w:rPr>
      <w:rFonts w:eastAsiaTheme="minorEastAsia"/>
      <w:kern w:val="2"/>
      <w:sz w:val="20"/>
      <w:lang w:eastAsia="ko-KR"/>
    </w:rPr>
  </w:style>
  <w:style w:type="character" w:styleId="FootnoteReference">
    <w:name w:val="footnote reference"/>
    <w:basedOn w:val="DefaultParagraphFont"/>
    <w:uiPriority w:val="99"/>
    <w:semiHidden/>
    <w:unhideWhenUsed/>
    <w:rsid w:val="00F303D9"/>
    <w:rPr>
      <w:vertAlign w:val="superscript"/>
    </w:rPr>
  </w:style>
  <w:style w:type="character" w:styleId="UnresolvedMention">
    <w:name w:val="Unresolved Mention"/>
    <w:basedOn w:val="DefaultParagraphFont"/>
    <w:uiPriority w:val="99"/>
    <w:semiHidden/>
    <w:unhideWhenUsed/>
    <w:rsid w:val="00153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 w:id="1741977791">
      <w:bodyDiv w:val="1"/>
      <w:marLeft w:val="0"/>
      <w:marRight w:val="0"/>
      <w:marTop w:val="0"/>
      <w:marBottom w:val="0"/>
      <w:divBdr>
        <w:top w:val="none" w:sz="0" w:space="0" w:color="auto"/>
        <w:left w:val="none" w:sz="0" w:space="0" w:color="auto"/>
        <w:bottom w:val="none" w:sz="0" w:space="0" w:color="auto"/>
        <w:right w:val="none" w:sz="0" w:space="0" w:color="auto"/>
      </w:divBdr>
      <w:divsChild>
        <w:div w:id="1357392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790530">
              <w:marLeft w:val="0"/>
              <w:marRight w:val="0"/>
              <w:marTop w:val="0"/>
              <w:marBottom w:val="0"/>
              <w:divBdr>
                <w:top w:val="none" w:sz="0" w:space="0" w:color="auto"/>
                <w:left w:val="none" w:sz="0" w:space="0" w:color="auto"/>
                <w:bottom w:val="none" w:sz="0" w:space="0" w:color="auto"/>
                <w:right w:val="none" w:sz="0" w:space="0" w:color="auto"/>
              </w:divBdr>
              <w:divsChild>
                <w:div w:id="434206564">
                  <w:marLeft w:val="0"/>
                  <w:marRight w:val="0"/>
                  <w:marTop w:val="0"/>
                  <w:marBottom w:val="0"/>
                  <w:divBdr>
                    <w:top w:val="none" w:sz="0" w:space="0" w:color="auto"/>
                    <w:left w:val="none" w:sz="0" w:space="0" w:color="auto"/>
                    <w:bottom w:val="none" w:sz="0" w:space="0" w:color="auto"/>
                    <w:right w:val="none" w:sz="0" w:space="0" w:color="auto"/>
                  </w:divBdr>
                  <w:divsChild>
                    <w:div w:id="1386150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23163037">
                          <w:marLeft w:val="0"/>
                          <w:marRight w:val="0"/>
                          <w:marTop w:val="0"/>
                          <w:marBottom w:val="0"/>
                          <w:divBdr>
                            <w:top w:val="none" w:sz="0" w:space="0" w:color="auto"/>
                            <w:left w:val="none" w:sz="0" w:space="0" w:color="auto"/>
                            <w:bottom w:val="none" w:sz="0" w:space="0" w:color="auto"/>
                            <w:right w:val="none" w:sz="0" w:space="0" w:color="auto"/>
                          </w:divBdr>
                          <w:divsChild>
                            <w:div w:id="133302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818469">
                                  <w:marLeft w:val="0"/>
                                  <w:marRight w:val="0"/>
                                  <w:marTop w:val="0"/>
                                  <w:marBottom w:val="0"/>
                                  <w:divBdr>
                                    <w:top w:val="none" w:sz="0" w:space="0" w:color="auto"/>
                                    <w:left w:val="none" w:sz="0" w:space="0" w:color="auto"/>
                                    <w:bottom w:val="none" w:sz="0" w:space="0" w:color="auto"/>
                                    <w:right w:val="none" w:sz="0" w:space="0" w:color="auto"/>
                                  </w:divBdr>
                                  <w:divsChild>
                                    <w:div w:id="1989742872">
                                      <w:marLeft w:val="0"/>
                                      <w:marRight w:val="0"/>
                                      <w:marTop w:val="0"/>
                                      <w:marBottom w:val="0"/>
                                      <w:divBdr>
                                        <w:top w:val="none" w:sz="0" w:space="0" w:color="auto"/>
                                        <w:left w:val="none" w:sz="0" w:space="0" w:color="auto"/>
                                        <w:bottom w:val="none" w:sz="0" w:space="0" w:color="auto"/>
                                        <w:right w:val="none" w:sz="0" w:space="0" w:color="auto"/>
                                      </w:divBdr>
                                      <w:divsChild>
                                        <w:div w:id="878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pflueger.github.io/carolinpflueger_repository/jh_bps_20240801.pdf"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kansascityfed.org/documents/10337/pflueger_j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21</Pages>
  <Words>9116</Words>
  <Characters>51964</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47</cp:revision>
  <cp:lastPrinted>2022-01-31T19:55:00Z</cp:lastPrinted>
  <dcterms:created xsi:type="dcterms:W3CDTF">2024-11-15T19:48:00Z</dcterms:created>
  <dcterms:modified xsi:type="dcterms:W3CDTF">2024-11-21T23:03:00Z</dcterms:modified>
</cp:coreProperties>
</file>