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06CF05FD"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Dear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66CD927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147233" w:rsidRPr="00E81D4B">
        <w:rPr>
          <w:rFonts w:ascii="Times New Roman" w:hAnsi="Times New Roman" w:cs="Times New Roman"/>
          <w:color w:val="0000FF"/>
        </w:rPr>
        <w:t>, and the</w:t>
      </w:r>
      <w:r w:rsidR="00E81D4B" w:rsidRPr="00E81D4B">
        <w:rPr>
          <w:rFonts w:ascii="Times New Roman" w:hAnsi="Times New Roman" w:cs="Times New Roman"/>
          <w:color w:val="0000FF"/>
        </w:rPr>
        <w:t xml:space="preserve"> helpful</w:t>
      </w:r>
      <w:r w:rsidR="00147233" w:rsidRPr="00E81D4B">
        <w:rPr>
          <w:rFonts w:ascii="Times New Roman" w:hAnsi="Times New Roman" w:cs="Times New Roman"/>
          <w:color w:val="0000FF"/>
        </w:rPr>
        <w:t xml:space="preserve"> suggestions and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 which I think provides a much clearer contribution and discussion</w:t>
      </w:r>
      <w:r w:rsidR="00E81D4B" w:rsidRPr="00E81D4B">
        <w:rPr>
          <w:rFonts w:ascii="Times New Roman" w:hAnsi="Times New Roman" w:cs="Times New Roman"/>
          <w:color w:val="0000FF"/>
        </w:rPr>
        <w:t>s</w:t>
      </w:r>
      <w:r w:rsidR="00147233" w:rsidRPr="00E81D4B">
        <w:rPr>
          <w:rFonts w:ascii="Times New Roman" w:hAnsi="Times New Roman" w:cs="Times New Roman"/>
          <w:color w:val="0000FF"/>
        </w:rPr>
        <w:t xml:space="preserve"> of macroeconomic drivers both in the 1980s and the recent period.</w:t>
      </w:r>
      <w:r w:rsidR="00DE7172" w:rsidRPr="00E81D4B">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4C172C1D" w14:textId="7200D627" w:rsidR="00D556D9" w:rsidRPr="00E81D4B" w:rsidRDefault="008151F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clarifies how the papers’ </w:t>
      </w:r>
      <w:r w:rsidRPr="00E81D4B">
        <w:rPr>
          <w:rFonts w:ascii="Times New Roman" w:hAnsi="Times New Roman" w:cs="Times New Roman"/>
          <w:b/>
          <w:bCs/>
          <w:color w:val="0000FF"/>
        </w:rPr>
        <w:t>relationship to the literature</w:t>
      </w:r>
      <w:r w:rsidRPr="00E81D4B">
        <w:rPr>
          <w:rFonts w:ascii="Times New Roman" w:hAnsi="Times New Roman" w:cs="Times New Roman"/>
          <w:color w:val="0000FF"/>
        </w:rPr>
        <w:t>, both relative to my own prior contributions and contributions of other authors. I completely agree with the AE that the main contribution is to show that macroeconomic dynamics have changed so much over the past 20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The revised paper describes this contribution upfront in the introduction</w:t>
      </w:r>
      <w:r w:rsidR="00147233" w:rsidRPr="00E81D4B">
        <w:rPr>
          <w:rFonts w:ascii="Times New Roman" w:hAnsi="Times New Roman" w:cs="Times New Roman"/>
          <w:color w:val="0000FF"/>
        </w:rPr>
        <w:t xml:space="preserve">, particularly in relation to the </w:t>
      </w:r>
      <w:r w:rsidRPr="00E81D4B">
        <w:rPr>
          <w:rFonts w:ascii="Times New Roman" w:hAnsi="Times New Roman" w:cs="Times New Roman"/>
          <w:color w:val="0000FF"/>
        </w:rPr>
        <w:t>papers highlighted by referee 2</w:t>
      </w:r>
      <w:r w:rsidR="00147233"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6E137CB9" w14:textId="77777777" w:rsidR="008151F0" w:rsidRPr="00E81D4B" w:rsidRDefault="008151F0" w:rsidP="00E81D4B">
      <w:pPr>
        <w:pStyle w:val="ListParagraph"/>
        <w:spacing w:after="0" w:line="240" w:lineRule="auto"/>
        <w:jc w:val="both"/>
        <w:rPr>
          <w:rFonts w:ascii="Times New Roman" w:hAnsi="Times New Roman" w:cs="Times New Roman"/>
          <w:color w:val="0000FF"/>
        </w:rPr>
      </w:pPr>
    </w:p>
    <w:p w14:paraId="74D65B1A" w14:textId="49ABD597" w:rsidR="00FA683E" w:rsidRPr="00E81D4B" w:rsidRDefault="00045F4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contains </w:t>
      </w:r>
      <w:r w:rsidR="00974EAA" w:rsidRPr="00974EAA">
        <w:rPr>
          <w:rFonts w:ascii="Times New Roman" w:hAnsi="Times New Roman" w:cs="Times New Roman"/>
          <w:b/>
          <w:bCs/>
          <w:color w:val="0000FF"/>
        </w:rPr>
        <w:t xml:space="preserve">additional results and discussion supporting the calibration </w:t>
      </w:r>
      <w:r w:rsidRPr="00E81D4B">
        <w:rPr>
          <w:rFonts w:ascii="Times New Roman" w:hAnsi="Times New Roman" w:cs="Times New Roman"/>
          <w:b/>
          <w:bCs/>
          <w:color w:val="0000FF"/>
        </w:rPr>
        <w:t>for the first subperiod</w:t>
      </w:r>
      <w:r w:rsidR="00974EAA">
        <w:rPr>
          <w:rFonts w:ascii="Times New Roman" w:hAnsi="Times New Roman" w:cs="Times New Roman"/>
          <w:color w:val="0000FF"/>
        </w:rPr>
        <w:t xml:space="preserve">. </w:t>
      </w:r>
      <w:r w:rsidR="008866B4">
        <w:rPr>
          <w:rFonts w:ascii="Times New Roman" w:hAnsi="Times New Roman" w:cs="Times New Roman"/>
          <w:color w:val="0000FF"/>
        </w:rPr>
        <w:t>The</w:t>
      </w:r>
      <w:r w:rsidRPr="00E81D4B">
        <w:rPr>
          <w:rFonts w:ascii="Times New Roman" w:hAnsi="Times New Roman" w:cs="Times New Roman"/>
          <w:color w:val="0000FF"/>
        </w:rPr>
        <w:t xml:space="preserve"> revised paper includes references to key papers in the literature as well as a new, simple, text-based analysis of newspaper articles</w:t>
      </w:r>
      <w:r w:rsidR="008866B4">
        <w:rPr>
          <w:rFonts w:ascii="Times New Roman" w:hAnsi="Times New Roman" w:cs="Times New Roman"/>
          <w:color w:val="0000FF"/>
        </w:rPr>
        <w:t xml:space="preserve"> </w:t>
      </w:r>
      <w:r w:rsidR="008866B4" w:rsidRPr="00E81D4B">
        <w:rPr>
          <w:rFonts w:ascii="Times New Roman" w:hAnsi="Times New Roman" w:cs="Times New Roman"/>
          <w:color w:val="0000FF"/>
        </w:rPr>
        <w:t>arguments to show that supply shocks were substantial during the 1980s and even 1990s</w:t>
      </w:r>
      <w:r w:rsidRPr="00E81D4B">
        <w:rPr>
          <w:rFonts w:ascii="Times New Roman" w:hAnsi="Times New Roman" w:cs="Times New Roman"/>
          <w:color w:val="0000FF"/>
        </w:rPr>
        <w:t xml:space="preserve">. Since </w:t>
      </w:r>
      <w:r w:rsidR="00147233" w:rsidRPr="00E81D4B">
        <w:rPr>
          <w:rFonts w:ascii="Times New Roman" w:hAnsi="Times New Roman" w:cs="Times New Roman"/>
          <w:color w:val="0000FF"/>
        </w:rPr>
        <w:t>during</w:t>
      </w:r>
      <w:r w:rsidRPr="00E81D4B">
        <w:rPr>
          <w:rFonts w:ascii="Times New Roman" w:hAnsi="Times New Roman" w:cs="Times New Roman"/>
          <w:color w:val="0000FF"/>
        </w:rPr>
        <w:t xml:space="preserve"> 1980s </w:t>
      </w:r>
      <w:r w:rsidR="00147233" w:rsidRPr="00E81D4B">
        <w:rPr>
          <w:rFonts w:ascii="Times New Roman" w:hAnsi="Times New Roman" w:cs="Times New Roman"/>
          <w:color w:val="0000FF"/>
        </w:rPr>
        <w:t xml:space="preserve">supply shocks </w:t>
      </w:r>
      <w:r w:rsidRPr="00E81D4B">
        <w:rPr>
          <w:rFonts w:ascii="Times New Roman" w:hAnsi="Times New Roman" w:cs="Times New Roman"/>
          <w:color w:val="0000FF"/>
        </w:rPr>
        <w:t>were still a substantial concern</w:t>
      </w:r>
      <w:r w:rsidR="00FF1971">
        <w:rPr>
          <w:rFonts w:ascii="Times New Roman" w:hAnsi="Times New Roman" w:cs="Times New Roman"/>
          <w:color w:val="0000FF"/>
        </w:rPr>
        <w:t xml:space="preserve"> </w:t>
      </w:r>
      <w:r w:rsidR="00147233" w:rsidRPr="00B23D8D">
        <w:rPr>
          <w:rFonts w:ascii="Times New Roman" w:hAnsi="Times New Roman" w:cs="Times New Roman"/>
          <w:i/>
          <w:iCs/>
          <w:color w:val="0000FF"/>
        </w:rPr>
        <w:t xml:space="preserve">and </w:t>
      </w:r>
      <w:r w:rsidRPr="00E81D4B">
        <w:rPr>
          <w:rFonts w:ascii="Times New Roman" w:hAnsi="Times New Roman" w:cs="Times New Roman"/>
          <w:color w:val="0000FF"/>
        </w:rPr>
        <w:t xml:space="preserve">monetary policy responded </w:t>
      </w:r>
      <w:r w:rsidR="00147233" w:rsidRPr="00E81D4B">
        <w:rPr>
          <w:rFonts w:ascii="Times New Roman" w:hAnsi="Times New Roman" w:cs="Times New Roman"/>
          <w:color w:val="0000FF"/>
        </w:rPr>
        <w:t>strongly to inflation</w:t>
      </w:r>
      <w:r w:rsidRPr="00E81D4B">
        <w:rPr>
          <w:rFonts w:ascii="Times New Roman" w:hAnsi="Times New Roman" w:cs="Times New Roman"/>
          <w:color w:val="0000FF"/>
        </w:rPr>
        <w:t xml:space="preserve">, I regard this period as particularly suitable for testing the </w:t>
      </w:r>
      <w:r w:rsidR="00147233" w:rsidRPr="00E81D4B">
        <w:rPr>
          <w:rFonts w:ascii="Times New Roman" w:hAnsi="Times New Roman" w:cs="Times New Roman"/>
          <w:color w:val="0000FF"/>
        </w:rPr>
        <w:t xml:space="preserve">model’s </w:t>
      </w:r>
      <w:r w:rsidRPr="00E81D4B">
        <w:rPr>
          <w:rFonts w:ascii="Times New Roman" w:hAnsi="Times New Roman" w:cs="Times New Roman"/>
          <w:color w:val="0000FF"/>
        </w:rPr>
        <w:t xml:space="preserve">bond-market implications of monetary policy and </w:t>
      </w:r>
      <w:r w:rsidR="00147233" w:rsidRPr="00E81D4B">
        <w:rPr>
          <w:rFonts w:ascii="Times New Roman" w:hAnsi="Times New Roman" w:cs="Times New Roman"/>
          <w:color w:val="0000FF"/>
        </w:rPr>
        <w:t xml:space="preserve">macroeconomic </w:t>
      </w:r>
      <w:r w:rsidRPr="00E81D4B">
        <w:rPr>
          <w:rFonts w:ascii="Times New Roman" w:hAnsi="Times New Roman" w:cs="Times New Roman"/>
          <w:color w:val="0000FF"/>
        </w:rPr>
        <w:t xml:space="preserve">shocks. </w:t>
      </w:r>
      <w:r w:rsidR="00147233" w:rsidRPr="00E81D4B">
        <w:rPr>
          <w:rFonts w:ascii="Times New Roman" w:hAnsi="Times New Roman" w:cs="Times New Roman"/>
          <w:color w:val="0000FF"/>
        </w:rPr>
        <w:t>While</w:t>
      </w:r>
      <w:r w:rsidRPr="00E81D4B">
        <w:rPr>
          <w:rFonts w:ascii="Times New Roman" w:hAnsi="Times New Roman" w:cs="Times New Roman"/>
          <w:color w:val="0000FF"/>
        </w:rPr>
        <w:t xml:space="preserve"> the 1970s were </w:t>
      </w:r>
      <w:r w:rsidR="00147233" w:rsidRPr="00E81D4B">
        <w:rPr>
          <w:rFonts w:ascii="Times New Roman" w:hAnsi="Times New Roman" w:cs="Times New Roman"/>
          <w:color w:val="0000FF"/>
        </w:rPr>
        <w:t xml:space="preserve">also subject to </w:t>
      </w:r>
      <w:r w:rsidR="00FF1971">
        <w:rPr>
          <w:rFonts w:ascii="Times New Roman" w:hAnsi="Times New Roman" w:cs="Times New Roman"/>
          <w:color w:val="0000FF"/>
        </w:rPr>
        <w:t xml:space="preserve">mostly negative </w:t>
      </w:r>
      <w:r w:rsidR="00147233" w:rsidRPr="00E81D4B">
        <w:rPr>
          <w:rFonts w:ascii="Times New Roman" w:hAnsi="Times New Roman" w:cs="Times New Roman"/>
          <w:color w:val="0000FF"/>
        </w:rPr>
        <w:t xml:space="preserve">supply shocks, </w:t>
      </w:r>
      <w:r w:rsidR="00FF1971">
        <w:rPr>
          <w:rFonts w:ascii="Times New Roman" w:hAnsi="Times New Roman" w:cs="Times New Roman"/>
          <w:color w:val="0000FF"/>
        </w:rPr>
        <w:t>during the 1980s supply shocks were either positive or negative, but still quite volatile. However, a</w:t>
      </w:r>
      <w:r w:rsidR="00147233" w:rsidRPr="00E81D4B">
        <w:rPr>
          <w:rFonts w:ascii="Times New Roman" w:hAnsi="Times New Roman" w:cs="Times New Roman"/>
          <w:color w:val="0000FF"/>
        </w:rPr>
        <w:t xml:space="preserve"> less inflation-responsive monetary policy gave rise to </w:t>
      </w:r>
      <w:r w:rsidRPr="00E81D4B">
        <w:rPr>
          <w:rFonts w:ascii="Times New Roman" w:hAnsi="Times New Roman" w:cs="Times New Roman"/>
          <w:color w:val="0000FF"/>
        </w:rPr>
        <w:t xml:space="preserve">self-fulfilling inflation expectations (Clarida, Gali and Gertler (2000)), which are outside the scope of my relatively parsimonious model. </w:t>
      </w:r>
    </w:p>
    <w:p w14:paraId="5E71FCAA" w14:textId="77777777" w:rsidR="00FA683E" w:rsidRPr="00E81D4B" w:rsidRDefault="00FA683E" w:rsidP="00E81D4B">
      <w:pPr>
        <w:pStyle w:val="ListParagraph"/>
        <w:spacing w:after="0" w:line="240" w:lineRule="auto"/>
        <w:rPr>
          <w:rFonts w:ascii="Times New Roman" w:hAnsi="Times New Roman" w:cs="Times New Roman"/>
          <w:color w:val="0000FF"/>
        </w:rPr>
      </w:pPr>
    </w:p>
    <w:p w14:paraId="78D7358A" w14:textId="71BCAC75" w:rsidR="00E81D4B" w:rsidRDefault="00877DC7"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The revised paper provides a</w:t>
      </w:r>
      <w:r w:rsidR="00FA683E" w:rsidRPr="00E81D4B">
        <w:rPr>
          <w:rFonts w:ascii="Times New Roman" w:hAnsi="Times New Roman" w:cs="Times New Roman"/>
          <w:color w:val="0000FF"/>
        </w:rPr>
        <w:t xml:space="preserve">n </w:t>
      </w:r>
      <w:r w:rsidR="00FA683E" w:rsidRPr="00E81D4B">
        <w:rPr>
          <w:rFonts w:ascii="Times New Roman" w:hAnsi="Times New Roman" w:cs="Times New Roman"/>
          <w:b/>
          <w:bCs/>
          <w:color w:val="0000FF"/>
        </w:rPr>
        <w:t xml:space="preserve">updated discussion </w:t>
      </w:r>
      <w:r w:rsidR="00257AB3">
        <w:rPr>
          <w:rFonts w:ascii="Times New Roman" w:hAnsi="Times New Roman" w:cs="Times New Roman"/>
          <w:b/>
          <w:bCs/>
          <w:color w:val="0000FF"/>
        </w:rPr>
        <w:t>of recent events</w:t>
      </w:r>
      <w:r w:rsidR="00257AB3">
        <w:rPr>
          <w:rFonts w:ascii="Times New Roman" w:hAnsi="Times New Roman" w:cs="Times New Roman"/>
          <w:color w:val="0000FF"/>
        </w:rPr>
        <w:t xml:space="preserve"> within the light of this paper’s model</w:t>
      </w:r>
      <w:r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The updated discussion around Table 3 emphasizes that the bond-risk implied monetary policy rule changed little during the initial run-up of inflation in 2021, but </w:t>
      </w:r>
      <w:r w:rsidR="0038330F">
        <w:rPr>
          <w:rFonts w:ascii="Times New Roman" w:hAnsi="Times New Roman" w:cs="Times New Roman"/>
          <w:color w:val="0000FF"/>
        </w:rPr>
        <w:t xml:space="preserve">bond betas and the implied monetary policy rule changed in the </w:t>
      </w:r>
      <w:r w:rsidR="00DA26D0">
        <w:rPr>
          <w:rFonts w:ascii="Times New Roman" w:hAnsi="Times New Roman" w:cs="Times New Roman"/>
          <w:color w:val="0000FF"/>
        </w:rPr>
        <w:t>second half</w:t>
      </w:r>
      <w:commentRangeStart w:id="0"/>
      <w:r w:rsidR="0038330F">
        <w:rPr>
          <w:rFonts w:ascii="Times New Roman" w:hAnsi="Times New Roman" w:cs="Times New Roman"/>
          <w:color w:val="0000FF"/>
        </w:rPr>
        <w:t xml:space="preserve"> of 2023</w:t>
      </w:r>
      <w:r w:rsidR="00B80F95">
        <w:rPr>
          <w:rFonts w:ascii="Times New Roman" w:hAnsi="Times New Roman" w:cs="Times New Roman"/>
          <w:color w:val="0000FF"/>
        </w:rPr>
        <w:t xml:space="preserve">, </w:t>
      </w:r>
      <w:commentRangeEnd w:id="0"/>
      <w:r w:rsidR="003B7156">
        <w:rPr>
          <w:rStyle w:val="CommentReference"/>
        </w:rPr>
        <w:commentReference w:id="0"/>
      </w:r>
      <w:r w:rsidR="0038330F">
        <w:rPr>
          <w:rFonts w:ascii="Times New Roman" w:hAnsi="Times New Roman" w:cs="Times New Roman"/>
          <w:color w:val="0000FF"/>
        </w:rPr>
        <w:t xml:space="preserve">around the peak of the Fed’s most recent hiking cycle. The revised manuscript newly discusses </w:t>
      </w:r>
      <w:r w:rsidR="00FB4945">
        <w:rPr>
          <w:rFonts w:ascii="Times New Roman" w:hAnsi="Times New Roman" w:cs="Times New Roman"/>
          <w:color w:val="0000FF"/>
        </w:rPr>
        <w:t xml:space="preserve">how these bond-risk implied changes in monetary policy are consistent with external evidence from </w:t>
      </w:r>
      <w:r w:rsidR="00E81D4B" w:rsidRPr="00E81D4B">
        <w:rPr>
          <w:rFonts w:ascii="Times New Roman" w:hAnsi="Times New Roman" w:cs="Times New Roman"/>
          <w:color w:val="0000FF"/>
        </w:rPr>
        <w:t>survey data and high-frequency market responses</w:t>
      </w:r>
      <w:r w:rsidR="00B80F95">
        <w:rPr>
          <w:rFonts w:ascii="Times New Roman" w:hAnsi="Times New Roman" w:cs="Times New Roman"/>
          <w:color w:val="0000FF"/>
        </w:rPr>
        <w:t xml:space="preserve"> during the post-pandemic period </w:t>
      </w:r>
      <w:r w:rsidR="00485C60" w:rsidRPr="00E81D4B">
        <w:rPr>
          <w:rFonts w:ascii="Times New Roman" w:hAnsi="Times New Roman" w:cs="Times New Roman"/>
          <w:color w:val="0000FF"/>
        </w:rPr>
        <w:t>(“</w:t>
      </w:r>
      <w:hyperlink r:id="rId12" w:tgtFrame="_blank" w:history="1">
        <w:r w:rsidR="00485C60" w:rsidRPr="00E81D4B">
          <w:rPr>
            <w:rFonts w:ascii="Times New Roman" w:hAnsi="Times New Roman" w:cs="Times New Roman"/>
            <w:color w:val="0000FF"/>
          </w:rPr>
          <w:t>Changing Perceptions and Post-Pandemic Monetary Policy</w:t>
        </w:r>
      </w:hyperlink>
      <w:r w:rsidR="00485C60" w:rsidRPr="00E81D4B">
        <w:rPr>
          <w:rFonts w:ascii="Times New Roman" w:hAnsi="Times New Roman" w:cs="Times New Roman"/>
          <w:color w:val="0000FF"/>
        </w:rPr>
        <w:t xml:space="preserve">” with Michael Bauer and Adi </w:t>
      </w:r>
      <w:proofErr w:type="spellStart"/>
      <w:r w:rsidR="00485C60" w:rsidRPr="00E81D4B">
        <w:rPr>
          <w:rFonts w:ascii="Times New Roman" w:hAnsi="Times New Roman" w:cs="Times New Roman"/>
          <w:color w:val="0000FF"/>
        </w:rPr>
        <w:t>Sunderam</w:t>
      </w:r>
      <w:proofErr w:type="spellEnd"/>
      <w:r w:rsidR="00485C60"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To be clear, this complementary work </w:t>
      </w:r>
      <w:r w:rsidR="0038330F">
        <w:rPr>
          <w:rFonts w:ascii="Times New Roman" w:hAnsi="Times New Roman" w:cs="Times New Roman"/>
          <w:color w:val="0000FF"/>
        </w:rPr>
        <w:t xml:space="preserve">does not contain any results </w:t>
      </w:r>
      <w:r w:rsidR="00E81D4B" w:rsidRPr="00E81D4B">
        <w:rPr>
          <w:rFonts w:ascii="Times New Roman" w:hAnsi="Times New Roman" w:cs="Times New Roman"/>
          <w:color w:val="0000FF"/>
        </w:rPr>
        <w:t xml:space="preserve">for bond-stock betas nor a structural model of asset prices, </w:t>
      </w:r>
      <w:r w:rsidR="00485C60" w:rsidRPr="00E81D4B">
        <w:rPr>
          <w:rFonts w:ascii="Times New Roman" w:hAnsi="Times New Roman" w:cs="Times New Roman"/>
          <w:color w:val="0000FF"/>
        </w:rPr>
        <w:t xml:space="preserve">so it would not be sufficient to reach the conclusions contained in this </w:t>
      </w:r>
      <w:r w:rsidR="000C1662" w:rsidRPr="00E81D4B">
        <w:rPr>
          <w:rFonts w:ascii="Times New Roman" w:hAnsi="Times New Roman" w:cs="Times New Roman"/>
          <w:color w:val="0000FF"/>
        </w:rPr>
        <w:t>manuscript</w:t>
      </w:r>
      <w:r w:rsidR="00485C60" w:rsidRPr="00E81D4B">
        <w:rPr>
          <w:rFonts w:ascii="Times New Roman" w:hAnsi="Times New Roman" w:cs="Times New Roman"/>
          <w:color w:val="0000FF"/>
        </w:rPr>
        <w:t xml:space="preserve">.  </w:t>
      </w:r>
    </w:p>
    <w:p w14:paraId="6FBBD899" w14:textId="77777777" w:rsidR="00B80F95" w:rsidRPr="00B80F95" w:rsidRDefault="00B80F95" w:rsidP="00B80F95">
      <w:pPr>
        <w:spacing w:after="0" w:line="240" w:lineRule="auto"/>
        <w:jc w:val="both"/>
        <w:rPr>
          <w:rFonts w:ascii="Times New Roman" w:hAnsi="Times New Roman" w:cs="Times New Roman"/>
          <w:color w:val="0000FF"/>
        </w:rPr>
      </w:pPr>
    </w:p>
    <w:p w14:paraId="7F61AFBA" w14:textId="77777777" w:rsidR="00E81D4B" w:rsidRPr="00E81D4B" w:rsidRDefault="00E81D4B"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771C29" w:rsidRPr="00E81D4B">
        <w:rPr>
          <w:rFonts w:ascii="Times New Roman" w:hAnsi="Times New Roman" w:cs="Times New Roman"/>
          <w:i/>
          <w:color w:val="0000FF"/>
          <w:sz w:val="22"/>
          <w:szCs w:val="22"/>
        </w:rPr>
        <w:t>,</w:t>
      </w:r>
      <w:r w:rsidR="00CE0A5F" w:rsidRPr="00E81D4B">
        <w:rPr>
          <w:rFonts w:ascii="Times New Roman" w:hAnsi="Times New Roman" w:cs="Times New Roman"/>
          <w:color w:val="0000FF"/>
          <w:sz w:val="22"/>
          <w:szCs w:val="22"/>
        </w:rPr>
        <w:t xml:space="preserve"> and </w:t>
      </w:r>
      <w:r w:rsidR="00877DC7" w:rsidRPr="00E81D4B">
        <w:rPr>
          <w:rFonts w:ascii="Times New Roman" w:hAnsi="Times New Roman" w:cs="Times New Roman"/>
          <w:color w:val="0000FF"/>
          <w:sz w:val="22"/>
          <w:szCs w:val="22"/>
        </w:rPr>
        <w:t xml:space="preserve">I look forward to your comments. </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4DD77BDA" w14:textId="77777777" w:rsidR="006F21A4" w:rsidRDefault="006F21A4" w:rsidP="006F21A4"/>
    <w:p w14:paraId="1D385D4F" w14:textId="15E04D6E" w:rsidR="00FC7B24" w:rsidRPr="00B84221"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04A12D22" w:rsidR="00555A5B" w:rsidRPr="00C10E55"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 The introduction now contains an updated discussion of how the manuscript relates to the literature, both in terms of my own prior work and other authors’ contributions. </w:t>
      </w:r>
    </w:p>
    <w:p w14:paraId="76814516" w14:textId="77777777" w:rsidR="00555A5B" w:rsidRPr="00C10E55" w:rsidRDefault="00555A5B" w:rsidP="00C10E55">
      <w:pPr>
        <w:autoSpaceDE w:val="0"/>
        <w:autoSpaceDN w:val="0"/>
        <w:adjustRightInd w:val="0"/>
        <w:spacing w:after="0" w:line="240" w:lineRule="auto"/>
        <w:ind w:left="360" w:firstLine="720"/>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751DD0F3"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w:t>
      </w:r>
      <w:r>
        <w:rPr>
          <w:rFonts w:ascii="Times New Roman" w:hAnsi="Times New Roman" w:cs="Times New Roman"/>
          <w:color w:val="0000FF"/>
        </w:rPr>
        <w:t xml:space="preserve"> I have followed your advice and added references to key papers in the literature, examples, and a simple text-based analysis to show that supply shocks were a significant concern throughout the 1980s and 1990s. Following your suggestion, I also used the model show that the empirical bond-stock betas during the 1980s can only be explained if volatile supply shocks were present, but not by monetary policy alone. </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C10E55">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19CE010B" w14:textId="150BCF53" w:rsidR="009413BE" w:rsidRPr="00C10E55"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for framing the paper. </w:t>
      </w:r>
      <w:r w:rsidR="00B562AD" w:rsidRPr="00C10E55">
        <w:rPr>
          <w:rFonts w:ascii="Times New Roman" w:hAnsi="Times New Roman" w:cs="Times New Roman"/>
          <w:color w:val="0000FF"/>
        </w:rPr>
        <w:t xml:space="preserve">I made substantial changes to the introduction to reflect this new framing. The </w:t>
      </w:r>
      <w:r w:rsidR="009413BE" w:rsidRPr="00C10E55">
        <w:rPr>
          <w:rFonts w:ascii="Times New Roman" w:hAnsi="Times New Roman" w:cs="Times New Roman"/>
          <w:color w:val="0000FF"/>
        </w:rPr>
        <w:t xml:space="preserve">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93958">
        <w:rPr>
          <w:rFonts w:ascii="Times New Roman" w:hAnsi="Times New Roman" w:cs="Times New Roman"/>
          <w:b/>
          <w:bCs/>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“This paper uses a New Keynesian equilibrium model for the macroeconomy and asset prices (…)”</w:t>
      </w:r>
      <w:r w:rsidR="006C7784" w:rsidRPr="00C10E55">
        <w:rPr>
          <w:rFonts w:ascii="Times New Roman" w:hAnsi="Times New Roman" w:cs="Times New Roman"/>
          <w:color w:val="0000FF"/>
        </w:rPr>
        <w:t xml:space="preserve">). </w:t>
      </w:r>
    </w:p>
    <w:p w14:paraId="2CCA064E"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28EA95B" w14:textId="10E08FFA" w:rsidR="009413BE" w:rsidRPr="00C10E55" w:rsidRDefault="00B562A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Next, the model overview starting on the first page of the revised introduction now clarifies how the model in this paper differs from Campbell, Pflueger, and </w:t>
      </w:r>
      <w:proofErr w:type="spellStart"/>
      <w:r w:rsidRPr="00C10E55">
        <w:rPr>
          <w:rFonts w:ascii="Times New Roman" w:hAnsi="Times New Roman" w:cs="Times New Roman"/>
          <w:color w:val="0000FF"/>
        </w:rPr>
        <w:t>Viceira</w:t>
      </w:r>
      <w:proofErr w:type="spellEnd"/>
      <w:r w:rsidRPr="00C10E55">
        <w:rPr>
          <w:rFonts w:ascii="Times New Roman" w:hAnsi="Times New Roman" w:cs="Times New Roman"/>
          <w:color w:val="0000FF"/>
        </w:rPr>
        <w:t xml:space="preserve"> (2020) and Pflueger and Rinaldi </w:t>
      </w:r>
      <w:r w:rsidRPr="00C10E55">
        <w:rPr>
          <w:rFonts w:ascii="Times New Roman" w:hAnsi="Times New Roman" w:cs="Times New Roman"/>
          <w:color w:val="0000FF"/>
        </w:rPr>
        <w:lastRenderedPageBreak/>
        <w:t xml:space="preserve">(2022) </w:t>
      </w:r>
      <w:r w:rsidR="006C7784" w:rsidRPr="00C10E55">
        <w:rPr>
          <w:rFonts w:ascii="Times New Roman" w:hAnsi="Times New Roman" w:cs="Times New Roman"/>
          <w:b/>
          <w:bCs/>
          <w:color w:val="0000FF"/>
        </w:rPr>
        <w:t>(</w:t>
      </w:r>
      <w:r w:rsidR="00193958">
        <w:rPr>
          <w:rFonts w:ascii="Times New Roman" w:hAnsi="Times New Roman" w:cs="Times New Roman"/>
          <w:b/>
          <w:bCs/>
          <w:color w:val="0000FF"/>
        </w:rPr>
        <w:t xml:space="preserve">see </w:t>
      </w:r>
      <w:r w:rsidR="006C7784" w:rsidRPr="00C10E55">
        <w:rPr>
          <w:rFonts w:ascii="Times New Roman" w:hAnsi="Times New Roman" w:cs="Times New Roman"/>
          <w:b/>
          <w:bCs/>
          <w:color w:val="0000FF"/>
        </w:rPr>
        <w:t>p.</w:t>
      </w:r>
      <w:r w:rsidRPr="00C10E55">
        <w:rPr>
          <w:rFonts w:ascii="Times New Roman" w:hAnsi="Times New Roman" w:cs="Times New Roman"/>
          <w:b/>
          <w:bCs/>
          <w:color w:val="0000FF"/>
        </w:rPr>
        <w:t>1</w:t>
      </w:r>
      <w:r w:rsidR="006C7784" w:rsidRPr="00C10E55">
        <w:rPr>
          <w:rFonts w:ascii="Times New Roman" w:hAnsi="Times New Roman" w:cs="Times New Roman"/>
          <w:b/>
          <w:bCs/>
          <w:color w:val="0000FF"/>
        </w:rPr>
        <w:t>, paragraph starting "</w:t>
      </w:r>
      <w:r w:rsidRPr="00C10E55">
        <w:rPr>
          <w:rFonts w:ascii="Times New Roman" w:hAnsi="Times New Roman" w:cs="Times New Roman"/>
          <w:b/>
          <w:bCs/>
          <w:color w:val="0000FF"/>
        </w:rPr>
        <w:t xml:space="preserve"> The habit formation preferences in this paper build on Campbell, Pflueger, and </w:t>
      </w:r>
      <w:proofErr w:type="spellStart"/>
      <w:r w:rsidRPr="00C10E55">
        <w:rPr>
          <w:rFonts w:ascii="Times New Roman" w:hAnsi="Times New Roman" w:cs="Times New Roman"/>
          <w:b/>
          <w:bCs/>
          <w:color w:val="0000FF"/>
        </w:rPr>
        <w:t>Viceira</w:t>
      </w:r>
      <w:proofErr w:type="spellEnd"/>
      <w:r w:rsidRPr="00C10E55">
        <w:rPr>
          <w:rFonts w:ascii="Times New Roman" w:hAnsi="Times New Roman" w:cs="Times New Roman"/>
          <w:b/>
          <w:bCs/>
          <w:color w:val="0000FF"/>
        </w:rPr>
        <w:t xml:space="preserve"> (2020)  and Pflueger and Rinaldi (2022) but the model in this paper also contains several changes</w:t>
      </w:r>
      <w:r w:rsidR="006C7784" w:rsidRPr="00C10E55">
        <w:rPr>
          <w:rFonts w:ascii="Times New Roman" w:hAnsi="Times New Roman" w:cs="Times New Roman"/>
          <w:b/>
          <w:bCs/>
          <w:color w:val="0000FF"/>
        </w:rPr>
        <w:t xml:space="preserve"> (…)”).</w:t>
      </w:r>
      <w:r w:rsidR="006C7784" w:rsidRPr="00C10E55">
        <w:rPr>
          <w:rFonts w:ascii="Times New Roman" w:hAnsi="Times New Roman" w:cs="Times New Roman"/>
          <w:color w:val="0000FF"/>
        </w:rPr>
        <w:t xml:space="preserve"> </w:t>
      </w:r>
    </w:p>
    <w:p w14:paraId="492CDDB6"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52CD829" w14:textId="0BBFE019" w:rsidR="00CB106E" w:rsidRPr="00C10E55" w:rsidRDefault="009D51D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Finally, </w:t>
      </w:r>
      <w:r w:rsidR="00C11758">
        <w:rPr>
          <w:rFonts w:ascii="Times New Roman" w:hAnsi="Times New Roman" w:cs="Times New Roman"/>
          <w:color w:val="0000FF"/>
        </w:rPr>
        <w:t xml:space="preserve">the revised manuscript now clarifies </w:t>
      </w:r>
      <w:r w:rsidRPr="00C10E55">
        <w:rPr>
          <w:rFonts w:ascii="Times New Roman" w:hAnsi="Times New Roman" w:cs="Times New Roman"/>
          <w:color w:val="0000FF"/>
        </w:rPr>
        <w:t xml:space="preserve">how this paper contributes over my own prior work and the broader literature on bond-stock comovements. </w:t>
      </w:r>
      <w:r w:rsidR="006C7784" w:rsidRPr="00C10E55">
        <w:rPr>
          <w:rFonts w:ascii="Times New Roman" w:hAnsi="Times New Roman" w:cs="Times New Roman"/>
          <w:color w:val="0000FF"/>
        </w:rPr>
        <w:t xml:space="preserve">In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w:t>
      </w:r>
      <w:r w:rsidR="001302C0" w:rsidRPr="00C10E55">
        <w:rPr>
          <w:rFonts w:ascii="Times New Roman" w:hAnsi="Times New Roman" w:cs="Times New Roman"/>
          <w:color w:val="0000FF"/>
        </w:rPr>
        <w:t xml:space="preserve">Campbell, Pflueger, and </w:t>
      </w:r>
      <w:proofErr w:type="spellStart"/>
      <w:r w:rsidR="001302C0" w:rsidRPr="00C10E55">
        <w:rPr>
          <w:rFonts w:ascii="Times New Roman" w:hAnsi="Times New Roman" w:cs="Times New Roman"/>
          <w:color w:val="0000FF"/>
        </w:rPr>
        <w:t>Viceira</w:t>
      </w:r>
      <w:proofErr w:type="spellEnd"/>
      <w:r w:rsidR="001302C0" w:rsidRPr="00C10E55">
        <w:rPr>
          <w:rFonts w:ascii="Times New Roman" w:hAnsi="Times New Roman" w:cs="Times New Roman"/>
          <w:color w:val="0000FF"/>
        </w:rPr>
        <w:t xml:space="preserve"> (2020</w:t>
      </w:r>
      <w:r w:rsidR="00CB106E" w:rsidRPr="00C10E55">
        <w:rPr>
          <w:rFonts w:ascii="Times New Roman" w:hAnsi="Times New Roman" w:cs="Times New Roman"/>
          <w:color w:val="0000FF"/>
        </w:rPr>
        <w:t>, CPV</w:t>
      </w:r>
      <w:r w:rsidR="001302C0" w:rsidRPr="00C10E55">
        <w:rPr>
          <w:rFonts w:ascii="Times New Roman" w:hAnsi="Times New Roman" w:cs="Times New Roman"/>
          <w:color w:val="0000FF"/>
        </w:rPr>
        <w:t>)</w:t>
      </w:r>
      <w:r w:rsidR="006C7784" w:rsidRPr="00C10E55">
        <w:rPr>
          <w:rFonts w:ascii="Times New Roman" w:hAnsi="Times New Roman" w:cs="Times New Roman"/>
          <w:color w:val="0000FF"/>
        </w:rPr>
        <w:t>,</w:t>
      </w:r>
      <w:r w:rsidR="001302C0" w:rsidRPr="00C10E55">
        <w:rPr>
          <w:rFonts w:ascii="Times New Roman" w:hAnsi="Times New Roman" w:cs="Times New Roman"/>
          <w:color w:val="0000FF"/>
        </w:rPr>
        <w:t xml:space="preserve"> </w:t>
      </w:r>
      <w:r w:rsidR="004D5E67" w:rsidRPr="00C10E55">
        <w:rPr>
          <w:rFonts w:ascii="Times New Roman" w:hAnsi="Times New Roman" w:cs="Times New Roman"/>
          <w:color w:val="0000FF"/>
        </w:rPr>
        <w:t>contains</w:t>
      </w:r>
      <w:r w:rsidR="001302C0" w:rsidRPr="00C10E55">
        <w:rPr>
          <w:rFonts w:ascii="Times New Roman" w:hAnsi="Times New Roman" w:cs="Times New Roman"/>
          <w:color w:val="0000FF"/>
        </w:rPr>
        <w:t xml:space="preserve"> the same Euler equation, and </w:t>
      </w:r>
      <w:r w:rsidR="00172FE9" w:rsidRPr="00C10E55">
        <w:rPr>
          <w:rFonts w:ascii="Times New Roman" w:hAnsi="Times New Roman" w:cs="Times New Roman"/>
          <w:color w:val="0000FF"/>
        </w:rPr>
        <w:t xml:space="preserve"> </w:t>
      </w:r>
      <w:r w:rsidR="00CB106E" w:rsidRPr="00C10E55">
        <w:rPr>
          <w:rFonts w:ascii="Times New Roman" w:hAnsi="Times New Roman" w:cs="Times New Roman"/>
          <w:color w:val="0000FF"/>
        </w:rPr>
        <w:t xml:space="preserve"> </w:t>
      </w:r>
      <w:r w:rsidR="001302C0" w:rsidRPr="00C10E55">
        <w:rPr>
          <w:rFonts w:ascii="Times New Roman" w:hAnsi="Times New Roman" w:cs="Times New Roman"/>
          <w:color w:val="0000FF"/>
        </w:rPr>
        <w:t>price</w:t>
      </w:r>
      <w:r w:rsidR="0054647D" w:rsidRPr="00C10E55">
        <w:rPr>
          <w:rFonts w:ascii="Times New Roman" w:hAnsi="Times New Roman" w:cs="Times New Roman"/>
          <w:color w:val="0000FF"/>
        </w:rPr>
        <w:t>s</w:t>
      </w:r>
      <w:r w:rsidR="001302C0" w:rsidRPr="00C10E55">
        <w:rPr>
          <w:rFonts w:ascii="Times New Roman" w:hAnsi="Times New Roman" w:cs="Times New Roman"/>
          <w:color w:val="0000FF"/>
        </w:rPr>
        <w:t xml:space="preserve"> bonds and stocks using the </w:t>
      </w:r>
      <w:r w:rsidR="00172FE9" w:rsidRPr="00C10E55">
        <w:rPr>
          <w:rFonts w:ascii="Times New Roman" w:hAnsi="Times New Roman" w:cs="Times New Roman"/>
          <w:color w:val="0000FF"/>
        </w:rPr>
        <w:t xml:space="preserve">same </w:t>
      </w:r>
      <w:r w:rsidR="001302C0" w:rsidRPr="00C10E55">
        <w:rPr>
          <w:rFonts w:ascii="Times New Roman" w:hAnsi="Times New Roman" w:cs="Times New Roman"/>
          <w:color w:val="0000FF"/>
        </w:rPr>
        <w:t>habit-formation preferences with countercyclical risk premia.</w:t>
      </w:r>
      <w:r w:rsidR="00CB106E" w:rsidRPr="00C10E55">
        <w:rPr>
          <w:rFonts w:ascii="Times New Roman" w:hAnsi="Times New Roman" w:cs="Times New Roman"/>
          <w:color w:val="0000FF"/>
        </w:rPr>
        <w:t xml:space="preserve"> However, CPV is not as </w:t>
      </w:r>
      <w:proofErr w:type="spellStart"/>
      <w:r w:rsidR="00CB106E" w:rsidRPr="00C10E55">
        <w:rPr>
          <w:rFonts w:ascii="Times New Roman" w:hAnsi="Times New Roman" w:cs="Times New Roman"/>
          <w:color w:val="0000FF"/>
        </w:rPr>
        <w:t>microfounded</w:t>
      </w:r>
      <w:proofErr w:type="spellEnd"/>
      <w:r w:rsidR="00CB106E" w:rsidRPr="00C10E55">
        <w:rPr>
          <w:rFonts w:ascii="Times New Roman" w:hAnsi="Times New Roman" w:cs="Times New Roman"/>
          <w:color w:val="0000FF"/>
        </w:rPr>
        <w:t xml:space="preserve"> as the current manuscript</w:t>
      </w:r>
      <w:r w:rsidR="00172FE9" w:rsidRPr="00C10E55">
        <w:rPr>
          <w:rFonts w:ascii="Times New Roman" w:hAnsi="Times New Roman" w:cs="Times New Roman"/>
          <w:color w:val="0000FF"/>
        </w:rPr>
        <w:t>, limiting its ability to conduct counterfactual exercises</w:t>
      </w:r>
      <w:r w:rsidR="00CB106E" w:rsidRPr="00C10E55">
        <w:rPr>
          <w:rFonts w:ascii="Times New Roman" w:hAnsi="Times New Roman" w:cs="Times New Roman"/>
          <w:color w:val="0000FF"/>
        </w:rPr>
        <w:t xml:space="preserve">. While CPV contains reduced-form equations </w:t>
      </w:r>
      <w:r w:rsidR="004D5E67" w:rsidRPr="00C10E55">
        <w:rPr>
          <w:rFonts w:ascii="Times New Roman" w:hAnsi="Times New Roman" w:cs="Times New Roman"/>
          <w:color w:val="0000FF"/>
        </w:rPr>
        <w:t>describing inflation and interest rate dynamics that bear some resemblance to a Phillips curve and Taylor rule</w:t>
      </w:r>
      <w:r w:rsidR="00CB106E" w:rsidRPr="00C10E55">
        <w:rPr>
          <w:rFonts w:ascii="Times New Roman" w:hAnsi="Times New Roman" w:cs="Times New Roman"/>
          <w:color w:val="0000FF"/>
        </w:rPr>
        <w:t xml:space="preserve">, in CPV </w:t>
      </w:r>
      <w:r w:rsidR="004D5E67" w:rsidRPr="00C10E55">
        <w:rPr>
          <w:rFonts w:ascii="Times New Roman" w:hAnsi="Times New Roman" w:cs="Times New Roman"/>
          <w:color w:val="0000FF"/>
        </w:rPr>
        <w:t xml:space="preserve">these are equilibrium dynamics and not structural equations. Concretely, </w:t>
      </w:r>
      <w:r w:rsidR="00CB106E" w:rsidRPr="00C10E55">
        <w:rPr>
          <w:rFonts w:ascii="Times New Roman" w:hAnsi="Times New Roman" w:cs="Times New Roman"/>
          <w:color w:val="0000FF"/>
        </w:rPr>
        <w:t xml:space="preserve">the coefficients in </w:t>
      </w:r>
      <w:r w:rsidR="004D5E67" w:rsidRPr="00C10E55">
        <w:rPr>
          <w:rFonts w:ascii="Times New Roman" w:hAnsi="Times New Roman" w:cs="Times New Roman"/>
          <w:color w:val="0000FF"/>
        </w:rPr>
        <w:t>CPV’s</w:t>
      </w:r>
      <w:r w:rsidR="00CB106E" w:rsidRPr="00C10E55">
        <w:rPr>
          <w:rFonts w:ascii="Times New Roman" w:hAnsi="Times New Roman" w:cs="Times New Roman"/>
          <w:color w:val="0000FF"/>
        </w:rPr>
        <w:t xml:space="preserve"> reduced-form </w:t>
      </w:r>
      <w:r w:rsidR="0054647D" w:rsidRPr="00C10E55">
        <w:rPr>
          <w:rFonts w:ascii="Times New Roman" w:hAnsi="Times New Roman" w:cs="Times New Roman"/>
          <w:color w:val="0000FF"/>
        </w:rPr>
        <w:t xml:space="preserve">inflation and interest rate dynamics </w:t>
      </w:r>
      <w:r w:rsidR="00CB106E" w:rsidRPr="00C10E55">
        <w:rPr>
          <w:rFonts w:ascii="Times New Roman" w:hAnsi="Times New Roman" w:cs="Times New Roman"/>
          <w:color w:val="0000FF"/>
        </w:rPr>
        <w:t>can take either sign</w:t>
      </w:r>
      <w:r w:rsidR="004D5E67" w:rsidRPr="00C10E55">
        <w:rPr>
          <w:rFonts w:ascii="Times New Roman" w:hAnsi="Times New Roman" w:cs="Times New Roman"/>
          <w:color w:val="0000FF"/>
        </w:rPr>
        <w:t>,</w:t>
      </w:r>
      <w:r w:rsidR="00BF4140" w:rsidRPr="00C10E55">
        <w:rPr>
          <w:rFonts w:ascii="Times New Roman" w:hAnsi="Times New Roman" w:cs="Times New Roman"/>
          <w:color w:val="0000FF"/>
        </w:rPr>
        <w:t xml:space="preserve"> and their shocks are correlated</w:t>
      </w:r>
      <w:r w:rsidR="0054647D" w:rsidRPr="00C10E55">
        <w:rPr>
          <w:rFonts w:ascii="Times New Roman" w:hAnsi="Times New Roman" w:cs="Times New Roman"/>
          <w:color w:val="0000FF"/>
        </w:rPr>
        <w:t xml:space="preserve">, so any change </w:t>
      </w:r>
      <w:r w:rsidR="004D5E67" w:rsidRPr="00C10E55">
        <w:rPr>
          <w:rFonts w:ascii="Times New Roman" w:hAnsi="Times New Roman" w:cs="Times New Roman"/>
          <w:color w:val="0000FF"/>
        </w:rPr>
        <w:t xml:space="preserve">in these </w:t>
      </w:r>
      <w:r w:rsidR="0054647D" w:rsidRPr="00C10E55">
        <w:rPr>
          <w:rFonts w:ascii="Times New Roman" w:hAnsi="Times New Roman" w:cs="Times New Roman"/>
          <w:color w:val="0000FF"/>
        </w:rPr>
        <w:t xml:space="preserve">reduced-form dynamics </w:t>
      </w:r>
      <w:r w:rsidR="00BA7B56" w:rsidRPr="00C10E55">
        <w:rPr>
          <w:rFonts w:ascii="Times New Roman" w:hAnsi="Times New Roman" w:cs="Times New Roman"/>
          <w:color w:val="0000FF"/>
        </w:rPr>
        <w:t xml:space="preserve">in CPV </w:t>
      </w:r>
      <w:r w:rsidR="004D5E67" w:rsidRPr="00C10E55">
        <w:rPr>
          <w:rFonts w:ascii="Times New Roman" w:hAnsi="Times New Roman" w:cs="Times New Roman"/>
          <w:color w:val="0000FF"/>
        </w:rPr>
        <w:t xml:space="preserve">must be interpreted as a combination of changes </w:t>
      </w:r>
      <w:r w:rsidR="0054647D" w:rsidRPr="00C10E55">
        <w:rPr>
          <w:rFonts w:ascii="Times New Roman" w:hAnsi="Times New Roman" w:cs="Times New Roman"/>
          <w:color w:val="0000FF"/>
        </w:rPr>
        <w:t xml:space="preserve">to </w:t>
      </w:r>
      <w:r w:rsidR="004D5E67" w:rsidRPr="00C10E55">
        <w:rPr>
          <w:rFonts w:ascii="Times New Roman" w:hAnsi="Times New Roman" w:cs="Times New Roman"/>
          <w:color w:val="0000FF"/>
        </w:rPr>
        <w:t>monetary policy and the macroeconomic environment</w:t>
      </w:r>
      <w:r w:rsidR="00CB106E" w:rsidRPr="00C10E55">
        <w:rPr>
          <w:rFonts w:ascii="Times New Roman" w:hAnsi="Times New Roman" w:cs="Times New Roman"/>
          <w:color w:val="0000FF"/>
        </w:rPr>
        <w:t xml:space="preserve">. By contrast, the current manuscript </w:t>
      </w:r>
      <w:r w:rsidR="00515149" w:rsidRPr="00C10E55">
        <w:rPr>
          <w:rFonts w:ascii="Times New Roman" w:hAnsi="Times New Roman" w:cs="Times New Roman"/>
          <w:color w:val="0000FF"/>
        </w:rPr>
        <w:t xml:space="preserve">requires that the </w:t>
      </w:r>
      <w:r w:rsidR="00CB106E" w:rsidRPr="00C10E55">
        <w:rPr>
          <w:rFonts w:ascii="Times New Roman" w:hAnsi="Times New Roman" w:cs="Times New Roman"/>
          <w:color w:val="0000FF"/>
        </w:rPr>
        <w:t xml:space="preserve">Phillips curve (20) and Taylor rule (24) have coefficients in line with the prior </w:t>
      </w:r>
      <w:r w:rsidR="004D5E67" w:rsidRPr="00C10E55">
        <w:rPr>
          <w:rFonts w:ascii="Times New Roman" w:hAnsi="Times New Roman" w:cs="Times New Roman"/>
          <w:color w:val="0000FF"/>
        </w:rPr>
        <w:t xml:space="preserve">structural </w:t>
      </w:r>
      <w:r w:rsidR="00CB106E" w:rsidRPr="00C10E55">
        <w:rPr>
          <w:rFonts w:ascii="Times New Roman" w:hAnsi="Times New Roman" w:cs="Times New Roman"/>
          <w:color w:val="0000FF"/>
        </w:rPr>
        <w:t xml:space="preserve">literature, and that </w:t>
      </w:r>
      <w:r w:rsidR="00172FE9" w:rsidRPr="00C10E55">
        <w:rPr>
          <w:rFonts w:ascii="Times New Roman" w:hAnsi="Times New Roman" w:cs="Times New Roman"/>
          <w:color w:val="0000FF"/>
        </w:rPr>
        <w:t>their</w:t>
      </w:r>
      <w:r w:rsidR="004D5E67" w:rsidRPr="00C10E55">
        <w:rPr>
          <w:rFonts w:ascii="Times New Roman" w:hAnsi="Times New Roman" w:cs="Times New Roman"/>
          <w:color w:val="0000FF"/>
        </w:rPr>
        <w:t xml:space="preserve"> shocks </w:t>
      </w:r>
      <w:r w:rsidR="00CB106E" w:rsidRPr="00C10E55">
        <w:rPr>
          <w:rFonts w:ascii="Times New Roman" w:hAnsi="Times New Roman" w:cs="Times New Roman"/>
          <w:color w:val="0000FF"/>
        </w:rPr>
        <w:t>are uncorrelated</w:t>
      </w:r>
      <w:r w:rsidR="006C7784" w:rsidRPr="00C10E55">
        <w:rPr>
          <w:rFonts w:ascii="Times New Roman" w:hAnsi="Times New Roman" w:cs="Times New Roman"/>
          <w:color w:val="0000FF"/>
        </w:rPr>
        <w:t>,</w:t>
      </w:r>
      <w:r w:rsidR="00172FE9" w:rsidRPr="00C10E55">
        <w:rPr>
          <w:rFonts w:ascii="Times New Roman" w:hAnsi="Times New Roman" w:cs="Times New Roman"/>
          <w:color w:val="0000FF"/>
        </w:rPr>
        <w:t xml:space="preserve"> as is standard for structural shocks</w:t>
      </w:r>
      <w:r w:rsidR="00CB106E" w:rsidRPr="00C10E55">
        <w:rPr>
          <w:rFonts w:ascii="Times New Roman" w:hAnsi="Times New Roman" w:cs="Times New Roman"/>
          <w:color w:val="0000FF"/>
        </w:rPr>
        <w:t xml:space="preserve">. </w:t>
      </w:r>
      <w:r w:rsidR="00172FE9" w:rsidRPr="00C10E55">
        <w:rPr>
          <w:rFonts w:ascii="Times New Roman" w:hAnsi="Times New Roman" w:cs="Times New Roman"/>
          <w:color w:val="0000FF"/>
        </w:rPr>
        <w:t>The model</w:t>
      </w:r>
      <w:r w:rsidR="0054647D" w:rsidRPr="00C10E55">
        <w:rPr>
          <w:rFonts w:ascii="Times New Roman" w:hAnsi="Times New Roman" w:cs="Times New Roman"/>
          <w:color w:val="0000FF"/>
        </w:rPr>
        <w:t xml:space="preserve"> in CPV </w:t>
      </w:r>
      <w:r w:rsidR="00172FE9" w:rsidRPr="00C10E55">
        <w:rPr>
          <w:rFonts w:ascii="Times New Roman" w:hAnsi="Times New Roman" w:cs="Times New Roman"/>
          <w:color w:val="0000FF"/>
        </w:rPr>
        <w:t xml:space="preserve">is therefore not sufficient to understand how counterfactual changes in </w:t>
      </w:r>
      <w:r w:rsidR="00BA7B56" w:rsidRPr="00C10E55">
        <w:rPr>
          <w:rFonts w:ascii="Times New Roman" w:hAnsi="Times New Roman" w:cs="Times New Roman"/>
          <w:color w:val="0000FF"/>
        </w:rPr>
        <w:t xml:space="preserve">macroeconomic volatilities </w:t>
      </w:r>
      <w:r w:rsidR="00172FE9" w:rsidRPr="00C10E55">
        <w:rPr>
          <w:rFonts w:ascii="Times New Roman" w:hAnsi="Times New Roman" w:cs="Times New Roman"/>
          <w:color w:val="0000FF"/>
        </w:rPr>
        <w:t>and</w:t>
      </w:r>
      <w:r w:rsidR="00BA7B56" w:rsidRPr="00C10E55">
        <w:rPr>
          <w:rFonts w:ascii="Times New Roman" w:hAnsi="Times New Roman" w:cs="Times New Roman"/>
          <w:color w:val="0000FF"/>
        </w:rPr>
        <w:t xml:space="preserve"> Taylor rule coefficients </w:t>
      </w:r>
      <w:r w:rsidR="00172FE9" w:rsidRPr="00C10E55">
        <w:rPr>
          <w:rFonts w:ascii="Times New Roman" w:hAnsi="Times New Roman" w:cs="Times New Roman"/>
          <w:color w:val="0000FF"/>
        </w:rPr>
        <w:t xml:space="preserve">impact bond-stock betas. </w:t>
      </w:r>
      <w:r w:rsidR="00515149" w:rsidRPr="00C10E55">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7CB8803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The model in Pflueger and Rinaldi (2022, PR) is more similar to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and potentially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006D4542" w:rsidRPr="00C10E55">
        <w:rPr>
          <w:rFonts w:ascii="Times New Roman" w:hAnsi="Times New Roman" w:cs="Times New Roman"/>
          <w:color w:val="0000FF"/>
        </w:rPr>
        <w:t>Piazzesi</w:t>
      </w:r>
      <w:proofErr w:type="spellEnd"/>
      <w:r w:rsidR="006D4542" w:rsidRPr="00C10E55">
        <w:rPr>
          <w:rFonts w:ascii="Times New Roman" w:hAnsi="Times New Roman" w:cs="Times New Roman"/>
          <w:color w:val="0000FF"/>
        </w:rPr>
        <w:t xml:space="preserve">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 xml:space="preserve">Campbell, Pflueger, and </w:t>
      </w:r>
      <w:proofErr w:type="spellStart"/>
      <w:r w:rsidR="002F1B72" w:rsidRPr="00C10E55">
        <w:rPr>
          <w:rFonts w:ascii="Times New Roman" w:hAnsi="Times New Roman" w:cs="Times New Roman"/>
          <w:color w:val="0000FF"/>
        </w:rPr>
        <w:t>Viceira</w:t>
      </w:r>
      <w:proofErr w:type="spellEnd"/>
      <w:r w:rsidR="002F1B72" w:rsidRPr="00C10E55">
        <w:rPr>
          <w:rFonts w:ascii="Times New Roman" w:hAnsi="Times New Roman" w:cs="Times New Roman"/>
          <w:color w:val="0000FF"/>
        </w:rPr>
        <w:t xml:space="preserve"> (2020), </w:t>
      </w:r>
      <w:proofErr w:type="spellStart"/>
      <w:r w:rsidR="002F1B72" w:rsidRPr="00C10E55">
        <w:rPr>
          <w:rFonts w:ascii="Times New Roman" w:hAnsi="Times New Roman" w:cs="Times New Roman"/>
          <w:color w:val="0000FF"/>
        </w:rPr>
        <w:t>Gourio</w:t>
      </w:r>
      <w:proofErr w:type="spellEnd"/>
      <w:r w:rsidR="002F1B72" w:rsidRPr="00C10E55">
        <w:rPr>
          <w:rFonts w:ascii="Times New Roman" w:hAnsi="Times New Roman" w:cs="Times New Roman"/>
          <w:color w:val="0000FF"/>
        </w:rPr>
        <w:t xml:space="preserve"> and Ngo (2020), and Fang, Liu, and </w:t>
      </w:r>
      <w:proofErr w:type="spellStart"/>
      <w:r w:rsidR="002F1B72" w:rsidRPr="00C10E55">
        <w:rPr>
          <w:rFonts w:ascii="Times New Roman" w:hAnsi="Times New Roman" w:cs="Times New Roman"/>
          <w:color w:val="0000FF"/>
        </w:rPr>
        <w:t>Roussanov</w:t>
      </w:r>
      <w:proofErr w:type="spellEnd"/>
      <w:r w:rsidR="002F1B72" w:rsidRPr="00C10E55">
        <w:rPr>
          <w:rFonts w:ascii="Times New Roman" w:hAnsi="Times New Roman" w:cs="Times New Roman"/>
          <w:color w:val="0000FF"/>
        </w:rPr>
        <w:t xml:space="preserve"> (2022)); liquidity, flight-to-safety, and time-varying risk aversion  (Baele, Bekaert, and </w:t>
      </w:r>
      <w:proofErr w:type="spellStart"/>
      <w:r w:rsidR="002F1B72" w:rsidRPr="00C10E55">
        <w:rPr>
          <w:rFonts w:ascii="Times New Roman" w:hAnsi="Times New Roman" w:cs="Times New Roman"/>
          <w:color w:val="0000FF"/>
        </w:rPr>
        <w:t>Inghelbrecht</w:t>
      </w:r>
      <w:proofErr w:type="spellEnd"/>
      <w:r w:rsidR="002F1B72" w:rsidRPr="00C10E55">
        <w:rPr>
          <w:rFonts w:ascii="Times New Roman" w:hAnsi="Times New Roman" w:cs="Times New Roman"/>
          <w:color w:val="0000FF"/>
        </w:rPr>
        <w:t xml:space="preserve"> (2010), Kozak (2022), and </w:t>
      </w:r>
      <w:proofErr w:type="spellStart"/>
      <w:r w:rsidR="002F1B72" w:rsidRPr="00C10E55">
        <w:rPr>
          <w:rFonts w:ascii="Times New Roman" w:hAnsi="Times New Roman" w:cs="Times New Roman"/>
          <w:color w:val="0000FF"/>
        </w:rPr>
        <w:t>Laarits</w:t>
      </w:r>
      <w:proofErr w:type="spellEnd"/>
      <w:r w:rsidR="002F1B72" w:rsidRPr="00C10E55">
        <w:rPr>
          <w:rFonts w:ascii="Times New Roman" w:hAnsi="Times New Roman" w:cs="Times New Roman"/>
          <w:color w:val="0000FF"/>
        </w:rPr>
        <w:t xml:space="preserve"> (2022)); permanent-transitory compositional changes of consumption growth (Chernov, </w:t>
      </w:r>
      <w:proofErr w:type="spellStart"/>
      <w:r w:rsidR="002F1B72" w:rsidRPr="00C10E55">
        <w:rPr>
          <w:rFonts w:ascii="Times New Roman" w:hAnsi="Times New Roman" w:cs="Times New Roman"/>
          <w:color w:val="0000FF"/>
        </w:rPr>
        <w:t>Lochstoer</w:t>
      </w:r>
      <w:proofErr w:type="spellEnd"/>
      <w:r w:rsidR="002F1B72" w:rsidRPr="00C10E55">
        <w:rPr>
          <w:rFonts w:ascii="Times New Roman" w:hAnsi="Times New Roman" w:cs="Times New Roman"/>
          <w:color w:val="0000FF"/>
        </w:rPr>
        <w:t>,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w:t>
      </w:r>
      <w:proofErr w:type="spellStart"/>
      <w:r w:rsidR="002F1B72" w:rsidRPr="00C10E55">
        <w:rPr>
          <w:rFonts w:ascii="Times New Roman" w:hAnsi="Times New Roman" w:cs="Times New Roman"/>
          <w:color w:val="0000FF"/>
        </w:rPr>
        <w:t>Melosi</w:t>
      </w:r>
      <w:proofErr w:type="spellEnd"/>
      <w:r w:rsidR="002F1B72" w:rsidRPr="00C10E55">
        <w:rPr>
          <w:rFonts w:ascii="Times New Roman" w:hAnsi="Times New Roman" w:cs="Times New Roman"/>
          <w:color w:val="0000FF"/>
        </w:rPr>
        <w:t xml:space="preserve">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20254F63"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Pr="00C10E55">
        <w:rPr>
          <w:rFonts w:ascii="Times New Roman" w:hAnsi="Times New Roman" w:cs="Times New Roman"/>
          <w:color w:val="0000FF"/>
        </w:rPr>
        <w:t>considers a more reduced-form setup featuring an endowment economy and an exogenous process for the correlation between the central bank’s inflation target and real consumption growth</w:t>
      </w:r>
      <w:r w:rsidR="00FC1403" w:rsidRPr="00C10E55">
        <w:rPr>
          <w:rFonts w:ascii="Times New Roman" w:hAnsi="Times New Roman" w:cs="Times New Roman"/>
          <w:color w:val="0000FF"/>
        </w:rPr>
        <w:t xml:space="preserve">. </w:t>
      </w:r>
      <w:r w:rsidRPr="00C10E55">
        <w:rPr>
          <w:rFonts w:ascii="Times New Roman" w:hAnsi="Times New Roman" w:cs="Times New Roman"/>
          <w:color w:val="0000FF"/>
        </w:rPr>
        <w:t>By contrast, in the current manuscript, the inflation-consumption correlation and the permanent-transitory decomposition of consumption growth are endogenous to the volatilities of macroeconomic shocks and monetary policy</w:t>
      </w:r>
      <w:r w:rsidR="00FC1403" w:rsidRPr="00C10E55">
        <w:rPr>
          <w:rFonts w:ascii="Times New Roman" w:hAnsi="Times New Roman" w:cs="Times New Roman"/>
          <w:color w:val="0000FF"/>
        </w:rPr>
        <w:t>.</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1B13AE2B" w:rsidR="000077A2" w:rsidRPr="00C10E55" w:rsidRDefault="005950B5"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w:t>
      </w:r>
      <w:proofErr w:type="spellStart"/>
      <w:r w:rsidR="00AB2B45" w:rsidRPr="00C10E55">
        <w:rPr>
          <w:rFonts w:ascii="Times New Roman" w:hAnsi="Times New Roman" w:cs="Times New Roman"/>
          <w:color w:val="0000FF"/>
        </w:rPr>
        <w:t>Roussanov</w:t>
      </w:r>
      <w:proofErr w:type="spellEnd"/>
      <w:r w:rsidR="00AB2B45" w:rsidRPr="00C10E55">
        <w:rPr>
          <w:rFonts w:ascii="Times New Roman" w:hAnsi="Times New Roman" w:cs="Times New Roman"/>
          <w:color w:val="0000FF"/>
        </w:rPr>
        <w:t xml:space="preserve">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proofErr w:type="spellStart"/>
      <w:r w:rsidR="00EF7188" w:rsidRPr="00C10E55">
        <w:rPr>
          <w:rFonts w:ascii="Times New Roman" w:hAnsi="Times New Roman" w:cs="Times New Roman"/>
          <w:color w:val="0000FF"/>
        </w:rPr>
        <w:t>Gourio</w:t>
      </w:r>
      <w:proofErr w:type="spellEnd"/>
      <w:r w:rsidR="00EF7188" w:rsidRPr="00C10E55">
        <w:rPr>
          <w:rFonts w:ascii="Times New Roman" w:hAnsi="Times New Roman" w:cs="Times New Roman"/>
          <w:color w:val="0000FF"/>
        </w:rPr>
        <w:t xml:space="preserve">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w:t>
      </w:r>
      <w:proofErr w:type="spellStart"/>
      <w:r w:rsidR="00AB0CFA" w:rsidRPr="00C10E55">
        <w:rPr>
          <w:rFonts w:ascii="Times New Roman" w:hAnsi="Times New Roman" w:cs="Times New Roman"/>
          <w:color w:val="0000FF"/>
        </w:rPr>
        <w:t>Gourio</w:t>
      </w:r>
      <w:proofErr w:type="spellEnd"/>
      <w:r w:rsidR="00AB0CFA" w:rsidRPr="00C10E55">
        <w:rPr>
          <w:rFonts w:ascii="Times New Roman" w:hAnsi="Times New Roman" w:cs="Times New Roman"/>
          <w:color w:val="0000FF"/>
        </w:rPr>
        <w:t xml:space="preserve">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proofErr w:type="spellStart"/>
      <w:r w:rsidR="00B3630A" w:rsidRPr="00C10E55">
        <w:rPr>
          <w:rFonts w:ascii="Times New Roman" w:hAnsi="Times New Roman" w:cs="Times New Roman"/>
          <w:color w:val="0000FF"/>
        </w:rPr>
        <w:t>Gourio</w:t>
      </w:r>
      <w:proofErr w:type="spellEnd"/>
      <w:r w:rsidR="00B3630A" w:rsidRPr="00C10E55">
        <w:rPr>
          <w:rFonts w:ascii="Times New Roman" w:hAnsi="Times New Roman" w:cs="Times New Roman"/>
          <w:color w:val="0000FF"/>
        </w:rPr>
        <w:t xml:space="preserve">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are able to assess how the </w:t>
      </w:r>
      <w:r w:rsidR="00AB0CFA" w:rsidRPr="00C10E55">
        <w:rPr>
          <w:rFonts w:ascii="Times New Roman" w:hAnsi="Times New Roman" w:cs="Times New Roman"/>
          <w:color w:val="0000FF"/>
        </w:rPr>
        <w:t xml:space="preserve">composition </w:t>
      </w:r>
      <w:r w:rsidR="000528D6" w:rsidRPr="00C10E55">
        <w:rPr>
          <w:rFonts w:ascii="Times New Roman" w:hAnsi="Times New Roman" w:cs="Times New Roman"/>
          <w:color w:val="0000FF"/>
        </w:rPr>
        <w:t xml:space="preserve">of macroeconomic shocks and monetary policy </w:t>
      </w:r>
      <w:r w:rsidR="00F52C31" w:rsidRPr="00C10E55">
        <w:rPr>
          <w:rFonts w:ascii="Times New Roman" w:hAnsi="Times New Roman" w:cs="Times New Roman"/>
          <w:color w:val="0000FF"/>
        </w:rPr>
        <w:t>combine</w:t>
      </w:r>
      <w:r w:rsidR="000528D6" w:rsidRPr="00C10E55">
        <w:rPr>
          <w:rFonts w:ascii="Times New Roman" w:hAnsi="Times New Roman" w:cs="Times New Roman"/>
          <w:color w:val="0000FF"/>
        </w:rPr>
        <w:t xml:space="preserve"> to </w:t>
      </w:r>
      <w:r w:rsidR="00B41D41" w:rsidRPr="00C10E55">
        <w:rPr>
          <w:rFonts w:ascii="Times New Roman" w:hAnsi="Times New Roman" w:cs="Times New Roman"/>
          <w:color w:val="0000FF"/>
        </w:rPr>
        <w:t>impact</w:t>
      </w:r>
      <w:r w:rsidR="000528D6" w:rsidRPr="00C10E55">
        <w:rPr>
          <w:rFonts w:ascii="Times New Roman" w:hAnsi="Times New Roman" w:cs="Times New Roman"/>
          <w:color w:val="0000FF"/>
        </w:rPr>
        <w:t xml:space="preserve"> bond-stock beta</w:t>
      </w:r>
      <w:r w:rsidR="00340704" w:rsidRPr="00C10E55">
        <w:rPr>
          <w:rFonts w:ascii="Times New Roman" w:hAnsi="Times New Roman" w:cs="Times New Roman"/>
          <w:color w:val="0000FF"/>
        </w:rPr>
        <w:t>s</w:t>
      </w:r>
      <w:r w:rsidR="00DC616B" w:rsidRPr="00C10E55">
        <w:rPr>
          <w:rFonts w:ascii="Times New Roman" w:hAnsi="Times New Roman" w:cs="Times New Roman"/>
          <w:color w:val="0000FF"/>
        </w:rPr>
        <w:t>.</w:t>
      </w:r>
      <w:r w:rsidR="000528D6" w:rsidRPr="00C10E55">
        <w:rPr>
          <w:rFonts w:ascii="Times New Roman" w:hAnsi="Times New Roman" w:cs="Times New Roman"/>
          <w:color w:val="0000FF"/>
        </w:rPr>
        <w:t xml:space="preserve"> </w:t>
      </w:r>
    </w:p>
    <w:p w14:paraId="6412AD12" w14:textId="77777777" w:rsidR="00AA4EDE" w:rsidRPr="00C10E55" w:rsidRDefault="00AA4EDE" w:rsidP="00C10E55">
      <w:pPr>
        <w:pStyle w:val="ListParagraph"/>
        <w:widowControl w:val="0"/>
        <w:autoSpaceDE w:val="0"/>
        <w:autoSpaceDN w:val="0"/>
        <w:adjustRightInd w:val="0"/>
        <w:spacing w:after="0" w:line="240" w:lineRule="auto"/>
        <w:ind w:left="360"/>
        <w:jc w:val="both"/>
        <w:rPr>
          <w:rFonts w:ascii="Times New Roman" w:hAnsi="Times New Roman" w:cs="Times New Roman"/>
          <w:color w:val="0000FF"/>
        </w:rPr>
      </w:pPr>
    </w:p>
    <w:p w14:paraId="01693F46" w14:textId="2AF7BF0B" w:rsidR="00F761D5" w:rsidRPr="00F761D5" w:rsidRDefault="0078498D"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w:t>
      </w:r>
      <w:r w:rsidR="00607E1A" w:rsidRPr="00C10E55">
        <w:rPr>
          <w:rFonts w:ascii="Times New Roman" w:hAnsi="Times New Roman" w:cs="Times New Roman"/>
          <w:color w:val="0000FF"/>
        </w:rPr>
        <w:t xml:space="preserve"> </w:t>
      </w:r>
      <w:r>
        <w:rPr>
          <w:rFonts w:ascii="Times New Roman" w:hAnsi="Times New Roman" w:cs="Times New Roman"/>
          <w:color w:val="0000FF"/>
        </w:rPr>
        <w:t>revised manuscript contains a new summary of the current paper</w:t>
      </w:r>
      <w:r w:rsidR="00161208">
        <w:rPr>
          <w:rFonts w:ascii="Times New Roman" w:hAnsi="Times New Roman" w:cs="Times New Roman"/>
          <w:color w:val="0000FF"/>
        </w:rPr>
        <w:t>’</w:t>
      </w:r>
      <w:r>
        <w:rPr>
          <w:rFonts w:ascii="Times New Roman" w:hAnsi="Times New Roman" w:cs="Times New Roman"/>
          <w:color w:val="0000FF"/>
        </w:rPr>
        <w:t>s contribution over my own prior work and the broader literature on bond-stock comovements at</w:t>
      </w:r>
      <w:r w:rsidR="00CC137A" w:rsidRPr="00C10E55">
        <w:rPr>
          <w:rFonts w:ascii="Times New Roman" w:hAnsi="Times New Roman" w:cs="Times New Roman"/>
          <w:color w:val="0000FF"/>
        </w:rPr>
        <w:t xml:space="preserve"> the end of the introduction</w:t>
      </w:r>
      <w:r w:rsidR="00161208">
        <w:rPr>
          <w:rFonts w:ascii="Times New Roman" w:hAnsi="Times New Roman" w:cs="Times New Roman"/>
          <w:color w:val="0000FF"/>
        </w:rPr>
        <w:t xml:space="preserve"> </w:t>
      </w:r>
      <w:r w:rsidRPr="0078498D">
        <w:rPr>
          <w:rFonts w:ascii="Times New Roman" w:hAnsi="Times New Roman" w:cs="Times New Roman"/>
          <w:b/>
          <w:bCs/>
          <w:color w:val="0000FF"/>
        </w:rPr>
        <w:t>(</w:t>
      </w:r>
      <w:r w:rsidR="00193958">
        <w:rPr>
          <w:rFonts w:ascii="Times New Roman" w:hAnsi="Times New Roman" w:cs="Times New Roman"/>
          <w:b/>
          <w:bCs/>
          <w:color w:val="0000FF"/>
        </w:rPr>
        <w:t xml:space="preserve">see </w:t>
      </w:r>
      <w:r w:rsidRPr="0078498D">
        <w:rPr>
          <w:rFonts w:ascii="Times New Roman" w:hAnsi="Times New Roman" w:cs="Times New Roman"/>
          <w:b/>
          <w:bCs/>
          <w:color w:val="0000FF"/>
        </w:rPr>
        <w:t>p</w:t>
      </w:r>
      <w:r w:rsidR="00A4220F">
        <w:rPr>
          <w:rFonts w:ascii="Times New Roman" w:hAnsi="Times New Roman" w:cs="Times New Roman"/>
          <w:b/>
          <w:bCs/>
          <w:color w:val="0000FF"/>
        </w:rPr>
        <w:t>p</w:t>
      </w:r>
      <w:r w:rsidRPr="0078498D">
        <w:rPr>
          <w:rFonts w:ascii="Times New Roman" w:hAnsi="Times New Roman" w:cs="Times New Roman"/>
          <w:b/>
          <w:bCs/>
          <w:color w:val="0000FF"/>
        </w:rPr>
        <w:t>. 5</w:t>
      </w:r>
      <w:r w:rsidR="00A4220F">
        <w:rPr>
          <w:rFonts w:ascii="Times New Roman" w:hAnsi="Times New Roman" w:cs="Times New Roman"/>
          <w:b/>
          <w:bCs/>
          <w:color w:val="0000FF"/>
        </w:rPr>
        <w:t>-7</w:t>
      </w:r>
      <w:r>
        <w:rPr>
          <w:rFonts w:ascii="Times New Roman" w:hAnsi="Times New Roman" w:cs="Times New Roman"/>
          <w:b/>
          <w:bCs/>
          <w:color w:val="0000FF"/>
        </w:rPr>
        <w:t xml:space="preserve">, </w:t>
      </w:r>
      <w:r w:rsidR="00A4220F">
        <w:rPr>
          <w:rFonts w:ascii="Times New Roman" w:hAnsi="Times New Roman" w:cs="Times New Roman"/>
          <w:b/>
          <w:bCs/>
          <w:color w:val="0000FF"/>
        </w:rPr>
        <w:t xml:space="preserve">starting with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it also contains substantial changes)</w:t>
      </w:r>
      <w:r>
        <w:rPr>
          <w:rFonts w:ascii="Times New Roman" w:hAnsi="Times New Roman" w:cs="Times New Roman"/>
          <w:color w:val="0000FF"/>
        </w:rPr>
        <w:t>.</w:t>
      </w:r>
      <w:r w:rsidR="009D51DE" w:rsidRPr="00C10E55">
        <w:rPr>
          <w:rFonts w:ascii="Times New Roman" w:hAnsi="Times New Roman" w:cs="Times New Roman"/>
          <w:color w:val="0000FF"/>
        </w:rPr>
        <w:t xml:space="preserve"> </w:t>
      </w:r>
    </w:p>
    <w:p w14:paraId="344BD82C" w14:textId="77777777" w:rsid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processes) and acknowledge some limitations in the modeling approaches.</w:t>
      </w:r>
    </w:p>
    <w:p w14:paraId="5553FD52" w14:textId="46268CD7"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Done. 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p.14 in the paragraph starting “While there is an active debate to what extent monetary policy can be described by rules versus discretion, rules such as (24) are often found to provide a good description of historical policy rates …”</w:t>
      </w:r>
      <w:r w:rsidR="007B31A8">
        <w:rPr>
          <w:rFonts w:ascii="Times New Roman" w:hAnsi="Times New Roman" w:cs="Times New Roman"/>
          <w:color w:val="0000FF"/>
        </w:rPr>
        <w:t>.</w:t>
      </w:r>
    </w:p>
    <w:p w14:paraId="75D7AB9E" w14:textId="77777777" w:rsidR="00A7749E" w:rsidRDefault="00C37257"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the issue of richer wage-price inflation dynamics</w:t>
      </w:r>
      <w:r w:rsidR="007E23C9">
        <w:rPr>
          <w:rFonts w:ascii="Times New Roman" w:hAnsi="Times New Roman" w:cs="Times New Roman"/>
          <w:color w:val="0000FF"/>
        </w:rPr>
        <w:t xml:space="preserve">, the </w:t>
      </w:r>
      <w:r w:rsidR="007E23C9" w:rsidRPr="007E23C9">
        <w:rPr>
          <w:rFonts w:ascii="Times New Roman" w:hAnsi="Times New Roman" w:cs="Times New Roman"/>
          <w:b/>
          <w:bCs/>
          <w:color w:val="0000FF"/>
        </w:rPr>
        <w:t xml:space="preserve">new Appendix Section </w:t>
      </w:r>
      <w:r w:rsidR="00725556">
        <w:rPr>
          <w:rFonts w:ascii="Times New Roman" w:hAnsi="Times New Roman" w:cs="Times New Roman"/>
          <w:b/>
          <w:bCs/>
          <w:color w:val="0000FF"/>
        </w:rPr>
        <w:t>G</w:t>
      </w:r>
      <w:r w:rsidR="007E23C9">
        <w:rPr>
          <w:rFonts w:ascii="Times New Roman" w:hAnsi="Times New Roman" w:cs="Times New Roman"/>
          <w:color w:val="0000FF"/>
        </w:rPr>
        <w:t xml:space="preserve"> </w:t>
      </w:r>
      <w:r w:rsidRPr="00C37257">
        <w:rPr>
          <w:rFonts w:ascii="Times New Roman" w:hAnsi="Times New Roman" w:cs="Times New Roman"/>
          <w:b/>
          <w:bCs/>
          <w:color w:val="0000FF"/>
        </w:rPr>
        <w:t>(online Appendix pp. 44-49)</w:t>
      </w:r>
      <w:r>
        <w:rPr>
          <w:rFonts w:ascii="Times New Roman" w:hAnsi="Times New Roman" w:cs="Times New Roman"/>
          <w:color w:val="0000FF"/>
        </w:rPr>
        <w:t xml:space="preserve"> </w:t>
      </w:r>
      <w:r w:rsidR="00AA73BC">
        <w:rPr>
          <w:rFonts w:ascii="Times New Roman" w:hAnsi="Times New Roman" w:cs="Times New Roman"/>
          <w:color w:val="0000FF"/>
        </w:rPr>
        <w:t xml:space="preserve">added results for </w:t>
      </w:r>
      <w:r>
        <w:rPr>
          <w:rFonts w:ascii="Times New Roman" w:hAnsi="Times New Roman" w:cs="Times New Roman"/>
          <w:color w:val="0000FF"/>
        </w:rPr>
        <w:t>a model extension</w:t>
      </w:r>
      <w:r w:rsidR="007E23C9">
        <w:rPr>
          <w:rFonts w:ascii="Times New Roman" w:hAnsi="Times New Roman" w:cs="Times New Roman"/>
          <w:color w:val="0000FF"/>
        </w:rPr>
        <w:t xml:space="preserve"> with richer price-wage dynamics, adding an additional shock to the relationship (2</w:t>
      </w:r>
      <w:r w:rsidR="0077604B">
        <w:rPr>
          <w:rFonts w:ascii="Times New Roman" w:hAnsi="Times New Roman" w:cs="Times New Roman"/>
          <w:color w:val="0000FF"/>
        </w:rPr>
        <w:t>3</w:t>
      </w:r>
      <w:r w:rsidR="007E23C9">
        <w:rPr>
          <w:rFonts w:ascii="Times New Roman" w:hAnsi="Times New Roman" w:cs="Times New Roman"/>
          <w:color w:val="0000FF"/>
        </w:rPr>
        <w:t xml:space="preserve">) in the main paper. </w:t>
      </w:r>
      <w:r w:rsidR="00725556">
        <w:rPr>
          <w:rFonts w:ascii="Times New Roman" w:hAnsi="Times New Roman" w:cs="Times New Roman"/>
          <w:color w:val="0000FF"/>
        </w:rPr>
        <w:t xml:space="preserve">This new appendix section first solves the model with richer price-wage dynamics and then </w:t>
      </w:r>
      <w:r w:rsidR="00AA73BC">
        <w:rPr>
          <w:rFonts w:ascii="Times New Roman" w:hAnsi="Times New Roman" w:cs="Times New Roman"/>
          <w:color w:val="0000FF"/>
        </w:rPr>
        <w:t xml:space="preserve">produces results analogous to </w:t>
      </w:r>
      <w:r w:rsidR="00725556">
        <w:rPr>
          <w:rFonts w:ascii="Times New Roman" w:hAnsi="Times New Roman" w:cs="Times New Roman"/>
          <w:color w:val="0000FF"/>
        </w:rPr>
        <w:t xml:space="preserve">Table 2 and Figure 4 in the main paper with and without these richer price-wage dynamics. </w:t>
      </w:r>
      <w:r w:rsidR="00A7749E">
        <w:rPr>
          <w:rFonts w:ascii="Times New Roman" w:hAnsi="Times New Roman" w:cs="Times New Roman"/>
          <w:color w:val="0000FF"/>
        </w:rPr>
        <w:t xml:space="preserve">The version of Figure 4 with a richer price-wage dynamics is reproduced below for your convenience </w:t>
      </w:r>
      <w:r w:rsidR="00A7749E" w:rsidRPr="00A7749E">
        <w:rPr>
          <w:rFonts w:ascii="Times New Roman" w:hAnsi="Times New Roman" w:cs="Times New Roman"/>
          <w:b/>
          <w:bCs/>
          <w:color w:val="0000FF"/>
        </w:rPr>
        <w:t>(Appendix Figure A4)</w:t>
      </w:r>
      <w:r w:rsidR="00A7749E">
        <w:rPr>
          <w:rFonts w:ascii="Times New Roman" w:hAnsi="Times New Roman" w:cs="Times New Roman"/>
          <w:color w:val="0000FF"/>
        </w:rPr>
        <w:t xml:space="preserve">. </w:t>
      </w:r>
    </w:p>
    <w:p w14:paraId="073514FA" w14:textId="77777777" w:rsidR="00A7749E" w:rsidRDefault="00A7749E"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28A47BC" w14:textId="541B3BB0" w:rsidR="00A7749E" w:rsidRDefault="00A7749E" w:rsidP="00A7749E">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lastRenderedPageBreak/>
        <w:t>Figure A4: Counterfactual Bond-Stock Betas with Richer Price-Wage Dynamics</w:t>
      </w:r>
      <w:r w:rsidRPr="00A7749E">
        <w:rPr>
          <w:rFonts w:ascii="Times New Roman" w:hAnsi="Times New Roman" w:cs="Times New Roman"/>
          <w:noProof/>
          <w:color w:val="0000FF"/>
        </w:rPr>
        <w:drawing>
          <wp:inline distT="0" distB="0" distL="0" distR="0" wp14:anchorId="0045576D" wp14:editId="50CC3A9A">
            <wp:extent cx="4662170" cy="6534197"/>
            <wp:effectExtent l="0" t="0" r="5080" b="0"/>
            <wp:docPr id="3166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6105" cy="6539712"/>
                    </a:xfrm>
                    <a:prstGeom prst="rect">
                      <a:avLst/>
                    </a:prstGeom>
                    <a:noFill/>
                    <a:ln>
                      <a:noFill/>
                    </a:ln>
                  </pic:spPr>
                </pic:pic>
              </a:graphicData>
            </a:graphic>
          </wp:inline>
        </w:drawing>
      </w:r>
    </w:p>
    <w:p w14:paraId="3CC11494" w14:textId="674FE84A" w:rsidR="007E23C9" w:rsidRDefault="00A7749E"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figure above shows that </w:t>
      </w:r>
      <w:r w:rsidR="00725556">
        <w:rPr>
          <w:rFonts w:ascii="Times New Roman" w:hAnsi="Times New Roman" w:cs="Times New Roman"/>
          <w:color w:val="0000FF"/>
        </w:rPr>
        <w:t xml:space="preserve">the asset pricing moments and key </w:t>
      </w:r>
      <w:r w:rsidR="0016253D">
        <w:rPr>
          <w:rFonts w:ascii="Times New Roman" w:hAnsi="Times New Roman" w:cs="Times New Roman"/>
          <w:color w:val="0000FF"/>
        </w:rPr>
        <w:t xml:space="preserve">counterfactuals </w:t>
      </w:r>
      <w:r w:rsidR="00725556">
        <w:rPr>
          <w:rFonts w:ascii="Times New Roman" w:hAnsi="Times New Roman" w:cs="Times New Roman"/>
          <w:color w:val="0000FF"/>
        </w:rPr>
        <w:t xml:space="preserve">are robust and indeed </w:t>
      </w:r>
      <w:r>
        <w:rPr>
          <w:rFonts w:ascii="Times New Roman" w:hAnsi="Times New Roman" w:cs="Times New Roman"/>
          <w:color w:val="0000FF"/>
        </w:rPr>
        <w:t xml:space="preserve">quantitatively indistinguishable </w:t>
      </w:r>
      <w:r w:rsidR="00725556">
        <w:rPr>
          <w:rFonts w:ascii="Times New Roman" w:hAnsi="Times New Roman" w:cs="Times New Roman"/>
          <w:color w:val="0000FF"/>
        </w:rPr>
        <w:t xml:space="preserve">even </w:t>
      </w:r>
      <w:r>
        <w:rPr>
          <w:rFonts w:ascii="Times New Roman" w:hAnsi="Times New Roman" w:cs="Times New Roman"/>
          <w:color w:val="0000FF"/>
        </w:rPr>
        <w:t xml:space="preserve">when the volatility of the price-wage inflation shock is set to a plausible upper bound. </w:t>
      </w:r>
      <w:r w:rsidR="00725556">
        <w:rPr>
          <w:rFonts w:ascii="Times New Roman" w:hAnsi="Times New Roman" w:cs="Times New Roman"/>
          <w:color w:val="0000FF"/>
        </w:rPr>
        <w:t xml:space="preserve">To keep the model exposition as simple as possible, I therefore abstract from </w:t>
      </w:r>
      <w:r w:rsidR="00AA73BC">
        <w:rPr>
          <w:rFonts w:ascii="Times New Roman" w:hAnsi="Times New Roman" w:cs="Times New Roman"/>
          <w:color w:val="0000FF"/>
        </w:rPr>
        <w:t>richer price-wage inflation dynamics</w:t>
      </w:r>
      <w:r w:rsidR="00725556">
        <w:rPr>
          <w:rFonts w:ascii="Times New Roman" w:hAnsi="Times New Roman" w:cs="Times New Roman"/>
          <w:color w:val="0000FF"/>
        </w:rPr>
        <w:t xml:space="preserve"> in the main paper. </w:t>
      </w:r>
      <w:r>
        <w:rPr>
          <w:rFonts w:ascii="Times New Roman" w:hAnsi="Times New Roman" w:cs="Times New Roman"/>
          <w:color w:val="0000FF"/>
        </w:rPr>
        <w:t>To make this clear</w:t>
      </w:r>
      <w:r w:rsidR="00725556">
        <w:rPr>
          <w:rFonts w:ascii="Times New Roman" w:hAnsi="Times New Roman" w:cs="Times New Roman"/>
          <w:color w:val="0000FF"/>
        </w:rPr>
        <w:t xml:space="preserve">, the revised manuscript </w:t>
      </w:r>
      <w:r w:rsidR="00AA73BC">
        <w:rPr>
          <w:rFonts w:ascii="Times New Roman" w:hAnsi="Times New Roman" w:cs="Times New Roman"/>
          <w:color w:val="0000FF"/>
        </w:rPr>
        <w:t>newly</w:t>
      </w:r>
      <w:r w:rsidR="00725556">
        <w:rPr>
          <w:rFonts w:ascii="Times New Roman" w:hAnsi="Times New Roman" w:cs="Times New Roman"/>
          <w:color w:val="0000FF"/>
        </w:rPr>
        <w:t xml:space="preserve"> acknowledges the limitations of </w:t>
      </w:r>
      <w:r w:rsidR="00AA73BC">
        <w:rPr>
          <w:rFonts w:ascii="Times New Roman" w:hAnsi="Times New Roman" w:cs="Times New Roman"/>
          <w:color w:val="0000FF"/>
        </w:rPr>
        <w:t xml:space="preserve">the simple wage-price inflation dynamics in the baseline </w:t>
      </w:r>
      <w:r w:rsidR="00AA73BC">
        <w:rPr>
          <w:rFonts w:ascii="Times New Roman" w:hAnsi="Times New Roman" w:cs="Times New Roman"/>
          <w:color w:val="0000FF"/>
        </w:rPr>
        <w:lastRenderedPageBreak/>
        <w:t xml:space="preserve">model </w:t>
      </w:r>
      <w:r w:rsidR="00725556">
        <w:rPr>
          <w:rFonts w:ascii="Times New Roman" w:hAnsi="Times New Roman" w:cs="Times New Roman"/>
          <w:color w:val="0000FF"/>
        </w:rPr>
        <w:t xml:space="preserve">and notes that the results are robust to relaxing the tight link between wage and price inflation dynamics. For this discussion, see the </w:t>
      </w:r>
      <w:r w:rsidR="00725556" w:rsidRPr="00C37257">
        <w:rPr>
          <w:rFonts w:ascii="Times New Roman" w:hAnsi="Times New Roman" w:cs="Times New Roman"/>
          <w:b/>
          <w:bCs/>
          <w:color w:val="0000FF"/>
        </w:rPr>
        <w:t xml:space="preserve">new footnote </w:t>
      </w:r>
      <w:r w:rsidR="00C37257" w:rsidRPr="00C37257">
        <w:rPr>
          <w:rFonts w:ascii="Times New Roman" w:hAnsi="Times New Roman" w:cs="Times New Roman"/>
          <w:b/>
          <w:bCs/>
          <w:color w:val="0000FF"/>
        </w:rPr>
        <w:t>9</w:t>
      </w:r>
      <w:r w:rsidR="00725556" w:rsidRPr="00C37257">
        <w:rPr>
          <w:rFonts w:ascii="Times New Roman" w:hAnsi="Times New Roman" w:cs="Times New Roman"/>
          <w:b/>
          <w:bCs/>
          <w:color w:val="0000FF"/>
        </w:rPr>
        <w:t xml:space="preserve"> on p. </w:t>
      </w:r>
      <w:r w:rsidR="00C37257" w:rsidRPr="00C37257">
        <w:rPr>
          <w:rFonts w:ascii="Times New Roman" w:hAnsi="Times New Roman" w:cs="Times New Roman"/>
          <w:b/>
          <w:bCs/>
          <w:color w:val="0000FF"/>
        </w:rPr>
        <w:t>13</w:t>
      </w:r>
      <w:r w:rsidR="00725556">
        <w:rPr>
          <w:rFonts w:ascii="Times New Roman" w:hAnsi="Times New Roman" w:cs="Times New Roman"/>
          <w:color w:val="0000FF"/>
        </w:rPr>
        <w:t xml:space="preserve"> in the paper.</w:t>
      </w:r>
    </w:p>
    <w:p w14:paraId="77524682" w14:textId="77777777" w:rsidR="00F761D5" w:rsidRPr="001E20F4" w:rsidRDefault="00F761D5" w:rsidP="001E20F4">
      <w:pPr>
        <w:widowControl w:val="0"/>
        <w:autoSpaceDE w:val="0"/>
        <w:autoSpaceDN w:val="0"/>
        <w:adjustRightInd w:val="0"/>
        <w:spacing w:after="0" w:line="240" w:lineRule="auto"/>
        <w:rPr>
          <w:rFonts w:ascii="Times New Roman" w:hAnsi="Times New Roman" w:cs="Times New Roman"/>
        </w:rPr>
      </w:pPr>
    </w:p>
    <w:p w14:paraId="19BF5B88"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C10E55">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53F059D4" w14:textId="1A7398E5" w:rsidR="0049070C" w:rsidRDefault="001302C0" w:rsidP="00F761D5">
      <w:pPr>
        <w:widowControl w:val="0"/>
        <w:autoSpaceDE w:val="0"/>
        <w:autoSpaceDN w:val="0"/>
        <w:adjustRightInd w:val="0"/>
        <w:spacing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CC63E0">
        <w:rPr>
          <w:rFonts w:ascii="Times New Roman" w:hAnsi="Times New Roman" w:cs="Times New Roman"/>
          <w:color w:val="0000FF"/>
        </w:rPr>
        <w:t>I have substantially changed the manuscript</w:t>
      </w:r>
      <w:r w:rsidR="00AD3567">
        <w:rPr>
          <w:rFonts w:ascii="Times New Roman" w:hAnsi="Times New Roman" w:cs="Times New Roman"/>
          <w:color w:val="0000FF"/>
        </w:rPr>
        <w:t xml:space="preserve"> to clarify the nature of macroeconomic shocks in the 1980s subperiod. I have addressed the issue twofold. First,</w:t>
      </w:r>
      <w:r w:rsidR="002348CC">
        <w:rPr>
          <w:rFonts w:ascii="Times New Roman" w:hAnsi="Times New Roman" w:cs="Times New Roman"/>
          <w:color w:val="0000FF"/>
        </w:rPr>
        <w:t xml:space="preserve"> the revised manuscript includes a much more extensive </w:t>
      </w:r>
      <w:r w:rsidR="00FA29E2">
        <w:rPr>
          <w:rFonts w:ascii="Times New Roman" w:hAnsi="Times New Roman" w:cs="Times New Roman"/>
          <w:color w:val="0000FF"/>
        </w:rPr>
        <w:t>narrative</w:t>
      </w:r>
      <w:r w:rsidR="00AD3567">
        <w:rPr>
          <w:rFonts w:ascii="Times New Roman" w:hAnsi="Times New Roman" w:cs="Times New Roman"/>
          <w:color w:val="0000FF"/>
        </w:rPr>
        <w:t xml:space="preserve"> </w:t>
      </w:r>
      <w:r w:rsidR="002348CC">
        <w:rPr>
          <w:rFonts w:ascii="Times New Roman" w:hAnsi="Times New Roman" w:cs="Times New Roman"/>
          <w:color w:val="0000FF"/>
        </w:rPr>
        <w:t xml:space="preserve">for </w:t>
      </w:r>
      <w:r w:rsidR="00AD3567">
        <w:rPr>
          <w:rFonts w:ascii="Times New Roman" w:hAnsi="Times New Roman" w:cs="Times New Roman"/>
          <w:color w:val="0000FF"/>
        </w:rPr>
        <w:t xml:space="preserve">why the 1980s and 1990s </w:t>
      </w:r>
      <w:r w:rsidR="002348CC">
        <w:rPr>
          <w:rFonts w:ascii="Times New Roman" w:hAnsi="Times New Roman" w:cs="Times New Roman"/>
          <w:color w:val="0000FF"/>
        </w:rPr>
        <w:t>should</w:t>
      </w:r>
      <w:r w:rsidR="00FA29E2">
        <w:rPr>
          <w:rFonts w:ascii="Times New Roman" w:hAnsi="Times New Roman" w:cs="Times New Roman"/>
          <w:color w:val="0000FF"/>
        </w:rPr>
        <w:t xml:space="preserve"> </w:t>
      </w:r>
      <w:r w:rsidR="00AD3567">
        <w:rPr>
          <w:rFonts w:ascii="Times New Roman" w:hAnsi="Times New Roman" w:cs="Times New Roman"/>
          <w:color w:val="0000FF"/>
        </w:rPr>
        <w:t xml:space="preserve">be viewed as a period of dominant actual and perceived supply shocks, </w:t>
      </w:r>
      <w:r w:rsidR="00FA29E2">
        <w:rPr>
          <w:rFonts w:ascii="Times New Roman" w:hAnsi="Times New Roman" w:cs="Times New Roman"/>
          <w:color w:val="0000FF"/>
        </w:rPr>
        <w:t>consistent with my model calibration for the first subperiod</w:t>
      </w:r>
      <w:r w:rsidR="00AD3567">
        <w:rPr>
          <w:rFonts w:ascii="Times New Roman" w:hAnsi="Times New Roman" w:cs="Times New Roman"/>
          <w:color w:val="0000FF"/>
        </w:rPr>
        <w:t xml:space="preserve">. </w:t>
      </w:r>
      <w:r w:rsidR="0049070C">
        <w:rPr>
          <w:rFonts w:ascii="Times New Roman" w:hAnsi="Times New Roman" w:cs="Times New Roman"/>
          <w:color w:val="0000FF"/>
        </w:rPr>
        <w:t>Second, I followed your suggestion to calculate the necessary changes in parameters to explain the bond-stock betas during the 1980s. This second exercise clearly shows that volatile supply shocks are required to explain asset markets during the 1980s</w:t>
      </w:r>
      <w:r w:rsidR="00B437D7">
        <w:rPr>
          <w:rFonts w:ascii="Times New Roman" w:hAnsi="Times New Roman" w:cs="Times New Roman"/>
          <w:color w:val="0000FF"/>
        </w:rPr>
        <w:t xml:space="preserve"> using my model</w:t>
      </w:r>
      <w:r w:rsidR="0049070C">
        <w:rPr>
          <w:rFonts w:ascii="Times New Roman" w:hAnsi="Times New Roman" w:cs="Times New Roman"/>
          <w:color w:val="0000FF"/>
        </w:rPr>
        <w:t xml:space="preserve">. </w:t>
      </w:r>
    </w:p>
    <w:p w14:paraId="5D7AE51D" w14:textId="77777777" w:rsidR="0049070C"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2046ABE9" w:rsidR="00713C40"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w:t>
      </w:r>
      <w:r w:rsidR="00FA29E2">
        <w:rPr>
          <w:rFonts w:ascii="Times New Roman" w:hAnsi="Times New Roman" w:cs="Times New Roman"/>
          <w:color w:val="0000FF"/>
        </w:rPr>
        <w:t>supply shocks</w:t>
      </w:r>
      <w:r>
        <w:rPr>
          <w:rFonts w:ascii="Times New Roman" w:hAnsi="Times New Roman" w:cs="Times New Roman"/>
          <w:color w:val="0000FF"/>
        </w:rPr>
        <w:t xml:space="preserve"> </w:t>
      </w:r>
      <w:r w:rsidR="002715AD">
        <w:rPr>
          <w:rFonts w:ascii="Times New Roman" w:hAnsi="Times New Roman" w:cs="Times New Roman"/>
          <w:color w:val="0000FF"/>
        </w:rPr>
        <w:t xml:space="preserve">during the 1980s </w:t>
      </w:r>
      <w:r>
        <w:rPr>
          <w:rFonts w:ascii="Times New Roman" w:hAnsi="Times New Roman" w:cs="Times New Roman"/>
          <w:color w:val="0000FF"/>
        </w:rPr>
        <w:t>sometimes tends to overlook</w:t>
      </w:r>
      <w:r w:rsidR="00AD3567">
        <w:rPr>
          <w:rFonts w:ascii="Times New Roman" w:hAnsi="Times New Roman" w:cs="Times New Roman"/>
          <w:color w:val="0000FF"/>
        </w:rPr>
        <w:t xml:space="preserve"> that supply shocks can be either negative (i.e. reducing output) or positive (i.e. good for output)</w:t>
      </w:r>
      <w:r>
        <w:rPr>
          <w:rFonts w:ascii="Times New Roman" w:hAnsi="Times New Roman" w:cs="Times New Roman"/>
          <w:color w:val="0000FF"/>
        </w:rPr>
        <w:t xml:space="preserve">, and in my model only the volatility of these shocks matters but not their sign.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in particular during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07447EF5" w:rsidR="00FD39E2" w:rsidRDefault="00A4499C"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I also added a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Pr>
          <w:rFonts w:ascii="Times New Roman" w:hAnsi="Times New Roman" w:cs="Times New Roman"/>
          <w:color w:val="0000FF"/>
        </w:rPr>
        <w:t xml:space="preserve">. The results are shown in the </w:t>
      </w:r>
      <w:r w:rsidR="00A21E01" w:rsidRPr="00911C0D">
        <w:rPr>
          <w:rFonts w:ascii="Times New Roman" w:hAnsi="Times New Roman" w:cs="Times New Roman"/>
          <w:b/>
          <w:bCs/>
          <w:color w:val="0000FF"/>
        </w:rPr>
        <w:t xml:space="preserve">new </w:t>
      </w:r>
      <w:r w:rsidR="00660085" w:rsidRPr="00911C0D">
        <w:rPr>
          <w:rFonts w:ascii="Times New Roman" w:hAnsi="Times New Roman" w:cs="Times New Roman"/>
          <w:b/>
          <w:bCs/>
          <w:color w:val="0000FF"/>
        </w:rPr>
        <w:t>Appendix Figure A1</w:t>
      </w:r>
      <w:r>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Pr>
          <w:rFonts w:ascii="Times New Roman" w:hAnsi="Times New Roman" w:cs="Times New Roman"/>
          <w:color w:val="0000FF"/>
        </w:rPr>
        <w:t xml:space="preserve"> “inflation”</w:t>
      </w:r>
      <w:r w:rsidR="008B575F">
        <w:rPr>
          <w:rFonts w:ascii="Times New Roman" w:hAnsi="Times New Roman" w:cs="Times New Roman"/>
          <w:color w:val="0000FF"/>
        </w:rPr>
        <w:t xml:space="preserve"> from </w:t>
      </w:r>
      <w:proofErr w:type="spellStart"/>
      <w:r w:rsidR="008B575F">
        <w:rPr>
          <w:rFonts w:ascii="Times New Roman" w:hAnsi="Times New Roman" w:cs="Times New Roman"/>
          <w:color w:val="0000FF"/>
        </w:rPr>
        <w:t>Proquest</w:t>
      </w:r>
      <w:proofErr w:type="spellEnd"/>
      <w:r w:rsidR="009D700B">
        <w:rPr>
          <w:rFonts w:ascii="Times New Roman" w:hAnsi="Times New Roman" w:cs="Times New Roman"/>
          <w:color w:val="0000FF"/>
        </w:rPr>
        <w:t xml:space="preserve"> Historical Newspapers</w:t>
      </w:r>
      <w:r>
        <w:rPr>
          <w:rFonts w:ascii="Times New Roman" w:hAnsi="Times New Roman" w:cs="Times New Roman"/>
          <w:color w:val="0000FF"/>
        </w:rPr>
        <w:t xml:space="preserve">. </w:t>
      </w:r>
      <w:r w:rsidR="00660085">
        <w:rPr>
          <w:rFonts w:ascii="Times New Roman" w:hAnsi="Times New Roman" w:cs="Times New Roman"/>
          <w:color w:val="0000FF"/>
        </w:rPr>
        <w:t xml:space="preserve">This new analysis shows that the </w:t>
      </w:r>
      <w:r>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and was lower before and after, reaching a trough during the decade of the 2010s. </w:t>
      </w:r>
      <w:r>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Pr>
          <w:rFonts w:ascii="Times New Roman" w:hAnsi="Times New Roman" w:cs="Times New Roman"/>
          <w:color w:val="0000FF"/>
        </w:rPr>
        <w:t xml:space="preserve">The figure also shows a spike in the concern about supply-driven inflation during the post-pandemic period starting in 2020, similar to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the post-pandemic period after 2020. </w:t>
      </w:r>
    </w:p>
    <w:p w14:paraId="1CC312C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3C05199F"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503521E"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EA648C"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A37A3BD"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78406A2"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15D932B0"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166D27D8"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718F020"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D98A7A6"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981B8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92EDED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67AE883F" w14:textId="0A028CC8" w:rsidR="00FD39E2" w:rsidRDefault="008B575F"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1BF62D46" wp14:editId="543F0AB8">
            <wp:extent cx="5562161" cy="2990850"/>
            <wp:effectExtent l="0" t="0" r="635" b="0"/>
            <wp:docPr id="1000150900"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71E267B0" w14:textId="6CEABA99" w:rsidR="005F7CBB" w:rsidRPr="00662D76" w:rsidRDefault="00D36292" w:rsidP="00F46E0E">
      <w:p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C81D32">
        <w:rPr>
          <w:rFonts w:ascii="Times New Roman" w:hAnsi="Times New Roman" w:cs="Times New Roman"/>
          <w:color w:val="0000FF"/>
        </w:rPr>
        <w:t xml:space="preserve">these anecdotes </w:t>
      </w:r>
      <w:r w:rsidR="004C60DE">
        <w:rPr>
          <w:rFonts w:ascii="Times New Roman" w:hAnsi="Times New Roman" w:cs="Times New Roman"/>
          <w:color w:val="0000FF"/>
        </w:rPr>
        <w:t xml:space="preserve">of 1980s and 1990s supply shocks </w:t>
      </w:r>
      <w:r w:rsidR="00A06F7B">
        <w:rPr>
          <w:rFonts w:ascii="Times New Roman" w:hAnsi="Times New Roman" w:cs="Times New Roman"/>
          <w:color w:val="0000FF"/>
        </w:rPr>
        <w:t xml:space="preserve">prominently in a new paragraph in the introduction </w:t>
      </w:r>
      <w:r w:rsidR="00A06F7B" w:rsidRP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A06F7B">
        <w:rPr>
          <w:rFonts w:ascii="Times New Roman" w:hAnsi="Times New Roman" w:cs="Times New Roman"/>
          <w:b/>
          <w:bCs/>
          <w:color w:val="0000FF"/>
        </w:rPr>
        <w:t xml:space="preserve">p.3, </w:t>
      </w:r>
      <w:r w:rsidR="00C81D32">
        <w:rPr>
          <w:rFonts w:ascii="Times New Roman" w:hAnsi="Times New Roman" w:cs="Times New Roman"/>
          <w:b/>
          <w:bCs/>
          <w:color w:val="0000FF"/>
        </w:rPr>
        <w:t xml:space="preserve">paragraph starting </w:t>
      </w:r>
      <w:r w:rsidR="00A06F7B" w:rsidRPr="0078498D">
        <w:rPr>
          <w:rFonts w:ascii="Times New Roman" w:hAnsi="Times New Roman" w:cs="Times New Roman"/>
          <w:b/>
          <w:bCs/>
          <w:color w:val="0000FF"/>
        </w:rPr>
        <w:t>“</w:t>
      </w:r>
      <w:r w:rsidR="00A06F7B" w:rsidRPr="00A06F7B">
        <w:rPr>
          <w:rFonts w:ascii="Times New Roman" w:hAnsi="Times New Roman" w:cs="Times New Roman"/>
          <w:b/>
          <w:bCs/>
          <w:color w:val="0000FF"/>
        </w:rPr>
        <w:t>The calibrated changes in the monetary policy rule and the nature of macroeconomic shocks are consistent with anecdotal evidence…”</w:t>
      </w:r>
      <w:r w:rsidR="00A06F7B" w:rsidRPr="0078498D">
        <w:rPr>
          <w:rFonts w:ascii="Times New Roman" w:hAnsi="Times New Roman" w:cs="Times New Roman"/>
          <w:b/>
          <w:bCs/>
          <w:color w:val="0000FF"/>
        </w:rPr>
        <w:t>)</w:t>
      </w:r>
      <w:r w:rsidR="00A06F7B">
        <w:rPr>
          <w:rFonts w:ascii="Times New Roman" w:hAnsi="Times New Roman" w:cs="Times New Roman"/>
          <w:color w:val="0000FF"/>
        </w:rPr>
        <w:t xml:space="preserve">, and in the </w:t>
      </w:r>
      <w:r w:rsidR="00A06F7B" w:rsidRPr="00A06F7B">
        <w:rPr>
          <w:rFonts w:ascii="Times New Roman" w:hAnsi="Times New Roman" w:cs="Times New Roman"/>
          <w:b/>
          <w:bCs/>
          <w:color w:val="0000FF"/>
        </w:rPr>
        <w:t>new footnote 4 on p.3.</w:t>
      </w:r>
      <w:r w:rsidR="00A06F7B">
        <w:rPr>
          <w:rFonts w:ascii="Times New Roman" w:hAnsi="Times New Roman" w:cs="Times New Roman"/>
          <w:color w:val="0000FF"/>
        </w:rPr>
        <w:t xml:space="preserve">  </w:t>
      </w:r>
      <w:r w:rsidR="00FC7076">
        <w:rPr>
          <w:rFonts w:ascii="Times New Roman" w:hAnsi="Times New Roman" w:cs="Times New Roman"/>
          <w:color w:val="0000FF"/>
        </w:rPr>
        <w:t xml:space="preserve">I also revised the </w:t>
      </w:r>
      <w:r w:rsidR="00D95858">
        <w:rPr>
          <w:rFonts w:ascii="Times New Roman" w:hAnsi="Times New Roman" w:cs="Times New Roman"/>
          <w:color w:val="0000FF"/>
        </w:rPr>
        <w:t>discussion of the calibration</w:t>
      </w:r>
      <w:r w:rsidR="00662D76">
        <w:rPr>
          <w:rFonts w:ascii="Times New Roman" w:hAnsi="Times New Roman" w:cs="Times New Roman"/>
          <w:color w:val="0000FF"/>
        </w:rPr>
        <w:t xml:space="preserve"> </w:t>
      </w:r>
      <w:r w:rsid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662D76">
        <w:rPr>
          <w:rFonts w:ascii="Times New Roman" w:hAnsi="Times New Roman" w:cs="Times New Roman"/>
          <w:b/>
          <w:bCs/>
          <w:color w:val="0000FF"/>
        </w:rPr>
        <w:t>p.20</w:t>
      </w:r>
      <w:r w:rsidR="00620642">
        <w:rPr>
          <w:rFonts w:ascii="Times New Roman" w:hAnsi="Times New Roman" w:cs="Times New Roman"/>
          <w:b/>
          <w:bCs/>
          <w:color w:val="0000FF"/>
        </w:rPr>
        <w:t>,</w:t>
      </w:r>
      <w:r w:rsidR="00662D76">
        <w:rPr>
          <w:rFonts w:ascii="Times New Roman" w:hAnsi="Times New Roman" w:cs="Times New Roman"/>
          <w:b/>
          <w:bCs/>
          <w:color w:val="0000FF"/>
        </w:rPr>
        <w:t xml:space="preserve"> the two paragraphs starting “</w:t>
      </w:r>
      <w:r w:rsidR="00662D76" w:rsidRPr="00662D76">
        <w:rPr>
          <w:rFonts w:ascii="Times New Roman" w:hAnsi="Times New Roman" w:cs="Times New Roman"/>
          <w:b/>
          <w:bCs/>
          <w:color w:val="0000FF"/>
        </w:rPr>
        <w:t xml:space="preserve">The top-left plot in Figure </w:t>
      </w:r>
      <w:r w:rsidR="00662D76">
        <w:rPr>
          <w:rFonts w:ascii="Times New Roman" w:hAnsi="Times New Roman" w:cs="Times New Roman"/>
          <w:b/>
          <w:bCs/>
          <w:color w:val="0000FF"/>
        </w:rPr>
        <w:t xml:space="preserve">2, </w:t>
      </w:r>
      <w:r w:rsidR="00662D76" w:rsidRPr="00662D76">
        <w:rPr>
          <w:rFonts w:ascii="Times New Roman" w:hAnsi="Times New Roman" w:cs="Times New Roman"/>
          <w:b/>
          <w:bCs/>
          <w:color w:val="0000FF"/>
        </w:rPr>
        <w:t xml:space="preserve">Panel A shows that..” </w:t>
      </w:r>
      <w:r w:rsidR="00662D76" w:rsidRPr="00141F18">
        <w:rPr>
          <w:rFonts w:ascii="Times New Roman" w:hAnsi="Times New Roman" w:cs="Times New Roman"/>
          <w:color w:val="0000FF"/>
        </w:rPr>
        <w:t xml:space="preserve">and </w:t>
      </w:r>
      <w:r w:rsidR="00620642" w:rsidRPr="00141F18">
        <w:rPr>
          <w:rFonts w:ascii="Times New Roman" w:hAnsi="Times New Roman" w:cs="Times New Roman"/>
          <w:color w:val="0000FF"/>
        </w:rPr>
        <w:t>the</w:t>
      </w:r>
      <w:r w:rsidR="00620642">
        <w:rPr>
          <w:rFonts w:ascii="Times New Roman" w:hAnsi="Times New Roman" w:cs="Times New Roman"/>
          <w:b/>
          <w:bCs/>
          <w:color w:val="0000FF"/>
        </w:rPr>
        <w:t xml:space="preserve"> new </w:t>
      </w:r>
      <w:r w:rsidR="00662D76" w:rsidRPr="00662D76">
        <w:rPr>
          <w:rFonts w:ascii="Times New Roman" w:hAnsi="Times New Roman" w:cs="Times New Roman"/>
          <w:b/>
          <w:bCs/>
          <w:color w:val="0000FF"/>
        </w:rPr>
        <w:t>footnote 14 on the same page).</w:t>
      </w:r>
      <w:r w:rsidR="00662D76">
        <w:t xml:space="preserve"> </w:t>
      </w:r>
    </w:p>
    <w:p w14:paraId="35E21B11" w14:textId="77777777" w:rsidR="00C56EE6" w:rsidRDefault="00C56EE6" w:rsidP="00580590">
      <w:pPr>
        <w:widowControl w:val="0"/>
        <w:autoSpaceDE w:val="0"/>
        <w:autoSpaceDN w:val="0"/>
        <w:adjustRightInd w:val="0"/>
        <w:spacing w:after="0" w:line="240" w:lineRule="auto"/>
        <w:jc w:val="both"/>
        <w:rPr>
          <w:rFonts w:ascii="Times New Roman" w:hAnsi="Times New Roman" w:cs="Times New Roman"/>
          <w:color w:val="0000FF"/>
        </w:rPr>
      </w:pPr>
    </w:p>
    <w:p w14:paraId="0880F358" w14:textId="6E879B35" w:rsidR="00795B17" w:rsidRDefault="00795B17" w:rsidP="00795B17">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Following your suggestion, I also computed the changes in parameters necessary to replicate the 1980s bond-stock betas starting from the 2000s calibration. The revised manuscript contains these results in the </w:t>
      </w:r>
      <w:r w:rsidRPr="00066045">
        <w:rPr>
          <w:rFonts w:ascii="Times New Roman" w:hAnsi="Times New Roman" w:cs="Times New Roman"/>
          <w:b/>
          <w:bCs/>
          <w:color w:val="0000FF"/>
        </w:rPr>
        <w:t>new Figure 8</w:t>
      </w:r>
      <w:r>
        <w:rPr>
          <w:rFonts w:ascii="Times New Roman" w:hAnsi="Times New Roman" w:cs="Times New Roman"/>
          <w:color w:val="0000FF"/>
        </w:rPr>
        <w:t xml:space="preserve">. 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Pr="00C2376C">
        <w:rPr>
          <w:rFonts w:ascii="Times New Roman" w:hAnsi="Times New Roman" w:cs="Times New Roman"/>
          <w:b/>
          <w:bCs/>
          <w:color w:val="0000FF"/>
        </w:rPr>
        <w:t>new Section 4.4</w:t>
      </w:r>
      <w:r>
        <w:rPr>
          <w:rFonts w:ascii="Times New Roman" w:hAnsi="Times New Roman" w:cs="Times New Roman"/>
          <w:color w:val="0000FF"/>
        </w:rPr>
        <w:t xml:space="preserve"> </w:t>
      </w:r>
      <w:r w:rsidRPr="00C2376C">
        <w:rPr>
          <w:rFonts w:ascii="Times New Roman" w:hAnsi="Times New Roman" w:cs="Times New Roman"/>
          <w:b/>
          <w:bCs/>
          <w:color w:val="0000FF"/>
        </w:rPr>
        <w:t>(pp.32-35)</w:t>
      </w:r>
      <w:r>
        <w:rPr>
          <w:rFonts w:ascii="Times New Roman" w:hAnsi="Times New Roman" w:cs="Times New Roman"/>
          <w:color w:val="0000FF"/>
        </w:rPr>
        <w:t xml:space="preserve"> in the manuscript.</w:t>
      </w:r>
    </w:p>
    <w:p w14:paraId="3A44B2F4" w14:textId="77777777" w:rsidR="00F663DA" w:rsidRDefault="00F663DA" w:rsidP="00F3082E">
      <w:pPr>
        <w:autoSpaceDE w:val="0"/>
        <w:autoSpaceDN w:val="0"/>
        <w:adjustRightInd w:val="0"/>
        <w:spacing w:after="0" w:line="240" w:lineRule="auto"/>
        <w:rPr>
          <w:rFonts w:ascii="Times New Roman" w:hAnsi="Times New Roman" w:cs="Times New Roman"/>
          <w:color w:val="0000FF"/>
        </w:rPr>
      </w:pPr>
    </w:p>
    <w:p w14:paraId="4E9A78F1" w14:textId="636A6CC0" w:rsidR="00911C0D" w:rsidRDefault="003B3B7A" w:rsidP="00F45B94">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w:t>
      </w:r>
      <w:r w:rsidR="00ED3580">
        <w:rPr>
          <w:rFonts w:ascii="Times New Roman" w:hAnsi="Times New Roman" w:cs="Times New Roman"/>
          <w:color w:val="0000FF"/>
        </w:rPr>
        <w:t>refrained from</w:t>
      </w:r>
      <w:r>
        <w:rPr>
          <w:rFonts w:ascii="Times New Roman" w:hAnsi="Times New Roman" w:cs="Times New Roman"/>
          <w:color w:val="0000FF"/>
        </w:rPr>
        <w:t xml:space="preserve"> calibrating the model </w:t>
      </w:r>
      <w:r w:rsidR="00F45B94">
        <w:rPr>
          <w:rFonts w:ascii="Times New Roman" w:hAnsi="Times New Roman" w:cs="Times New Roman"/>
          <w:color w:val="0000FF"/>
        </w:rPr>
        <w:t>to the 1970s</w:t>
      </w:r>
      <w:r w:rsidR="00ED3580">
        <w:rPr>
          <w:rFonts w:ascii="Times New Roman" w:hAnsi="Times New Roman" w:cs="Times New Roman"/>
          <w:color w:val="0000FF"/>
        </w:rPr>
        <w:t xml:space="preserve"> period</w:t>
      </w:r>
      <w:r>
        <w:rPr>
          <w:rFonts w:ascii="Times New Roman" w:hAnsi="Times New Roman" w:cs="Times New Roman"/>
          <w:color w:val="0000FF"/>
        </w:rPr>
        <w:t>. While I agree that this was plausibly a period of substantial supply shock volatility, monetary policy during the 1970s was more complicated, which would complicate the analysis. In particular,</w:t>
      </w:r>
      <w:r w:rsidR="00F3082E">
        <w:rPr>
          <w:rFonts w:ascii="Times New Roman" w:hAnsi="Times New Roman" w:cs="Times New Roman"/>
          <w:color w:val="0000FF"/>
        </w:rPr>
        <w:t xml:space="preserve"> </w:t>
      </w:r>
      <w:r>
        <w:rPr>
          <w:rFonts w:ascii="Times New Roman" w:hAnsi="Times New Roman" w:cs="Times New Roman"/>
          <w:color w:val="0000FF"/>
        </w:rPr>
        <w:t xml:space="preserve">it has been argued that monetary policy was insufficiently responsive to inflation </w:t>
      </w:r>
      <w:r w:rsidR="00201878">
        <w:rPr>
          <w:rFonts w:ascii="Times New Roman" w:hAnsi="Times New Roman" w:cs="Times New Roman"/>
          <w:color w:val="0000FF"/>
        </w:rPr>
        <w:t>during the 1970s</w:t>
      </w:r>
      <w:r>
        <w:rPr>
          <w:rFonts w:ascii="Times New Roman" w:hAnsi="Times New Roman" w:cs="Times New Roman"/>
          <w:color w:val="0000FF"/>
        </w:rPr>
        <w:t xml:space="preserve">, opening up </w:t>
      </w:r>
      <w:r w:rsidR="00F45B94" w:rsidRPr="00337A40">
        <w:rPr>
          <w:rFonts w:ascii="Times New Roman" w:hAnsi="Times New Roman" w:cs="Times New Roman"/>
          <w:color w:val="0000FF"/>
        </w:rPr>
        <w:t>economy to self-fulfilling sunspots</w:t>
      </w:r>
      <w:r w:rsidR="00F45B94">
        <w:rPr>
          <w:rFonts w:ascii="Times New Roman" w:hAnsi="Times New Roman" w:cs="Times New Roman"/>
          <w:color w:val="0000FF"/>
        </w:rPr>
        <w:t xml:space="preserve"> or “inflation scares” </w:t>
      </w:r>
      <w:r w:rsidR="00F45B94" w:rsidRPr="00337A40">
        <w:rPr>
          <w:rFonts w:ascii="Times New Roman" w:hAnsi="Times New Roman" w:cs="Times New Roman"/>
          <w:color w:val="0000FF"/>
        </w:rPr>
        <w:t>(Clarida, Gali, and Gertler (1999), Goodfriend (2007))</w:t>
      </w:r>
      <w:r w:rsidR="00F45B94">
        <w:rPr>
          <w:rFonts w:ascii="Times New Roman" w:hAnsi="Times New Roman" w:cs="Times New Roman"/>
          <w:color w:val="0000FF"/>
        </w:rPr>
        <w:t xml:space="preserve">. </w:t>
      </w:r>
      <w:r>
        <w:rPr>
          <w:rFonts w:ascii="Times New Roman" w:hAnsi="Times New Roman" w:cs="Times New Roman"/>
          <w:color w:val="0000FF"/>
        </w:rPr>
        <w:t xml:space="preserve">While important, these issues are beyond the scope of this paper. The 1980s hence provide an ideal calibration period for </w:t>
      </w:r>
      <w:r w:rsidR="00D861F4">
        <w:rPr>
          <w:rFonts w:ascii="Times New Roman" w:hAnsi="Times New Roman" w:cs="Times New Roman"/>
          <w:color w:val="0000FF"/>
        </w:rPr>
        <w:t>this paper</w:t>
      </w:r>
      <w:r>
        <w:rPr>
          <w:rFonts w:ascii="Times New Roman" w:hAnsi="Times New Roman" w:cs="Times New Roman"/>
          <w:color w:val="0000FF"/>
        </w:rPr>
        <w:t xml:space="preserve">, as </w:t>
      </w:r>
      <w:r w:rsidR="00D861F4">
        <w:rPr>
          <w:rFonts w:ascii="Times New Roman" w:hAnsi="Times New Roman" w:cs="Times New Roman"/>
          <w:color w:val="0000FF"/>
        </w:rPr>
        <w:t>this period</w:t>
      </w:r>
      <w:r>
        <w:rPr>
          <w:rFonts w:ascii="Times New Roman" w:hAnsi="Times New Roman" w:cs="Times New Roman"/>
          <w:color w:val="0000FF"/>
        </w:rPr>
        <w:t xml:space="preserve"> featured substantial supply shock uncertainty and a sufficiently inflation-responsive monetary policy rule</w:t>
      </w:r>
      <w:r w:rsidR="00D861F4">
        <w:rPr>
          <w:rFonts w:ascii="Times New Roman" w:hAnsi="Times New Roman" w:cs="Times New Roman"/>
          <w:color w:val="0000FF"/>
        </w:rPr>
        <w:t>, thereby</w:t>
      </w:r>
      <w:r w:rsidR="00F45B94">
        <w:rPr>
          <w:rFonts w:ascii="Times New Roman" w:hAnsi="Times New Roman" w:cs="Times New Roman"/>
          <w:color w:val="0000FF"/>
        </w:rPr>
        <w:t xml:space="preserve"> sidestepping the issue of sunspots and self-fulfilling inflation expectations.  </w:t>
      </w:r>
    </w:p>
    <w:p w14:paraId="2E1FD2B1" w14:textId="77777777" w:rsidR="00911C0D" w:rsidRDefault="00911C0D" w:rsidP="00F45B94">
      <w:pPr>
        <w:autoSpaceDE w:val="0"/>
        <w:autoSpaceDN w:val="0"/>
        <w:adjustRightInd w:val="0"/>
        <w:spacing w:after="0" w:line="240" w:lineRule="auto"/>
        <w:rPr>
          <w:rFonts w:ascii="Times New Roman" w:hAnsi="Times New Roman" w:cs="Times New Roman"/>
          <w:color w:val="0000FF"/>
        </w:rPr>
      </w:pPr>
    </w:p>
    <w:p w14:paraId="33E535E8" w14:textId="77777777" w:rsidR="00911C0D" w:rsidRDefault="00911C0D" w:rsidP="00F45B94">
      <w:pPr>
        <w:autoSpaceDE w:val="0"/>
        <w:autoSpaceDN w:val="0"/>
        <w:adjustRightInd w:val="0"/>
        <w:spacing w:after="0" w:line="240" w:lineRule="auto"/>
        <w:rPr>
          <w:rFonts w:ascii="Times New Roman" w:hAnsi="Times New Roman" w:cs="Times New Roman"/>
          <w:color w:val="0000FF"/>
        </w:rPr>
      </w:pPr>
    </w:p>
    <w:p w14:paraId="166D6805" w14:textId="62BD785E" w:rsidR="00911C0D" w:rsidRPr="00911C0D" w:rsidRDefault="00911C0D" w:rsidP="00911C0D">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 Nominal Bond-Stock Beta vs. 1980s Bond-Stock Beta</w:t>
      </w:r>
    </w:p>
    <w:p w14:paraId="2FC6BBE8" w14:textId="65409327" w:rsidR="00911C0D" w:rsidRPr="00911C0D" w:rsidRDefault="00911C0D" w:rsidP="00911C0D">
      <w:pPr>
        <w:autoSpaceDE w:val="0"/>
        <w:autoSpaceDN w:val="0"/>
        <w:adjustRightInd w:val="0"/>
        <w:spacing w:after="0" w:line="240" w:lineRule="auto"/>
        <w:jc w:val="center"/>
        <w:rPr>
          <w:rFonts w:ascii="Times New Roman" w:hAnsi="Times New Roman" w:cs="Times New Roman"/>
          <w:b/>
          <w:bCs/>
        </w:rPr>
      </w:pPr>
      <w:r w:rsidRPr="00911C0D">
        <w:rPr>
          <w:b/>
          <w:bCs/>
        </w:rPr>
        <w:lastRenderedPageBreak/>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2E37F509" w14:textId="77777777" w:rsidR="00911C0D" w:rsidRDefault="00911C0D" w:rsidP="00F45B94">
      <w:pPr>
        <w:autoSpaceDE w:val="0"/>
        <w:autoSpaceDN w:val="0"/>
        <w:adjustRightInd w:val="0"/>
        <w:spacing w:after="0" w:line="240" w:lineRule="auto"/>
        <w:rPr>
          <w:rFonts w:ascii="Times New Roman" w:hAnsi="Times New Roman" w:cs="Times New Roman"/>
          <w:color w:val="0000FF"/>
        </w:rPr>
      </w:pPr>
    </w:p>
    <w:p w14:paraId="24E15F37" w14:textId="23DCB79D" w:rsidR="00911C0D" w:rsidRDefault="00911C0D" w:rsidP="00F45B94">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08143A7B" wp14:editId="657CB9A1">
            <wp:extent cx="5334000" cy="4000500"/>
            <wp:effectExtent l="0" t="0" r="0" b="0"/>
            <wp:docPr id="7315011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3FC3F4C" w14:textId="77777777" w:rsidR="00F45B94" w:rsidRDefault="00F45B94"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69025C2B" w14:textId="41237964" w:rsidR="008925ED"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9C109E">
        <w:rPr>
          <w:rFonts w:ascii="Times New Roman" w:hAnsi="Times New Roman" w:cs="Times New Roman"/>
          <w:color w:val="0000FF"/>
        </w:rPr>
        <w:t xml:space="preserve">Thank you for these comments. I substantially refined and extended the discussion of recent events and developments in bond-stock betas in the revised manuscript. One key point that I now emphasize is that while the Fed was expected to keep interest rates constant at the zero-lower-bound during the initial run-up of inflation during 2021, later in 2022 and 2023 the Fed responded strongly to inflation, as you and the referee mention. This change in the monetary policy rule provides another test of my model, which would predict that nominal and real bond-stock betas should be positive, and nominal betas should be more positive than real bond betas, if supply shocks are expected to be dominant and monetary policy responds strongly to inflation. Consistent with this prediction, I find </w:t>
      </w:r>
      <w:r w:rsidR="009C109E">
        <w:rPr>
          <w:rFonts w:ascii="Times New Roman" w:hAnsi="Times New Roman" w:cs="Times New Roman"/>
          <w:color w:val="0000FF"/>
        </w:rPr>
        <w:lastRenderedPageBreak/>
        <w:t xml:space="preserve">that bond-stock betas changed in 2022.Q4 and became positive, with significantly positive breakeven-stock beta for the first time since the pandemic (see Table 3). </w:t>
      </w:r>
      <w:r w:rsidR="008925ED">
        <w:rPr>
          <w:rFonts w:ascii="Times New Roman" w:hAnsi="Times New Roman" w:cs="Times New Roman"/>
          <w:color w:val="0000FF"/>
        </w:rPr>
        <w:t xml:space="preserve">Table 3 also shows that if I try to find the historical shock regime and the monetary policy rule that most closely replicates the nominal and real bond-stock betas in 2022.Q4, the implied monetary policy rule is similar to the first part of the sample, exactly as you conjectured. Hence, the model interpretation of changing bond-stock betas during the post-pandemic period is exactly consistent with the anecdotal evidence that the Fed initially took a “wait-and-see” approach, but eventually switched to a much stronger Taylor inflation coefficient. </w:t>
      </w:r>
    </w:p>
    <w:p w14:paraId="7977276E" w14:textId="58CD253E" w:rsidR="008925ED" w:rsidRDefault="008925ED"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My complementary paper </w:t>
      </w:r>
      <w:r w:rsidRPr="00E81D4B">
        <w:rPr>
          <w:rFonts w:ascii="Times New Roman" w:hAnsi="Times New Roman" w:cs="Times New Roman"/>
          <w:color w:val="0000FF"/>
        </w:rPr>
        <w:t>“</w:t>
      </w:r>
      <w:hyperlink r:id="rId16" w:tgtFrame="_blank" w:history="1">
        <w:r w:rsidRPr="00A6114B">
          <w:rPr>
            <w:rStyle w:val="Hyperlink"/>
            <w:rFonts w:ascii="Times New Roman" w:hAnsi="Times New Roman" w:cs="Times New Roman"/>
          </w:rPr>
          <w:t xml:space="preserve">Changing Perceptions and Post-Pandemic Monetary Policy” with Michael Bauer and Adi </w:t>
        </w:r>
        <w:proofErr w:type="spellStart"/>
        <w:r w:rsidRPr="00A6114B">
          <w:rPr>
            <w:rStyle w:val="Hyperlink"/>
            <w:rFonts w:ascii="Times New Roman" w:hAnsi="Times New Roman" w:cs="Times New Roman"/>
          </w:rPr>
          <w:t>Sunderam</w:t>
        </w:r>
        <w:proofErr w:type="spellEnd"/>
        <w:r w:rsidRPr="00A6114B">
          <w:rPr>
            <w:rStyle w:val="Hyperlink"/>
            <w:rFonts w:ascii="Times New Roman" w:hAnsi="Times New Roman" w:cs="Times New Roman"/>
          </w:rPr>
          <w:t>,</w:t>
        </w:r>
      </w:hyperlink>
      <w:r>
        <w:rPr>
          <w:rFonts w:ascii="Times New Roman" w:hAnsi="Times New Roman" w:cs="Times New Roman"/>
          <w:color w:val="0000FF"/>
        </w:rPr>
        <w:t xml:space="preserve"> prepared for the 2024 Jackson Hole forum, complements this anecdotal evidence by that the perceived Taylor rule coefficient on inflation changed substantially later than the run-up in inflation, and provides more precise evidence of the timing.</w:t>
      </w:r>
      <w:r>
        <w:rPr>
          <w:rStyle w:val="FootnoteReference"/>
          <w:rFonts w:ascii="Times New Roman" w:hAnsi="Times New Roman" w:cs="Times New Roman"/>
          <w:color w:val="0000FF"/>
        </w:rPr>
        <w:footnoteReference w:id="1"/>
      </w:r>
      <w:r>
        <w:rPr>
          <w:rFonts w:ascii="Times New Roman" w:hAnsi="Times New Roman" w:cs="Times New Roman"/>
          <w:color w:val="0000FF"/>
        </w:rPr>
        <w:t xml:space="preserve"> In summary, the empirical evidence in that paper finds that the monetary policy inflation coefficient was low throughout 2021, started rising slowly when the Fed lifted off from zero in March 2022, and continued rising towards its peak in late 202</w:t>
      </w:r>
      <w:r w:rsidR="00660FBB">
        <w:rPr>
          <w:rFonts w:ascii="Times New Roman" w:hAnsi="Times New Roman" w:cs="Times New Roman"/>
          <w:color w:val="0000FF"/>
        </w:rPr>
        <w:t>3</w:t>
      </w:r>
      <w:r>
        <w:rPr>
          <w:rFonts w:ascii="Times New Roman" w:hAnsi="Times New Roman" w:cs="Times New Roman"/>
          <w:color w:val="0000FF"/>
        </w:rPr>
        <w:t xml:space="preserve">. </w:t>
      </w:r>
    </w:p>
    <w:p w14:paraId="4FAE2725" w14:textId="5F19C5C7" w:rsidR="00D75861" w:rsidRPr="00EC4301" w:rsidRDefault="009F67C7" w:rsidP="00EC4301">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updated discussion of recent events can be found in the paper </w:t>
      </w:r>
      <w:r w:rsidR="00EC4301">
        <w:rPr>
          <w:rFonts w:ascii="Times New Roman" w:hAnsi="Times New Roman" w:cs="Times New Roman"/>
          <w:color w:val="0000FF"/>
        </w:rPr>
        <w:t xml:space="preserve">in the </w:t>
      </w:r>
      <w:r w:rsidR="00EC4301" w:rsidRPr="00EC4301">
        <w:rPr>
          <w:rFonts w:ascii="Times New Roman" w:hAnsi="Times New Roman" w:cs="Times New Roman"/>
          <w:b/>
          <w:bCs/>
          <w:color w:val="0000FF"/>
        </w:rPr>
        <w:t xml:space="preserve">new Section 5 starting </w:t>
      </w:r>
      <w:proofErr w:type="spellStart"/>
      <w:r w:rsidR="00092EE9">
        <w:rPr>
          <w:rFonts w:ascii="Times New Roman" w:hAnsi="Times New Roman" w:cs="Times New Roman"/>
          <w:b/>
          <w:bCs/>
          <w:color w:val="0000FF"/>
        </w:rPr>
        <w:t>ppXX</w:t>
      </w:r>
      <w:proofErr w:type="spellEnd"/>
      <w:r w:rsidR="00092EE9">
        <w:rPr>
          <w:rFonts w:ascii="Times New Roman" w:hAnsi="Times New Roman" w:cs="Times New Roman"/>
          <w:b/>
          <w:bCs/>
          <w:color w:val="0000FF"/>
        </w:rPr>
        <w:t>-XX.</w:t>
      </w:r>
    </w:p>
    <w:p w14:paraId="666E95C9" w14:textId="38D8A41C" w:rsidR="00D75861" w:rsidRPr="00D75861" w:rsidRDefault="00D75861" w:rsidP="00D75861">
      <w:pPr>
        <w:autoSpaceDE w:val="0"/>
        <w:autoSpaceDN w:val="0"/>
        <w:adjustRightInd w:val="0"/>
        <w:spacing w:after="0" w:line="240" w:lineRule="auto"/>
        <w:jc w:val="center"/>
        <w:rPr>
          <w:rFonts w:ascii="Times New Roman" w:hAnsi="Times New Roman" w:cs="Times New Roman"/>
          <w:color w:val="0000FF"/>
          <w:sz w:val="28"/>
          <w:szCs w:val="28"/>
        </w:rPr>
      </w:pPr>
      <w:r w:rsidRPr="00D75861">
        <w:rPr>
          <w:rFonts w:ascii="Times New Roman" w:hAnsi="Times New Roman" w:cs="Times New Roman"/>
          <w:color w:val="0000FF"/>
          <w:sz w:val="28"/>
          <w:szCs w:val="28"/>
        </w:rPr>
        <w:t>REFERENCES</w:t>
      </w:r>
    </w:p>
    <w:p w14:paraId="2B58A2C7" w14:textId="77777777" w:rsidR="00D75861" w:rsidRDefault="00D75861" w:rsidP="00C10E55">
      <w:pPr>
        <w:autoSpaceDE w:val="0"/>
        <w:autoSpaceDN w:val="0"/>
        <w:adjustRightInd w:val="0"/>
        <w:spacing w:after="0" w:line="240" w:lineRule="auto"/>
        <w:jc w:val="both"/>
        <w:rPr>
          <w:rFonts w:ascii="Times New Roman" w:hAnsi="Times New Roman" w:cs="Times New Roman"/>
          <w:color w:val="0000FF"/>
        </w:rPr>
      </w:pPr>
    </w:p>
    <w:p w14:paraId="04B68A78" w14:textId="3F08CEF0" w:rsidR="00D75861" w:rsidRDefault="00D75861" w:rsidP="00D75861">
      <w:pPr>
        <w:autoSpaceDE w:val="0"/>
        <w:autoSpaceDN w:val="0"/>
        <w:adjustRightInd w:val="0"/>
        <w:spacing w:after="0" w:line="240" w:lineRule="auto"/>
        <w:ind w:left="360"/>
        <w:jc w:val="both"/>
        <w:rPr>
          <w:rFonts w:ascii="Times New Roman" w:hAnsi="Times New Roman" w:cs="Times New Roman"/>
          <w:color w:val="0000FF"/>
        </w:rPr>
      </w:pPr>
      <w:r w:rsidRPr="00D75861">
        <w:rPr>
          <w:rFonts w:ascii="Times New Roman" w:hAnsi="Times New Roman" w:cs="Times New Roman"/>
          <w:color w:val="0000FF"/>
        </w:rPr>
        <w:t xml:space="preserve">Gately, Dermot, M. A. Adelman, and James M. Griffin. "Lessons from the 1986 </w:t>
      </w:r>
      <w:r w:rsidR="00540D7A">
        <w:rPr>
          <w:rFonts w:ascii="Times New Roman" w:hAnsi="Times New Roman" w:cs="Times New Roman"/>
          <w:color w:val="0000FF"/>
        </w:rPr>
        <w:t>O</w:t>
      </w:r>
      <w:r w:rsidRPr="00D75861">
        <w:rPr>
          <w:rFonts w:ascii="Times New Roman" w:hAnsi="Times New Roman" w:cs="Times New Roman"/>
          <w:color w:val="0000FF"/>
        </w:rPr>
        <w:t xml:space="preserve">il </w:t>
      </w:r>
      <w:r w:rsidR="00540D7A">
        <w:rPr>
          <w:rFonts w:ascii="Times New Roman" w:hAnsi="Times New Roman" w:cs="Times New Roman"/>
          <w:color w:val="0000FF"/>
        </w:rPr>
        <w:t>P</w:t>
      </w:r>
      <w:r w:rsidRPr="00D75861">
        <w:rPr>
          <w:rFonts w:ascii="Times New Roman" w:hAnsi="Times New Roman" w:cs="Times New Roman"/>
          <w:color w:val="0000FF"/>
        </w:rPr>
        <w:t xml:space="preserve">rice </w:t>
      </w:r>
      <w:r w:rsidR="00540D7A">
        <w:rPr>
          <w:rFonts w:ascii="Times New Roman" w:hAnsi="Times New Roman" w:cs="Times New Roman"/>
          <w:color w:val="0000FF"/>
        </w:rPr>
        <w:t>C</w:t>
      </w:r>
      <w:r w:rsidRPr="00D75861">
        <w:rPr>
          <w:rFonts w:ascii="Times New Roman" w:hAnsi="Times New Roman" w:cs="Times New Roman"/>
          <w:color w:val="0000FF"/>
        </w:rPr>
        <w:t>ollapse" Brookings Papers on Economic Activity 1986.2:237-284.</w:t>
      </w:r>
    </w:p>
    <w:p w14:paraId="0270D08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6511DE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7078E0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DA863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AE67A6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E6E52B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ADBF80E" w14:textId="77777777" w:rsidR="00F303D9" w:rsidRDefault="00F303D9" w:rsidP="008729B2">
      <w:pPr>
        <w:autoSpaceDE w:val="0"/>
        <w:autoSpaceDN w:val="0"/>
        <w:adjustRightInd w:val="0"/>
        <w:spacing w:after="0" w:line="240" w:lineRule="auto"/>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1128C648"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useful comments. I addressed them following the AE’s guidance </w:t>
      </w:r>
      <w:r w:rsidR="000E1941">
        <w:rPr>
          <w:rFonts w:ascii="Times New Roman" w:hAnsi="Times New Roman" w:cs="Times New Roman"/>
          <w:color w:val="0000FF"/>
        </w:rPr>
        <w:t xml:space="preserve">and believe that this has made the manuscript stronger and clearer. I include detailed point-by-point responses to your comments below. </w:t>
      </w:r>
    </w:p>
    <w:p w14:paraId="3AF6FC07" w14:textId="77777777" w:rsidR="00F303D9" w:rsidRDefault="00F303D9" w:rsidP="00F303D9">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really structural or not very </w:t>
      </w:r>
      <w:r>
        <w:rPr>
          <w:rFonts w:ascii="Times New Roman" w:hAnsi="Times New Roman" w:cs="Times New Roman" w:hint="eastAsia"/>
        </w:rPr>
        <w:lastRenderedPageBreak/>
        <w:t>convincing. Specifically:</w:t>
      </w:r>
    </w:p>
    <w:p w14:paraId="256CB03F" w14:textId="77777777" w:rsidR="00F303D9"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rules (although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2DB54F16" w14:textId="77777777" w:rsidR="00F303D9"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p>
    <w:p w14:paraId="20961839" w14:textId="77777777" w:rsidR="00552B46"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curve with backward and forward looking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392BF7C2" w14:textId="77777777" w:rsidR="00552B46" w:rsidRPr="00552B46" w:rsidRDefault="00552B46" w:rsidP="00552B46">
      <w:pPr>
        <w:pStyle w:val="ListParagraph"/>
        <w:rPr>
          <w:rFonts w:ascii="Times New Roman" w:hAnsi="Times New Roman" w:cs="Times New Roman"/>
        </w:rPr>
      </w:pPr>
    </w:p>
    <w:p w14:paraId="609B9C3E" w14:textId="548FACCA" w:rsidR="000E1941" w:rsidRPr="00552B46"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r w:rsidRPr="00552B46">
        <w:rPr>
          <w:rFonts w:ascii="Times New Roman" w:hAnsi="Times New Roman" w:cs="Times New Roman"/>
        </w:rPr>
        <w:t>To be clear, I like simple models. However, the model should be constructed</w:t>
      </w:r>
      <w:r w:rsidRPr="00552B46">
        <w:rPr>
          <w:rFonts w:ascii="Times New Roman" w:hAnsi="Times New Roman" w:cs="Times New Roman" w:hint="eastAsia"/>
        </w:rPr>
        <w:t xml:space="preserve"> </w:t>
      </w:r>
      <w:r w:rsidRPr="00552B46">
        <w:rPr>
          <w:rFonts w:ascii="Times New Roman" w:hAnsi="Times New Roman" w:cs="Times New Roman"/>
        </w:rPr>
        <w:t>with a goal of explaining a particular set of facts. We can then evaluate the</w:t>
      </w:r>
      <w:r w:rsidRPr="00552B46">
        <w:rPr>
          <w:rFonts w:ascii="Times New Roman" w:hAnsi="Times New Roman" w:cs="Times New Roman" w:hint="eastAsia"/>
        </w:rPr>
        <w:t xml:space="preserve"> </w:t>
      </w:r>
      <w:r w:rsidRPr="00552B46">
        <w:rPr>
          <w:rFonts w:ascii="Times New Roman" w:hAnsi="Times New Roman" w:cs="Times New Roman"/>
        </w:rPr>
        <w:t>model based on how well it explains the facts and whether the simplifying</w:t>
      </w:r>
      <w:r w:rsidRPr="00552B46">
        <w:rPr>
          <w:rFonts w:ascii="Times New Roman" w:hAnsi="Times New Roman" w:cs="Times New Roman" w:hint="eastAsia"/>
        </w:rPr>
        <w:t xml:space="preserve"> </w:t>
      </w:r>
      <w:r w:rsidRPr="00552B46">
        <w:rPr>
          <w:rFonts w:ascii="Times New Roman" w:hAnsi="Times New Roman" w:cs="Times New Roman"/>
        </w:rPr>
        <w:t>assumptions are justi</w:t>
      </w:r>
      <w:r w:rsidRPr="00552B46">
        <w:rPr>
          <w:rFonts w:ascii="Times New Roman" w:hAnsi="Times New Roman" w:cs="Times New Roman" w:hint="eastAsia"/>
        </w:rPr>
        <w:t>fi</w:t>
      </w:r>
      <w:r w:rsidRPr="00552B46">
        <w:rPr>
          <w:rFonts w:ascii="Times New Roman" w:hAnsi="Times New Roman" w:cs="Times New Roman"/>
        </w:rPr>
        <w:t>ed. This gets me to my second point.</w:t>
      </w:r>
    </w:p>
    <w:p w14:paraId="7107BC08" w14:textId="308E1402"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w:t>
      </w:r>
      <w:r w:rsidR="00A7692B">
        <w:rPr>
          <w:rFonts w:ascii="Times New Roman" w:hAnsi="Times New Roman" w:cs="Times New Roman"/>
          <w:color w:val="0000FF"/>
        </w:rPr>
        <w:t xml:space="preserve">agree that the </w:t>
      </w:r>
      <w:r>
        <w:rPr>
          <w:rFonts w:ascii="Times New Roman" w:hAnsi="Times New Roman" w:cs="Times New Roman"/>
          <w:color w:val="0000FF"/>
        </w:rPr>
        <w:t xml:space="preserve">distinction between the present manuscript and CPV </w:t>
      </w:r>
      <w:r w:rsidR="00A7692B">
        <w:rPr>
          <w:rFonts w:ascii="Times New Roman" w:hAnsi="Times New Roman" w:cs="Times New Roman"/>
          <w:color w:val="0000FF"/>
        </w:rPr>
        <w:t>is crucial</w:t>
      </w:r>
      <w:r w:rsidR="007A1F01">
        <w:rPr>
          <w:rFonts w:ascii="Times New Roman" w:hAnsi="Times New Roman" w:cs="Times New Roman"/>
          <w:color w:val="0000FF"/>
        </w:rPr>
        <w:t>,</w:t>
      </w:r>
      <w:r w:rsidR="00A7692B">
        <w:rPr>
          <w:rFonts w:ascii="Times New Roman" w:hAnsi="Times New Roman" w:cs="Times New Roman"/>
          <w:color w:val="0000FF"/>
        </w:rPr>
        <w:t xml:space="preserve"> and apologize if </w:t>
      </w:r>
      <w:r w:rsidR="007A1F01">
        <w:rPr>
          <w:rFonts w:ascii="Times New Roman" w:hAnsi="Times New Roman" w:cs="Times New Roman"/>
          <w:color w:val="0000FF"/>
        </w:rPr>
        <w:t>the prior version of this paper was insufficiently clear</w:t>
      </w:r>
      <w:r w:rsidR="00A7692B">
        <w:rPr>
          <w:rFonts w:ascii="Times New Roman" w:hAnsi="Times New Roman" w:cs="Times New Roman"/>
          <w:color w:val="0000FF"/>
        </w:rPr>
        <w:t xml:space="preserve">. </w:t>
      </w:r>
      <w:r>
        <w:rPr>
          <w:rFonts w:ascii="Times New Roman" w:hAnsi="Times New Roman" w:cs="Times New Roman"/>
          <w:color w:val="0000FF"/>
        </w:rPr>
        <w:t xml:space="preserve">I substantially revised the manuscript, following in particular the detailed suggestions by </w:t>
      </w:r>
      <w:r w:rsidR="00A7692B">
        <w:rPr>
          <w:rFonts w:ascii="Times New Roman" w:hAnsi="Times New Roman" w:cs="Times New Roman"/>
          <w:color w:val="0000FF"/>
        </w:rPr>
        <w:t xml:space="preserve">the AE and </w:t>
      </w:r>
      <w:r>
        <w:rPr>
          <w:rFonts w:ascii="Times New Roman" w:hAnsi="Times New Roman" w:cs="Times New Roman"/>
          <w:color w:val="0000FF"/>
        </w:rPr>
        <w:t>referee 2</w:t>
      </w:r>
      <w:r w:rsidR="006833F4">
        <w:rPr>
          <w:rFonts w:ascii="Times New Roman" w:hAnsi="Times New Roman" w:cs="Times New Roman"/>
          <w:color w:val="0000FF"/>
        </w:rPr>
        <w:t>. Th</w:t>
      </w:r>
      <w:r w:rsidR="00A7692B">
        <w:rPr>
          <w:rFonts w:ascii="Times New Roman" w:hAnsi="Times New Roman" w:cs="Times New Roman"/>
          <w:color w:val="0000FF"/>
        </w:rPr>
        <w:t xml:space="preserve">e unique contribution of this paper relative to CPV and the other prior literature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4BBF8865"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Pr="00A7692B">
        <w:rPr>
          <w:rFonts w:ascii="Times New Roman" w:hAnsi="Times New Roman" w:cs="Times New Roman"/>
          <w:color w:val="0000FF"/>
        </w:rPr>
        <w:t xml:space="preserve">Conducting counterfactual exercises (…), I find that over the past 30 years monetary policy and the real side of the economy have changed sufficiently that reverting either set of parameters is insufficient to revert bond risks to their levels in the 1980s. Instead, a </w:t>
      </w:r>
      <w:r>
        <w:rPr>
          <w:rFonts w:ascii="Times New Roman" w:hAnsi="Times New Roman" w:cs="Times New Roman"/>
          <w:color w:val="0000FF"/>
        </w:rPr>
        <w:t>‘</w:t>
      </w:r>
      <w:r w:rsidRPr="00A7692B">
        <w:rPr>
          <w:rFonts w:ascii="Times New Roman" w:hAnsi="Times New Roman" w:cs="Times New Roman"/>
          <w:color w:val="0000FF"/>
        </w:rPr>
        <w:t>perfect storm</w:t>
      </w:r>
      <w:r>
        <w:rPr>
          <w:rFonts w:ascii="Times New Roman" w:hAnsi="Times New Roman" w:cs="Times New Roman"/>
          <w:color w:val="0000FF"/>
        </w:rPr>
        <w:t>’</w:t>
      </w:r>
      <w:r w:rsidRPr="00A7692B">
        <w:rPr>
          <w:rFonts w:ascii="Times New Roman" w:hAnsi="Times New Roman" w:cs="Times New Roman"/>
          <w:color w:val="0000FF"/>
        </w:rPr>
        <w:t xml:space="preserve"> consisting of a change towards more volatile supply shocks and a more hawkish monetary policy rule is needed to generate a reversion back to the risky bond markets of the 1980s.“</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53BC6463" w:rsidR="00A7692B" w:rsidRPr="00F761D5"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difference relative to CPV is described more in detail in the subsequent paragraph also on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 The habit formation preferences in this paper build on Campbell, Pflueger, and </w:t>
      </w:r>
      <w:proofErr w:type="spellStart"/>
      <w:r w:rsidR="000B5A51" w:rsidRPr="00C10E55">
        <w:rPr>
          <w:rFonts w:ascii="Times New Roman" w:hAnsi="Times New Roman" w:cs="Times New Roman"/>
          <w:b/>
          <w:bCs/>
          <w:color w:val="0000FF"/>
        </w:rPr>
        <w:t>Viceira</w:t>
      </w:r>
      <w:proofErr w:type="spellEnd"/>
      <w:r w:rsidR="000B5A51" w:rsidRPr="00C10E55">
        <w:rPr>
          <w:rFonts w:ascii="Times New Roman" w:hAnsi="Times New Roman" w:cs="Times New Roman"/>
          <w:b/>
          <w:bCs/>
          <w:color w:val="0000FF"/>
        </w:rPr>
        <w:t xml:space="preserve"> (2020)  and Pflueger and Rinaldi (2022) but the model in this paper also contains several changes (…)”).</w:t>
      </w:r>
      <w:r>
        <w:rPr>
          <w:rFonts w:ascii="Times New Roman" w:hAnsi="Times New Roman" w:cs="Times New Roman"/>
          <w:b/>
          <w:bCs/>
          <w:color w:val="0000FF"/>
        </w:rPr>
        <w:t xml:space="preserve"> </w:t>
      </w:r>
      <w:r>
        <w:rPr>
          <w:rFonts w:ascii="Times New Roman" w:hAnsi="Times New Roman" w:cs="Times New Roman"/>
          <w:color w:val="0000FF"/>
        </w:rPr>
        <w:t xml:space="preserve">In addition, at the end of the introduction </w:t>
      </w:r>
      <w:r w:rsidRPr="00A7692B">
        <w:rPr>
          <w:rFonts w:ascii="Times New Roman" w:hAnsi="Times New Roman" w:cs="Times New Roman"/>
          <w:color w:val="0000FF"/>
        </w:rPr>
        <w:t xml:space="preserve">I added </w:t>
      </w:r>
      <w:r>
        <w:rPr>
          <w:rFonts w:ascii="Times New Roman" w:hAnsi="Times New Roman" w:cs="Times New Roman"/>
          <w:color w:val="0000FF"/>
        </w:rPr>
        <w:t xml:space="preserve">a more detailed discussion of how the </w:t>
      </w:r>
      <w:r w:rsidRPr="00A7692B">
        <w:rPr>
          <w:rFonts w:ascii="Times New Roman" w:hAnsi="Times New Roman" w:cs="Times New Roman"/>
          <w:color w:val="0000FF"/>
        </w:rPr>
        <w:t xml:space="preserve">current paper </w:t>
      </w:r>
      <w:r>
        <w:rPr>
          <w:rFonts w:ascii="Times New Roman" w:hAnsi="Times New Roman" w:cs="Times New Roman"/>
          <w:color w:val="0000FF"/>
        </w:rPr>
        <w:t xml:space="preserve">contributes over </w:t>
      </w:r>
      <w:r w:rsidRPr="00A7692B">
        <w:rPr>
          <w:rFonts w:ascii="Times New Roman" w:hAnsi="Times New Roman" w:cs="Times New Roman"/>
          <w:color w:val="0000FF"/>
        </w:rPr>
        <w:t>broader</w:t>
      </w:r>
      <w:r>
        <w:rPr>
          <w:rFonts w:ascii="Times New Roman" w:hAnsi="Times New Roman" w:cs="Times New Roman"/>
          <w:color w:val="0000FF"/>
        </w:rPr>
        <w:t xml:space="preserve"> literature on bond-stock comovements </w:t>
      </w:r>
      <w:r w:rsidRPr="0078498D">
        <w:rPr>
          <w:rFonts w:ascii="Times New Roman" w:hAnsi="Times New Roman" w:cs="Times New Roman"/>
          <w:b/>
          <w:bCs/>
          <w:color w:val="0000FF"/>
        </w:rPr>
        <w:t>(</w:t>
      </w:r>
      <w:r>
        <w:rPr>
          <w:rFonts w:ascii="Times New Roman" w:hAnsi="Times New Roman" w:cs="Times New Roman"/>
          <w:b/>
          <w:bCs/>
          <w:color w:val="0000FF"/>
        </w:rPr>
        <w:t xml:space="preserve">see </w:t>
      </w:r>
      <w:r w:rsidRPr="0078498D">
        <w:rPr>
          <w:rFonts w:ascii="Times New Roman" w:hAnsi="Times New Roman" w:cs="Times New Roman"/>
          <w:b/>
          <w:bCs/>
          <w:color w:val="0000FF"/>
        </w:rPr>
        <w:t>p. 5</w:t>
      </w:r>
      <w:r>
        <w:rPr>
          <w:rFonts w:ascii="Times New Roman" w:hAnsi="Times New Roman" w:cs="Times New Roman"/>
          <w:b/>
          <w:bCs/>
          <w:color w:val="0000FF"/>
        </w:rPr>
        <w:t xml:space="preserve">,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it also contains substantial changes (…)”</w:t>
      </w:r>
      <w:r>
        <w:rPr>
          <w:rFonts w:ascii="Times New Roman" w:hAnsi="Times New Roman" w:cs="Times New Roman"/>
          <w:b/>
          <w:bCs/>
          <w:color w:val="0000FF"/>
        </w:rPr>
        <w:t xml:space="preserve"> and following paragraphs</w:t>
      </w:r>
      <w:r w:rsidRPr="0078498D">
        <w:rPr>
          <w:rFonts w:ascii="Times New Roman" w:hAnsi="Times New Roman" w:cs="Times New Roman"/>
          <w:b/>
          <w:bCs/>
          <w:color w:val="0000FF"/>
        </w:rPr>
        <w:t>)</w:t>
      </w:r>
      <w:r>
        <w:rPr>
          <w:rFonts w:ascii="Times New Roman" w:hAnsi="Times New Roman" w:cs="Times New Roman"/>
          <w:color w:val="0000FF"/>
        </w:rPr>
        <w:t>.</w:t>
      </w:r>
      <w:r w:rsidRPr="00C10E55">
        <w:rPr>
          <w:rFonts w:ascii="Times New Roman" w:hAnsi="Times New Roman" w:cs="Times New Roman"/>
          <w:color w:val="0000FF"/>
        </w:rPr>
        <w:t xml:space="preserve"> </w:t>
      </w:r>
    </w:p>
    <w:p w14:paraId="7F7A72CC" w14:textId="3E6F81F7" w:rsidR="005476DB" w:rsidRDefault="000E1941" w:rsidP="005476DB">
      <w:pPr>
        <w:widowControl w:val="0"/>
        <w:autoSpaceDE w:val="0"/>
        <w:autoSpaceDN w:val="0"/>
        <w:adjustRightInd w:val="0"/>
        <w:spacing w:before="240" w:after="0" w:line="240" w:lineRule="auto"/>
        <w:ind w:left="360"/>
        <w:jc w:val="both"/>
        <w:rPr>
          <w:rFonts w:ascii="Times New Roman" w:hAnsi="Times New Roman" w:cs="Times New Roman"/>
          <w:color w:val="0000FF"/>
        </w:rPr>
      </w:pPr>
      <w:commentRangeStart w:id="1"/>
      <w:r w:rsidRPr="000E1941">
        <w:rPr>
          <w:rFonts w:ascii="Times New Roman" w:hAnsi="Times New Roman" w:cs="Times New Roman"/>
          <w:color w:val="0000FF"/>
        </w:rPr>
        <w:t>In</w:t>
      </w:r>
      <w:commentRangeEnd w:id="1"/>
      <w:r w:rsidR="000B5A51">
        <w:rPr>
          <w:rStyle w:val="CommentReference"/>
        </w:rPr>
        <w:commentReference w:id="1"/>
      </w:r>
      <w:r w:rsidRPr="000E1941">
        <w:rPr>
          <w:rFonts w:ascii="Times New Roman" w:hAnsi="Times New Roman" w:cs="Times New Roman"/>
          <w:color w:val="0000FF"/>
        </w:rPr>
        <w:t xml:space="preserve">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Campbell, Pflueger, and </w:t>
      </w:r>
      <w:proofErr w:type="spellStart"/>
      <w:r w:rsidRPr="000E1941">
        <w:rPr>
          <w:rFonts w:ascii="Times New Roman" w:hAnsi="Times New Roman" w:cs="Times New Roman"/>
          <w:color w:val="0000FF"/>
        </w:rPr>
        <w:t>Viceira</w:t>
      </w:r>
      <w:proofErr w:type="spellEnd"/>
      <w:r w:rsidRPr="000E1941">
        <w:rPr>
          <w:rFonts w:ascii="Times New Roman" w:hAnsi="Times New Roman" w:cs="Times New Roman"/>
          <w:color w:val="0000FF"/>
        </w:rPr>
        <w:t xml:space="preserve"> (2020, CPV), contains the same Euler equation, and   prices bonds and stocks using the same habit-formation preferences with countercyclical risk premia. However, CPV is not as </w:t>
      </w:r>
      <w:proofErr w:type="spellStart"/>
      <w:r w:rsidRPr="000E1941">
        <w:rPr>
          <w:rFonts w:ascii="Times New Roman" w:hAnsi="Times New Roman" w:cs="Times New Roman"/>
          <w:color w:val="0000FF"/>
        </w:rPr>
        <w:t>microfounded</w:t>
      </w:r>
      <w:proofErr w:type="spellEnd"/>
      <w:r w:rsidRPr="000E1941">
        <w:rPr>
          <w:rFonts w:ascii="Times New Roman" w:hAnsi="Times New Roman" w:cs="Times New Roman"/>
          <w:color w:val="0000FF"/>
        </w:rPr>
        <w:t xml:space="preserve"> as the current manuscript, limiting its ability to conduct counterfactual exercises. While CPV contains reduced-form equations describing inflation and interest rate dynamics that bear some resemblance to a Phillips curve and Taylor rule, in CPV these are </w:t>
      </w:r>
      <w:r w:rsidRPr="000E1941">
        <w:rPr>
          <w:rFonts w:ascii="Times New Roman" w:hAnsi="Times New Roman" w:cs="Times New Roman"/>
          <w:color w:val="0000FF"/>
        </w:rPr>
        <w:lastRenderedPageBreak/>
        <w:t xml:space="preserve">equilibrium dynamics and not structural equations. Concretely, the coefficients in CPV’s reduced-form inflation and interest rate dynamics can take either sign,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797B48D9" w14:textId="01097D53"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followed the AE’s suggestion to address</w:t>
      </w:r>
      <w:r w:rsidR="00A82448">
        <w:rPr>
          <w:rFonts w:ascii="Times New Roman" w:hAnsi="Times New Roman" w:cs="Times New Roman"/>
          <w:color w:val="0000FF"/>
        </w:rPr>
        <w:t xml:space="preserve"> your concern about the monetary policy</w:t>
      </w:r>
      <w:r>
        <w:rPr>
          <w:rFonts w:ascii="Times New Roman" w:hAnsi="Times New Roman" w:cs="Times New Roman"/>
          <w:color w:val="0000FF"/>
        </w:rPr>
        <w:t xml:space="preserve">,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552B46">
        <w:rPr>
          <w:rFonts w:ascii="Times New Roman" w:hAnsi="Times New Roman" w:cs="Times New Roman"/>
          <w:b/>
          <w:bCs/>
          <w:color w:val="0000FF"/>
        </w:rPr>
        <w:t>top of p.14 in the paragraph starting “While there is an active debate to what extent monetary policy can be described by rules versus discretion, rules such as (24) are often found to provide a good description of historical policy rates …”</w:t>
      </w:r>
      <w:r w:rsidR="00552B46">
        <w:rPr>
          <w:rFonts w:ascii="Times New Roman" w:hAnsi="Times New Roman" w:cs="Times New Roman"/>
          <w:color w:val="0000FF"/>
        </w:rPr>
        <w:t>.</w:t>
      </w:r>
    </w:p>
    <w:p w14:paraId="6C70B9F0" w14:textId="77777777" w:rsidR="008F2558" w:rsidRDefault="00A8244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your concerns about richer price-wage dynamics</w:t>
      </w:r>
      <w:r w:rsidR="00BD38AF">
        <w:rPr>
          <w:rFonts w:ascii="Times New Roman" w:hAnsi="Times New Roman" w:cs="Times New Roman"/>
          <w:color w:val="0000FF"/>
        </w:rPr>
        <w:t xml:space="preserve">, I followed the AE’s guidance and considered a model extension featuring </w:t>
      </w:r>
      <w:r>
        <w:rPr>
          <w:rFonts w:ascii="Times New Roman" w:hAnsi="Times New Roman" w:cs="Times New Roman"/>
          <w:color w:val="0000FF"/>
        </w:rPr>
        <w:t>an additional shock to price vs. wage inflation</w:t>
      </w:r>
      <w:r w:rsidR="00BD38AF">
        <w:rPr>
          <w:rFonts w:ascii="Times New Roman" w:hAnsi="Times New Roman" w:cs="Times New Roman"/>
          <w:color w:val="0000FF"/>
        </w:rPr>
        <w:t xml:space="preserve">. </w:t>
      </w:r>
      <w:commentRangeStart w:id="2"/>
      <w:r w:rsidR="008F2558">
        <w:rPr>
          <w:rFonts w:ascii="Times New Roman" w:hAnsi="Times New Roman" w:cs="Times New Roman"/>
          <w:color w:val="0000FF"/>
        </w:rPr>
        <w:t xml:space="preserve">To address the issue of richer wage-price inflation dynamics, the </w:t>
      </w:r>
      <w:r w:rsidR="008F2558" w:rsidRPr="007E23C9">
        <w:rPr>
          <w:rFonts w:ascii="Times New Roman" w:hAnsi="Times New Roman" w:cs="Times New Roman"/>
          <w:b/>
          <w:bCs/>
          <w:color w:val="0000FF"/>
        </w:rPr>
        <w:t xml:space="preserve">new Appendix Section </w:t>
      </w:r>
      <w:r w:rsidR="008F2558">
        <w:rPr>
          <w:rFonts w:ascii="Times New Roman" w:hAnsi="Times New Roman" w:cs="Times New Roman"/>
          <w:b/>
          <w:bCs/>
          <w:color w:val="0000FF"/>
        </w:rPr>
        <w:t>G</w:t>
      </w:r>
      <w:r w:rsidR="008F2558">
        <w:rPr>
          <w:rFonts w:ascii="Times New Roman" w:hAnsi="Times New Roman" w:cs="Times New Roman"/>
          <w:color w:val="0000FF"/>
        </w:rPr>
        <w:t xml:space="preserve"> </w:t>
      </w:r>
      <w:r w:rsidR="008F2558" w:rsidRPr="00C37257">
        <w:rPr>
          <w:rFonts w:ascii="Times New Roman" w:hAnsi="Times New Roman" w:cs="Times New Roman"/>
          <w:b/>
          <w:bCs/>
          <w:color w:val="0000FF"/>
        </w:rPr>
        <w:t>(online Appendix pp</w:t>
      </w:r>
      <w:commentRangeEnd w:id="2"/>
      <w:r w:rsidR="00DB1DAF">
        <w:rPr>
          <w:rStyle w:val="CommentReference"/>
        </w:rPr>
        <w:commentReference w:id="2"/>
      </w:r>
      <w:r w:rsidR="008F2558" w:rsidRPr="00C37257">
        <w:rPr>
          <w:rFonts w:ascii="Times New Roman" w:hAnsi="Times New Roman" w:cs="Times New Roman"/>
          <w:b/>
          <w:bCs/>
          <w:color w:val="0000FF"/>
        </w:rPr>
        <w:t>. 44-49)</w:t>
      </w:r>
      <w:r w:rsidR="008F2558">
        <w:rPr>
          <w:rFonts w:ascii="Times New Roman" w:hAnsi="Times New Roman" w:cs="Times New Roman"/>
          <w:color w:val="0000FF"/>
        </w:rPr>
        <w:t xml:space="preserve"> added results for a model extension with richer price-wage dynamics, adding an additional shock to the relationship (23) in the main paper. This new appendix section first solves the model with richer price-wage dynamics and then produces results analogous to Table 2 and Figure 4 in the main paper with and without these richer price-wage dynamics. The version of Figure 4 with a richer price-wage dynamics is reproduced below for your convenience </w:t>
      </w:r>
      <w:r w:rsidR="008F2558" w:rsidRPr="00A7749E">
        <w:rPr>
          <w:rFonts w:ascii="Times New Roman" w:hAnsi="Times New Roman" w:cs="Times New Roman"/>
          <w:b/>
          <w:bCs/>
          <w:color w:val="0000FF"/>
        </w:rPr>
        <w:t>(Appendix Figure A4)</w:t>
      </w:r>
      <w:r w:rsidR="008F2558">
        <w:rPr>
          <w:rFonts w:ascii="Times New Roman" w:hAnsi="Times New Roman" w:cs="Times New Roman"/>
          <w:color w:val="0000FF"/>
        </w:rPr>
        <w:t xml:space="preserve">. </w:t>
      </w:r>
    </w:p>
    <w:p w14:paraId="3B9A1709"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FEAAD5"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F14899C"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C8C5FE6"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1728F03" w14:textId="77777777" w:rsidR="008F2558" w:rsidRDefault="008F2558" w:rsidP="008F2558">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t>Figure A4: Counterfactual Bond-Stock Betas with Richer Price-Wage Dynamics</w:t>
      </w:r>
      <w:r w:rsidRPr="00A7749E">
        <w:rPr>
          <w:rFonts w:ascii="Times New Roman" w:hAnsi="Times New Roman" w:cs="Times New Roman"/>
          <w:noProof/>
          <w:color w:val="0000FF"/>
        </w:rPr>
        <w:lastRenderedPageBreak/>
        <w:drawing>
          <wp:inline distT="0" distB="0" distL="0" distR="0" wp14:anchorId="1517A495" wp14:editId="4711AFFC">
            <wp:extent cx="4662170" cy="6534197"/>
            <wp:effectExtent l="0" t="0" r="5080" b="0"/>
            <wp:docPr id="19335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6105" cy="6539712"/>
                    </a:xfrm>
                    <a:prstGeom prst="rect">
                      <a:avLst/>
                    </a:prstGeom>
                    <a:noFill/>
                    <a:ln>
                      <a:noFill/>
                    </a:ln>
                  </pic:spPr>
                </pic:pic>
              </a:graphicData>
            </a:graphic>
          </wp:inline>
        </w:drawing>
      </w:r>
    </w:p>
    <w:p w14:paraId="42E5184B"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figure above shows that the asset pricing moments and key counterfactuals are robust and indeed quantitatively indistinguishable even when the volatility of the price-wage inflation shock is set to a plausible upper bound. To keep the model exposition as simple as possible, I therefore abstract from richer price-wage inflation dynamics in the main paper. To make this clear, the revised manuscript newly acknowledges the limitations of the simple wage-price inflation dynamics in the baseline model and notes that the results are robust to relaxing the tight link between wage and price inflation </w:t>
      </w:r>
      <w:r>
        <w:rPr>
          <w:rFonts w:ascii="Times New Roman" w:hAnsi="Times New Roman" w:cs="Times New Roman"/>
          <w:color w:val="0000FF"/>
        </w:rPr>
        <w:lastRenderedPageBreak/>
        <w:t xml:space="preserve">dynamics. For this discussion, see the </w:t>
      </w:r>
      <w:r w:rsidRPr="00C37257">
        <w:rPr>
          <w:rFonts w:ascii="Times New Roman" w:hAnsi="Times New Roman" w:cs="Times New Roman"/>
          <w:b/>
          <w:bCs/>
          <w:color w:val="0000FF"/>
        </w:rPr>
        <w:t>new footnote 9 on p. 13</w:t>
      </w:r>
      <w:r>
        <w:rPr>
          <w:rFonts w:ascii="Times New Roman" w:hAnsi="Times New Roman" w:cs="Times New Roman"/>
          <w:color w:val="0000FF"/>
        </w:rPr>
        <w:t xml:space="preserve"> in the paper.</w:t>
      </w:r>
    </w:p>
    <w:p w14:paraId="47FD3679" w14:textId="69E1C38B" w:rsidR="00F303D9" w:rsidRDefault="00F303D9" w:rsidP="008F2558">
      <w:pPr>
        <w:widowControl w:val="0"/>
        <w:autoSpaceDE w:val="0"/>
        <w:autoSpaceDN w:val="0"/>
        <w:adjustRightInd w:val="0"/>
        <w:spacing w:before="240" w:after="0" w:line="240" w:lineRule="auto"/>
        <w:ind w:left="360"/>
        <w:jc w:val="both"/>
        <w:rPr>
          <w:rFonts w:ascii="Times New Roman" w:hAnsi="Times New Roman" w:cs="Times New Roman"/>
        </w:rPr>
      </w:pPr>
      <w:r w:rsidRPr="00D10643">
        <w:rPr>
          <w:rFonts w:ascii="Times New Roman" w:hAnsi="Times New Roman" w:cs="Times New Roman" w:hint="eastAsia"/>
          <w:b/>
          <w:bCs/>
        </w:rPr>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problematic for a number of reasons</w:t>
      </w:r>
      <w:r>
        <w:rPr>
          <w:rFonts w:ascii="Times New Roman" w:hAnsi="Times New Roman" w:cs="Times New Roman" w:hint="eastAsia"/>
        </w:rPr>
        <w:t>:</w:t>
      </w:r>
    </w:p>
    <w:p w14:paraId="6BC1BCC3" w14:textId="0273880B" w:rsidR="008B0CD8" w:rsidRDefault="00E7757A" w:rsidP="008B0CD8">
      <w:pPr>
        <w:widowControl w:val="0"/>
        <w:autoSpaceDE w:val="0"/>
        <w:autoSpaceDN w:val="0"/>
        <w:adjustRightInd w:val="0"/>
        <w:spacing w:before="240" w:after="0" w:line="240" w:lineRule="auto"/>
        <w:ind w:left="274"/>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Th</w:t>
      </w:r>
      <w:r>
        <w:rPr>
          <w:rFonts w:ascii="Times New Roman" w:hAnsi="Times New Roman" w:cs="Times New Roman"/>
          <w:color w:val="0000FF"/>
        </w:rPr>
        <w:t>is</w:t>
      </w:r>
      <w:r w:rsidRPr="00E7757A">
        <w:rPr>
          <w:rFonts w:ascii="Times New Roman" w:hAnsi="Times New Roman" w:cs="Times New Roman"/>
          <w:color w:val="0000FF"/>
        </w:rPr>
        <w:t xml:space="preserve"> paper analyzes a</w:t>
      </w:r>
      <w:r>
        <w:rPr>
          <w:rFonts w:ascii="Times New Roman" w:hAnsi="Times New Roman" w:cs="Times New Roman"/>
          <w:color w:val="0000FF"/>
        </w:rPr>
        <w:t xml:space="preserve"> distinct</w:t>
      </w:r>
      <w:r w:rsidRPr="00E7757A">
        <w:rPr>
          <w:rFonts w:ascii="Times New Roman" w:hAnsi="Times New Roman" w:cs="Times New Roman"/>
          <w:color w:val="0000FF"/>
        </w:rPr>
        <w:t xml:space="preserve"> empirical question</w:t>
      </w:r>
      <w:r>
        <w:rPr>
          <w:rFonts w:ascii="Times New Roman" w:hAnsi="Times New Roman" w:cs="Times New Roman"/>
          <w:color w:val="0000FF"/>
        </w:rPr>
        <w:t xml:space="preserve"> from CPV</w:t>
      </w:r>
      <w:r w:rsidRPr="00E7757A">
        <w:rPr>
          <w:rFonts w:ascii="Times New Roman" w:hAnsi="Times New Roman" w:cs="Times New Roman"/>
          <w:color w:val="0000FF"/>
        </w:rPr>
        <w:t xml:space="preserve">: why didn’t the stock-risk exposures of nominal and real bonds change during the </w:t>
      </w:r>
      <w:r>
        <w:rPr>
          <w:rFonts w:ascii="Times New Roman" w:hAnsi="Times New Roman" w:cs="Times New Roman"/>
          <w:color w:val="0000FF"/>
        </w:rPr>
        <w:t>post-2020</w:t>
      </w:r>
      <w:r w:rsidRPr="00E7757A">
        <w:rPr>
          <w:rFonts w:ascii="Times New Roman" w:hAnsi="Times New Roman" w:cs="Times New Roman"/>
          <w:color w:val="0000FF"/>
        </w:rPr>
        <w:t xml:space="preserve"> spike in inflation, despite perceived similarities with the 1970s and 1980s?</w:t>
      </w:r>
      <w:r>
        <w:rPr>
          <w:rFonts w:ascii="Times New Roman" w:hAnsi="Times New Roman" w:cs="Times New Roman"/>
          <w:color w:val="0000FF"/>
        </w:rPr>
        <w:t xml:space="preserve"> This question is clearly different from CPV (which was published in 2020), and provides a new observation that helps tell apart different stories why bond risks were high during the 1980s. This paper argues that nominal bond-stock betas price whether a supply shock is anticipated to lead a deep recession or, conversely, a “soft landing”, a question that is clearly policy relevant and cannot be answered with only data from the 1980s. </w:t>
      </w:r>
    </w:p>
    <w:p w14:paraId="40F98D03" w14:textId="163549C3" w:rsidR="008B0CD8" w:rsidRPr="008B0CD8" w:rsidRDefault="00A000A9" w:rsidP="00FC1393">
      <w:pPr>
        <w:widowControl w:val="0"/>
        <w:autoSpaceDE w:val="0"/>
        <w:autoSpaceDN w:val="0"/>
        <w:adjustRightInd w:val="0"/>
        <w:spacing w:before="240" w:after="0" w:line="240" w:lineRule="auto"/>
        <w:ind w:left="274"/>
        <w:jc w:val="both"/>
        <w:rPr>
          <w:rFonts w:ascii="Times New Roman" w:hAnsi="Times New Roman" w:cs="Times New Roman"/>
          <w:color w:val="0000FF"/>
        </w:rPr>
      </w:pPr>
      <w:r>
        <w:rPr>
          <w:rFonts w:ascii="Times New Roman" w:hAnsi="Times New Roman" w:cs="Times New Roman"/>
          <w:color w:val="0000FF"/>
        </w:rPr>
        <w:t>Following your feedback, t</w:t>
      </w:r>
      <w:r w:rsidR="008B0CD8">
        <w:rPr>
          <w:rFonts w:ascii="Times New Roman" w:hAnsi="Times New Roman" w:cs="Times New Roman"/>
          <w:color w:val="0000FF"/>
        </w:rPr>
        <w:t xml:space="preserve">he </w:t>
      </w:r>
      <w:r>
        <w:rPr>
          <w:rFonts w:ascii="Times New Roman" w:hAnsi="Times New Roman" w:cs="Times New Roman"/>
          <w:color w:val="0000FF"/>
        </w:rPr>
        <w:t>key new observation that the paper is seeking to explain is now mentioned</w:t>
      </w:r>
      <w:r w:rsidR="008B0CD8">
        <w:rPr>
          <w:rFonts w:ascii="Times New Roman" w:hAnsi="Times New Roman" w:cs="Times New Roman"/>
          <w:color w:val="0000FF"/>
        </w:rPr>
        <w:t xml:space="preserve"> clearly </w:t>
      </w:r>
      <w:r>
        <w:rPr>
          <w:rFonts w:ascii="Times New Roman" w:hAnsi="Times New Roman" w:cs="Times New Roman"/>
          <w:color w:val="0000FF"/>
        </w:rPr>
        <w:t>in the introduction (</w:t>
      </w:r>
      <w:r w:rsidR="008B0CD8" w:rsidRPr="00A000A9">
        <w:rPr>
          <w:rFonts w:ascii="Times New Roman" w:hAnsi="Times New Roman" w:cs="Times New Roman"/>
          <w:b/>
          <w:bCs/>
          <w:color w:val="0000FF"/>
        </w:rPr>
        <w:t>p.1</w:t>
      </w:r>
      <w:r w:rsidRPr="00A000A9">
        <w:rPr>
          <w:rFonts w:ascii="Times New Roman" w:hAnsi="Times New Roman" w:cs="Times New Roman"/>
          <w:b/>
          <w:bCs/>
          <w:color w:val="0000FF"/>
        </w:rPr>
        <w:t>, second sentence of paper</w:t>
      </w:r>
      <w:r>
        <w:rPr>
          <w:rFonts w:ascii="Times New Roman" w:hAnsi="Times New Roman" w:cs="Times New Roman"/>
          <w:color w:val="0000FF"/>
        </w:rPr>
        <w:t xml:space="preserve">). </w:t>
      </w:r>
      <w:r w:rsidR="008B0CD8">
        <w:rPr>
          <w:rFonts w:ascii="Times New Roman" w:hAnsi="Times New Roman" w:cs="Times New Roman"/>
          <w:color w:val="0000FF"/>
        </w:rPr>
        <w:t xml:space="preserve">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 xml:space="preserve">why (among other things) bond-stock betas eventually turned </w:t>
      </w:r>
      <w:proofErr w:type="spellStart"/>
      <w:r w:rsidRPr="00F303D9">
        <w:rPr>
          <w:rFonts w:ascii="Times New Roman" w:hAnsi="Times New Roman" w:cs="Times New Roman"/>
        </w:rPr>
        <w:t>negative.</w:t>
      </w:r>
      <w:r w:rsidR="00A6114B">
        <w:rPr>
          <w:rFonts w:ascii="Times New Roman" w:hAnsi="Times New Roman" w:cs="Times New Roman"/>
        </w:rPr>
        <w:t>This</w:t>
      </w:r>
      <w:proofErr w:type="spellEnd"/>
      <w:r w:rsidR="00A6114B">
        <w:rPr>
          <w:rFonts w:ascii="Times New Roman" w:hAnsi="Times New Roman" w:cs="Times New Roman"/>
        </w:rPr>
        <w:t xml:space="preserve"> </w:t>
      </w:r>
      <w:r>
        <w:rPr>
          <w:rStyle w:val="FootnoteReference"/>
          <w:rFonts w:ascii="Times New Roman" w:hAnsi="Times New Roman" w:cs="Times New Roman"/>
        </w:rPr>
        <w:footnoteReference w:id="2"/>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3A67F97A" w14:textId="77777777" w:rsidR="00D95858" w:rsidRDefault="00FC1393" w:rsidP="00D95858">
      <w:pPr>
        <w:widowControl w:val="0"/>
        <w:autoSpaceDE w:val="0"/>
        <w:autoSpaceDN w:val="0"/>
        <w:adjustRightInd w:val="0"/>
        <w:spacing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Pr>
          <w:rFonts w:ascii="Times New Roman" w:hAnsi="Times New Roman" w:cs="Times New Roman"/>
          <w:color w:val="0000FF"/>
        </w:rPr>
        <w:t xml:space="preserve">I revised the paper to provide a much more extensive discussion/defense of the calibration of the first subperiod. </w:t>
      </w:r>
      <w:commentRangeStart w:id="3"/>
      <w:r w:rsidR="00D95858">
        <w:rPr>
          <w:rFonts w:ascii="Times New Roman" w:hAnsi="Times New Roman" w:cs="Times New Roman"/>
          <w:color w:val="0000FF"/>
        </w:rPr>
        <w:t>I</w:t>
      </w:r>
      <w:commentRangeEnd w:id="3"/>
      <w:r w:rsidR="00A476FF">
        <w:rPr>
          <w:rStyle w:val="CommentReference"/>
        </w:rPr>
        <w:commentReference w:id="3"/>
      </w:r>
      <w:r w:rsidR="00D95858">
        <w:rPr>
          <w:rFonts w:ascii="Times New Roman" w:hAnsi="Times New Roman" w:cs="Times New Roman"/>
          <w:color w:val="0000FF"/>
        </w:rPr>
        <w:t xml:space="preserve"> have addressed the issue twofold. First, the revised manuscript includes a much more extensive narrative for why the 1980s and 1990s should be viewed as a period of dominant actual and perceived supply shocks, consistent with my model calibration for the first subperiod. </w:t>
      </w:r>
      <w:r w:rsidR="00D95858">
        <w:rPr>
          <w:rFonts w:ascii="Times New Roman" w:hAnsi="Times New Roman" w:cs="Times New Roman"/>
          <w:color w:val="0000FF"/>
        </w:rPr>
        <w:lastRenderedPageBreak/>
        <w:t xml:space="preserve">Second, I followed your suggestion to calculate the necessary changes in parameters to explain the bond-stock betas during the 1980s. This second exercise clearly shows that volatile supply shocks are required to explain asset markets during the 1980s using my model. </w:t>
      </w:r>
    </w:p>
    <w:p w14:paraId="41DA9463"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97B7659"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supply shocks during the 1980s sometimes tends to overlook that supply shocks can be either negative (i.e. reducing output) or positive (i.e. good for output), and in my model only the volatility of these shocks matters but not their sign.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1078331D"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6E4D9FE5" w14:textId="77777777" w:rsidR="00D95858" w:rsidRPr="00A4499C" w:rsidRDefault="00D95858" w:rsidP="00D95858">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32FC1585" w14:textId="77777777" w:rsidR="00D95858" w:rsidRPr="00A4499C" w:rsidRDefault="00D95858" w:rsidP="00D95858">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BD25694" w14:textId="77777777" w:rsidR="00D95858" w:rsidRPr="00A4499C" w:rsidRDefault="00D95858" w:rsidP="00D95858">
      <w:pPr>
        <w:pStyle w:val="Default"/>
        <w:ind w:left="720" w:firstLine="720"/>
        <w:rPr>
          <w:rFonts w:ascii="Times New Roman" w:hAnsi="Times New Roman" w:cs="Times New Roman"/>
          <w:color w:val="0000FF"/>
          <w:sz w:val="22"/>
          <w:szCs w:val="22"/>
        </w:rPr>
      </w:pPr>
    </w:p>
    <w:p w14:paraId="1F501547"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Supply shocks arising from new technology and the “New Economy” were also highly salient to monetary policy makers during my first subperiod, and in particular during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5E4D1065"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D7AD718" w14:textId="77777777" w:rsidR="00D95858" w:rsidRPr="00A4499C" w:rsidRDefault="00D95858" w:rsidP="00D95858">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7C9A9CD7" w14:textId="77777777" w:rsidR="00D95858" w:rsidRPr="00A4499C" w:rsidRDefault="00D95858" w:rsidP="00D95858">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527FDE3D" w14:textId="77777777" w:rsidR="00D95858" w:rsidRDefault="00D95858" w:rsidP="00D95858">
      <w:pPr>
        <w:pStyle w:val="Default"/>
        <w:ind w:left="1080"/>
        <w:rPr>
          <w:rFonts w:ascii="Times New Roman" w:hAnsi="Times New Roman" w:cs="Times New Roman"/>
          <w:color w:val="0000FF"/>
        </w:rPr>
      </w:pPr>
    </w:p>
    <w:p w14:paraId="0E7DA700" w14:textId="7D5F7A99" w:rsidR="00D95858" w:rsidRPr="003623A0" w:rsidRDefault="00F3162F" w:rsidP="00251F6F">
      <w:pPr>
        <w:pStyle w:val="Default"/>
        <w:ind w:left="360"/>
        <w:rPr>
          <w:rFonts w:ascii="Times New Roman" w:hAnsi="Times New Roman" w:cs="Times New Roman"/>
          <w:color w:val="0000FF"/>
          <w:sz w:val="22"/>
          <w:szCs w:val="22"/>
        </w:rPr>
      </w:pPr>
      <w:commentRangeStart w:id="4"/>
      <w:r w:rsidRPr="003623A0">
        <w:rPr>
          <w:rFonts w:ascii="Times New Roman" w:hAnsi="Times New Roman" w:cs="Times New Roman"/>
          <w:color w:val="0000FF"/>
          <w:sz w:val="22"/>
          <w:szCs w:val="22"/>
        </w:rPr>
        <w:t>N</w:t>
      </w:r>
      <w:commentRangeEnd w:id="4"/>
      <w:r w:rsidR="00251F6F" w:rsidRPr="00251F6F">
        <w:rPr>
          <w:rFonts w:ascii="Times New Roman" w:hAnsi="Times New Roman" w:cs="Times New Roman"/>
          <w:color w:val="0000FF"/>
          <w:sz w:val="22"/>
          <w:szCs w:val="22"/>
        </w:rPr>
        <w:commentReference w:id="4"/>
      </w:r>
      <w:r w:rsidRPr="003623A0">
        <w:rPr>
          <w:rFonts w:ascii="Times New Roman" w:hAnsi="Times New Roman" w:cs="Times New Roman"/>
          <w:color w:val="0000FF"/>
          <w:sz w:val="22"/>
          <w:szCs w:val="22"/>
        </w:rPr>
        <w:t>ot all supply shocks during the 1980s and 1990s were positive</w:t>
      </w:r>
      <w:r>
        <w:rPr>
          <w:rFonts w:ascii="Times New Roman" w:hAnsi="Times New Roman" w:cs="Times New Roman"/>
          <w:color w:val="0000FF"/>
          <w:sz w:val="22"/>
          <w:szCs w:val="22"/>
        </w:rPr>
        <w:t xml:space="preserve">. As mentioned by the AE, the paper by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00A476FF">
        <w:rPr>
          <w:rFonts w:ascii="Times New Roman" w:hAnsi="Times New Roman" w:cs="Times New Roman"/>
          <w:color w:val="0000FF"/>
          <w:sz w:val="22"/>
          <w:szCs w:val="22"/>
        </w:rPr>
        <w:t>My read</w:t>
      </w:r>
      <w:r>
        <w:rPr>
          <w:rFonts w:ascii="Times New Roman" w:hAnsi="Times New Roman" w:cs="Times New Roman"/>
          <w:color w:val="0000FF"/>
          <w:sz w:val="22"/>
          <w:szCs w:val="22"/>
        </w:rPr>
        <w:t>ing</w:t>
      </w:r>
      <w:r w:rsidR="00A476FF">
        <w:rPr>
          <w:rFonts w:ascii="Times New Roman" w:hAnsi="Times New Roman" w:cs="Times New Roman"/>
          <w:color w:val="0000FF"/>
          <w:sz w:val="22"/>
          <w:szCs w:val="22"/>
        </w:rPr>
        <w:t xml:space="preserve"> of Goodfriend (2007) is </w:t>
      </w:r>
      <w:r w:rsidR="00A476FF" w:rsidRPr="00251F6F">
        <w:rPr>
          <w:rFonts w:ascii="Times New Roman" w:hAnsi="Times New Roman" w:cs="Times New Roman"/>
          <w:color w:val="0000FF"/>
          <w:sz w:val="22"/>
          <w:szCs w:val="22"/>
        </w:rPr>
        <w:t xml:space="preserve">that it </w:t>
      </w:r>
      <w:r w:rsidRPr="00251F6F">
        <w:rPr>
          <w:rFonts w:ascii="Times New Roman" w:hAnsi="Times New Roman" w:cs="Times New Roman"/>
          <w:color w:val="0000FF"/>
          <w:sz w:val="22"/>
          <w:szCs w:val="22"/>
        </w:rPr>
        <w:t>really is focused on developments in monetary policy</w:t>
      </w:r>
      <w:r w:rsidR="00A476FF" w:rsidRPr="00251F6F">
        <w:rPr>
          <w:rFonts w:ascii="Times New Roman" w:hAnsi="Times New Roman" w:cs="Times New Roman"/>
          <w:color w:val="0000FF"/>
          <w:sz w:val="22"/>
          <w:szCs w:val="22"/>
        </w:rPr>
        <w:t xml:space="preserve"> </w:t>
      </w:r>
      <w:r w:rsidR="00A476FF">
        <w:rPr>
          <w:rFonts w:ascii="Times New Roman" w:hAnsi="Times New Roman" w:cs="Times New Roman"/>
          <w:color w:val="0000FF"/>
          <w:sz w:val="22"/>
          <w:szCs w:val="22"/>
        </w:rPr>
        <w:t>(hence the title”</w:t>
      </w:r>
      <w:r w:rsidR="00A476FF" w:rsidRPr="00A476FF">
        <w:rPr>
          <w:rFonts w:ascii="Times New Roman" w:hAnsi="Times New Roman" w:cs="Times New Roman"/>
          <w:color w:val="0000FF"/>
          <w:sz w:val="22"/>
          <w:szCs w:val="22"/>
        </w:rPr>
        <w:t xml:space="preserve"> How the World Achieved Consensus on</w:t>
      </w:r>
      <w:r w:rsidR="00D719A4" w:rsidRPr="00251F6F">
        <w:rPr>
          <w:rFonts w:ascii="Times New Roman" w:hAnsi="Times New Roman" w:cs="Times New Roman"/>
          <w:color w:val="0000FF"/>
          <w:sz w:val="22"/>
          <w:szCs w:val="22"/>
        </w:rPr>
        <w:t xml:space="preserve"> </w:t>
      </w:r>
      <w:r w:rsidR="00A476FF" w:rsidRPr="00A476FF">
        <w:rPr>
          <w:rFonts w:ascii="Times New Roman" w:hAnsi="Times New Roman" w:cs="Times New Roman"/>
          <w:color w:val="0000FF"/>
          <w:sz w:val="22"/>
          <w:szCs w:val="22"/>
        </w:rPr>
        <w:t xml:space="preserve">Monetary Policy”). Consistent </w:t>
      </w:r>
      <w:r w:rsidR="00D95858"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sidR="00A476FF">
        <w:rPr>
          <w:rFonts w:ascii="Times New Roman" w:hAnsi="Times New Roman" w:cs="Times New Roman"/>
          <w:color w:val="0000FF"/>
          <w:sz w:val="22"/>
          <w:szCs w:val="22"/>
        </w:rPr>
        <w:t>Goodfriend (2007)’s</w:t>
      </w:r>
      <w:r w:rsidR="00D95858">
        <w:rPr>
          <w:rFonts w:ascii="Times New Roman" w:hAnsi="Times New Roman" w:cs="Times New Roman"/>
          <w:color w:val="0000FF"/>
          <w:sz w:val="22"/>
          <w:szCs w:val="22"/>
        </w:rPr>
        <w:t xml:space="preserve"> </w:t>
      </w:r>
      <w:r w:rsidR="00D95858" w:rsidRPr="003623A0">
        <w:rPr>
          <w:rFonts w:ascii="Times New Roman" w:hAnsi="Times New Roman" w:cs="Times New Roman"/>
          <w:color w:val="0000FF"/>
          <w:sz w:val="22"/>
          <w:szCs w:val="22"/>
        </w:rPr>
        <w:t xml:space="preserve">insightful account of US monetary policy as </w:t>
      </w:r>
      <w:r w:rsidR="00D95858">
        <w:rPr>
          <w:rFonts w:ascii="Times New Roman" w:hAnsi="Times New Roman" w:cs="Times New Roman"/>
          <w:color w:val="0000FF"/>
          <w:sz w:val="22"/>
          <w:szCs w:val="22"/>
        </w:rPr>
        <w:t>supportive of the break date used in this manuscript.</w:t>
      </w:r>
      <w:r w:rsidR="00D95858" w:rsidRPr="003623A0">
        <w:rPr>
          <w:rFonts w:ascii="Times New Roman" w:hAnsi="Times New Roman" w:cs="Times New Roman"/>
          <w:color w:val="0000FF"/>
          <w:sz w:val="22"/>
          <w:szCs w:val="22"/>
        </w:rPr>
        <w:t xml:space="preserve"> </w:t>
      </w:r>
    </w:p>
    <w:p w14:paraId="057C60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also added a simple quantification for the perceived relevance of supply shocks across the decades using newspaper counts to the revised manuscript. The results are shown in the new Appendix Figure A1,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this analysis based on newspaper counts further supports the notion that the public and investors were highly attuned to macroeconomic supply shocks during the 1980s and the post-pandemic period after 2020. </w:t>
      </w:r>
    </w:p>
    <w:p w14:paraId="0CDD26D1"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7563B4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3B946793"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6ADF7B5" w14:textId="384EB8F2" w:rsidR="00D95858"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3F19F873" wp14:editId="625D3A21">
            <wp:extent cx="5562161" cy="2990850"/>
            <wp:effectExtent l="0" t="0" r="635" b="0"/>
            <wp:docPr id="323695703"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0B04D976" w14:textId="77777777" w:rsidR="00D95858" w:rsidRDefault="00D95858" w:rsidP="00D95858">
      <w:pPr>
        <w:autoSpaceDE w:val="0"/>
        <w:autoSpaceDN w:val="0"/>
        <w:adjustRightInd w:val="0"/>
        <w:spacing w:after="0" w:line="240" w:lineRule="auto"/>
      </w:pPr>
      <w:r>
        <w:rPr>
          <w:rFonts w:ascii="Times New Roman" w:hAnsi="Times New Roman" w:cs="Times New Roman"/>
          <w:color w:val="0000FF"/>
        </w:rPr>
        <w:t xml:space="preserve">The revised manuscript discusses these anecdotes of 1980s and 1990s supply shocks prominently in a new paragraph in the introduction </w:t>
      </w:r>
      <w:r w:rsidRPr="00662D76">
        <w:rPr>
          <w:rFonts w:ascii="Times New Roman" w:hAnsi="Times New Roman" w:cs="Times New Roman"/>
          <w:b/>
          <w:bCs/>
          <w:color w:val="0000FF"/>
        </w:rPr>
        <w:t>(</w:t>
      </w:r>
      <w:r>
        <w:rPr>
          <w:rFonts w:ascii="Times New Roman" w:hAnsi="Times New Roman" w:cs="Times New Roman"/>
          <w:b/>
          <w:bCs/>
          <w:color w:val="0000FF"/>
        </w:rPr>
        <w:t xml:space="preserve">see p.3, paragraph starting </w:t>
      </w:r>
      <w:r w:rsidRPr="0078498D">
        <w:rPr>
          <w:rFonts w:ascii="Times New Roman" w:hAnsi="Times New Roman" w:cs="Times New Roman"/>
          <w:b/>
          <w:bCs/>
          <w:color w:val="0000FF"/>
        </w:rPr>
        <w:t>“</w:t>
      </w:r>
      <w:r w:rsidRPr="00A06F7B">
        <w:rPr>
          <w:rFonts w:ascii="Times New Roman" w:hAnsi="Times New Roman" w:cs="Times New Roman"/>
          <w:b/>
          <w:bCs/>
          <w:color w:val="0000FF"/>
        </w:rPr>
        <w:t>The calibrated changes in the monetary policy rule and the nature of macroeconomic shocks are consistent with anecdotal evidence…”</w:t>
      </w:r>
      <w:r w:rsidRPr="0078498D">
        <w:rPr>
          <w:rFonts w:ascii="Times New Roman" w:hAnsi="Times New Roman" w:cs="Times New Roman"/>
          <w:b/>
          <w:bCs/>
          <w:color w:val="0000FF"/>
        </w:rPr>
        <w:t>)</w:t>
      </w:r>
      <w:r>
        <w:rPr>
          <w:rFonts w:ascii="Times New Roman" w:hAnsi="Times New Roman" w:cs="Times New Roman"/>
          <w:color w:val="0000FF"/>
        </w:rPr>
        <w:t xml:space="preserve">, and in the </w:t>
      </w:r>
      <w:r w:rsidRPr="00A06F7B">
        <w:rPr>
          <w:rFonts w:ascii="Times New Roman" w:hAnsi="Times New Roman" w:cs="Times New Roman"/>
          <w:b/>
          <w:bCs/>
          <w:color w:val="0000FF"/>
        </w:rPr>
        <w:t>new footnote 4 on p.3.</w:t>
      </w:r>
      <w:r>
        <w:rPr>
          <w:rFonts w:ascii="Times New Roman" w:hAnsi="Times New Roman" w:cs="Times New Roman"/>
          <w:color w:val="0000FF"/>
        </w:rPr>
        <w:t xml:space="preserve">  I also revised the discussion of the calibration </w:t>
      </w:r>
      <w:r>
        <w:rPr>
          <w:rFonts w:ascii="Times New Roman" w:hAnsi="Times New Roman" w:cs="Times New Roman"/>
          <w:b/>
          <w:bCs/>
          <w:color w:val="0000FF"/>
        </w:rPr>
        <w:t>(see p.20, the two paragraphs starting “</w:t>
      </w:r>
      <w:r w:rsidRPr="00662D76">
        <w:rPr>
          <w:rFonts w:ascii="Times New Roman" w:hAnsi="Times New Roman" w:cs="Times New Roman"/>
          <w:b/>
          <w:bCs/>
          <w:color w:val="0000FF"/>
        </w:rPr>
        <w:t xml:space="preserve">The top-left plot in Figure </w:t>
      </w:r>
      <w:r>
        <w:rPr>
          <w:rFonts w:ascii="Times New Roman" w:hAnsi="Times New Roman" w:cs="Times New Roman"/>
          <w:b/>
          <w:bCs/>
          <w:color w:val="0000FF"/>
        </w:rPr>
        <w:t xml:space="preserve">2, </w:t>
      </w:r>
      <w:r w:rsidRPr="00662D76">
        <w:rPr>
          <w:rFonts w:ascii="Times New Roman" w:hAnsi="Times New Roman" w:cs="Times New Roman"/>
          <w:b/>
          <w:bCs/>
          <w:color w:val="0000FF"/>
        </w:rPr>
        <w:t xml:space="preserve">Panel A shows that..” </w:t>
      </w:r>
      <w:r w:rsidRPr="00141F18">
        <w:rPr>
          <w:rFonts w:ascii="Times New Roman" w:hAnsi="Times New Roman" w:cs="Times New Roman"/>
          <w:color w:val="0000FF"/>
        </w:rPr>
        <w:t>and the</w:t>
      </w:r>
      <w:r>
        <w:rPr>
          <w:rFonts w:ascii="Times New Roman" w:hAnsi="Times New Roman" w:cs="Times New Roman"/>
          <w:b/>
          <w:bCs/>
          <w:color w:val="0000FF"/>
        </w:rPr>
        <w:t xml:space="preserve"> new </w:t>
      </w:r>
      <w:r w:rsidRPr="00662D76">
        <w:rPr>
          <w:rFonts w:ascii="Times New Roman" w:hAnsi="Times New Roman" w:cs="Times New Roman"/>
          <w:b/>
          <w:bCs/>
          <w:color w:val="0000FF"/>
        </w:rPr>
        <w:t>footnote 14 on the same page).</w:t>
      </w:r>
      <w:r>
        <w:t xml:space="preserve"> </w:t>
      </w:r>
    </w:p>
    <w:p w14:paraId="5329830A" w14:textId="77777777" w:rsidR="00066045" w:rsidRDefault="00066045" w:rsidP="00D95858">
      <w:pPr>
        <w:autoSpaceDE w:val="0"/>
        <w:autoSpaceDN w:val="0"/>
        <w:adjustRightInd w:val="0"/>
        <w:spacing w:after="0" w:line="240" w:lineRule="auto"/>
      </w:pPr>
    </w:p>
    <w:p w14:paraId="37748C51" w14:textId="390324DC" w:rsidR="00066045" w:rsidRDefault="00066045" w:rsidP="00066045">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Following the AE’s suggestion, I also computed the changes in parameters necessary to replicate the 1980s bond-stock betas starting from the 2000s calibration. The revised manuscript contains these results in the </w:t>
      </w:r>
      <w:r w:rsidRPr="00066045">
        <w:rPr>
          <w:rFonts w:ascii="Times New Roman" w:hAnsi="Times New Roman" w:cs="Times New Roman"/>
          <w:b/>
          <w:bCs/>
          <w:color w:val="0000FF"/>
        </w:rPr>
        <w:t>new Figure 8</w:t>
      </w:r>
      <w:r>
        <w:rPr>
          <w:rFonts w:ascii="Times New Roman" w:hAnsi="Times New Roman" w:cs="Times New Roman"/>
          <w:color w:val="0000FF"/>
        </w:rPr>
        <w:t xml:space="preserve">. Panel A of that figure is reproduced below for your convenience. The nominal bond-stock beta during the first subperiod is depicted with an orange plane, while blue circles depict model </w:t>
      </w:r>
      <w:r>
        <w:rPr>
          <w:rFonts w:ascii="Times New Roman" w:hAnsi="Times New Roman" w:cs="Times New Roman"/>
          <w:color w:val="0000FF"/>
        </w:rPr>
        <w:lastRenderedPageBreak/>
        <w:t xml:space="preserve">bond-stock betas. All parameters not explicitly mentioned are set to their values in the 2000s calibration </w:t>
      </w:r>
      <w:r w:rsidR="00C2376C">
        <w:rPr>
          <w:rFonts w:ascii="Times New Roman" w:hAnsi="Times New Roman" w:cs="Times New Roman"/>
          <w:color w:val="0000FF"/>
        </w:rPr>
        <w:t>listed in</w:t>
      </w:r>
      <w:r>
        <w:rPr>
          <w:rFonts w:ascii="Times New Roman" w:hAnsi="Times New Roman" w:cs="Times New Roman"/>
          <w:color w:val="0000FF"/>
        </w:rPr>
        <w:t xml:space="preserve"> </w:t>
      </w:r>
      <w:r w:rsidR="00C2376C">
        <w:rPr>
          <w:rFonts w:ascii="Times New Roman" w:hAnsi="Times New Roman" w:cs="Times New Roman"/>
          <w:color w:val="0000FF"/>
        </w:rPr>
        <w:t>Table</w:t>
      </w:r>
      <w:r>
        <w:rPr>
          <w:rFonts w:ascii="Times New Roman" w:hAnsi="Times New Roman" w:cs="Times New Roman"/>
          <w:color w:val="0000FF"/>
        </w:rPr>
        <w:t xml:space="preserve"> 1. The new Figure 8 shows that a high volatility of supply shocks is necessary to reverse-engineer the bond-stock betas observed during the first subperiod, further supporting a high supply shock volatility for the first calibration period. </w:t>
      </w:r>
      <w:r w:rsidR="00A945B4">
        <w:rPr>
          <w:rFonts w:ascii="Times New Roman" w:hAnsi="Times New Roman" w:cs="Times New Roman"/>
          <w:color w:val="0000FF"/>
        </w:rPr>
        <w:t xml:space="preserve">For a detailed discussion of this figure see the </w:t>
      </w:r>
      <w:r w:rsidR="00A945B4" w:rsidRPr="00C2376C">
        <w:rPr>
          <w:rFonts w:ascii="Times New Roman" w:hAnsi="Times New Roman" w:cs="Times New Roman"/>
          <w:b/>
          <w:bCs/>
          <w:color w:val="0000FF"/>
        </w:rPr>
        <w:t>new Section 4.4</w:t>
      </w:r>
      <w:r w:rsidR="00A945B4">
        <w:rPr>
          <w:rFonts w:ascii="Times New Roman" w:hAnsi="Times New Roman" w:cs="Times New Roman"/>
          <w:color w:val="0000FF"/>
        </w:rPr>
        <w:t xml:space="preserve"> </w:t>
      </w:r>
      <w:r w:rsidR="00C2376C" w:rsidRPr="00C2376C">
        <w:rPr>
          <w:rFonts w:ascii="Times New Roman" w:hAnsi="Times New Roman" w:cs="Times New Roman"/>
          <w:b/>
          <w:bCs/>
          <w:color w:val="0000FF"/>
        </w:rPr>
        <w:t>(pp.32-35)</w:t>
      </w:r>
      <w:r w:rsidR="00C2376C">
        <w:rPr>
          <w:rFonts w:ascii="Times New Roman" w:hAnsi="Times New Roman" w:cs="Times New Roman"/>
          <w:color w:val="0000FF"/>
        </w:rPr>
        <w:t xml:space="preserve"> </w:t>
      </w:r>
      <w:r w:rsidR="00A945B4">
        <w:rPr>
          <w:rFonts w:ascii="Times New Roman" w:hAnsi="Times New Roman" w:cs="Times New Roman"/>
          <w:color w:val="0000FF"/>
        </w:rPr>
        <w:t>in the manuscript</w:t>
      </w:r>
      <w:r w:rsidR="00C2376C">
        <w:rPr>
          <w:rFonts w:ascii="Times New Roman" w:hAnsi="Times New Roman" w:cs="Times New Roman"/>
          <w:color w:val="0000FF"/>
        </w:rPr>
        <w:t>.</w:t>
      </w:r>
    </w:p>
    <w:p w14:paraId="199A315E" w14:textId="77777777" w:rsidR="00066045" w:rsidRDefault="00066045" w:rsidP="00066045">
      <w:pPr>
        <w:autoSpaceDE w:val="0"/>
        <w:autoSpaceDN w:val="0"/>
        <w:adjustRightInd w:val="0"/>
        <w:spacing w:after="0" w:line="240" w:lineRule="auto"/>
        <w:rPr>
          <w:rFonts w:ascii="Times New Roman" w:hAnsi="Times New Roman" w:cs="Times New Roman"/>
          <w:color w:val="0000FF"/>
        </w:rPr>
      </w:pPr>
    </w:p>
    <w:p w14:paraId="4B64ADA0" w14:textId="77777777" w:rsidR="00066045" w:rsidRPr="00911C0D" w:rsidRDefault="00066045" w:rsidP="00066045">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 Nominal Bond-Stock Beta vs. 1980s Bond-Stock Beta</w:t>
      </w:r>
    </w:p>
    <w:p w14:paraId="7065C217" w14:textId="77777777" w:rsidR="00066045" w:rsidRPr="00911C0D" w:rsidRDefault="00066045" w:rsidP="00066045">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0AD3ECF0" w14:textId="77777777" w:rsidR="00066045" w:rsidRDefault="00066045" w:rsidP="00066045">
      <w:pPr>
        <w:autoSpaceDE w:val="0"/>
        <w:autoSpaceDN w:val="0"/>
        <w:adjustRightInd w:val="0"/>
        <w:spacing w:after="0" w:line="240" w:lineRule="auto"/>
        <w:rPr>
          <w:rFonts w:ascii="Times New Roman" w:hAnsi="Times New Roman" w:cs="Times New Roman"/>
          <w:color w:val="0000FF"/>
        </w:rPr>
      </w:pPr>
    </w:p>
    <w:p w14:paraId="7F355AF9" w14:textId="77777777" w:rsidR="00066045" w:rsidRDefault="00066045" w:rsidP="00066045">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5B7B238E" wp14:editId="1E0FED08">
            <wp:extent cx="5334000" cy="4000500"/>
            <wp:effectExtent l="0" t="0" r="0" b="0"/>
            <wp:docPr id="2020571801"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3CEFED9B" w14:textId="77777777" w:rsidR="00066045" w:rsidRDefault="00066045" w:rsidP="00066045">
      <w:pPr>
        <w:widowControl w:val="0"/>
        <w:autoSpaceDE w:val="0"/>
        <w:autoSpaceDN w:val="0"/>
        <w:adjustRightInd w:val="0"/>
        <w:spacing w:after="0" w:line="240" w:lineRule="auto"/>
        <w:ind w:left="360"/>
        <w:jc w:val="both"/>
        <w:rPr>
          <w:rFonts w:ascii="Times New Roman" w:hAnsi="Times New Roman" w:cs="Times New Roman"/>
          <w:color w:val="0000FF"/>
        </w:rPr>
      </w:pPr>
    </w:p>
    <w:p w14:paraId="3E6448EF" w14:textId="77777777" w:rsidR="00066045" w:rsidRDefault="00066045" w:rsidP="00D95858">
      <w:pPr>
        <w:autoSpaceDE w:val="0"/>
        <w:autoSpaceDN w:val="0"/>
        <w:adjustRightInd w:val="0"/>
        <w:spacing w:after="0" w:line="240" w:lineRule="auto"/>
      </w:pPr>
    </w:p>
    <w:p w14:paraId="4416FFDF" w14:textId="77777777" w:rsidR="00DD1DD0" w:rsidRDefault="00DD1DD0" w:rsidP="00D95858">
      <w:pPr>
        <w:autoSpaceDE w:val="0"/>
        <w:autoSpaceDN w:val="0"/>
        <w:adjustRightInd w:val="0"/>
        <w:spacing w:after="0" w:line="240" w:lineRule="auto"/>
      </w:pP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until the Covid-19 shock. In</w:t>
      </w:r>
      <w:r w:rsidRPr="00A47183">
        <w:rPr>
          <w:rFonts w:ascii="Times New Roman" w:hAnsi="Times New Roman" w:cs="Times New Roman" w:hint="eastAsia"/>
        </w:rPr>
        <w:t>fl</w:t>
      </w:r>
      <w:r w:rsidRPr="00A47183">
        <w:rPr>
          <w:rFonts w:ascii="Times New Roman" w:hAnsi="Times New Roman" w:cs="Times New Roman"/>
        </w:rPr>
        <w:t xml:space="preserve">ation </w:t>
      </w:r>
      <w:r w:rsidRPr="00A47183">
        <w:rPr>
          <w:rFonts w:ascii="Times New Roman" w:hAnsi="Times New Roman" w:cs="Times New Roman" w:hint="eastAsia"/>
        </w:rPr>
        <w:t>fl</w:t>
      </w:r>
      <w:r w:rsidRPr="00A47183">
        <w:rPr>
          <w:rFonts w:ascii="Times New Roman" w:hAnsi="Times New Roman" w:cs="Times New Roman"/>
        </w:rPr>
        <w:t>ared up recently, but that is because</w:t>
      </w:r>
      <w:r w:rsidRPr="00A47183">
        <w:rPr>
          <w:rFonts w:ascii="Times New Roman" w:hAnsi="Times New Roman" w:cs="Times New Roman" w:hint="eastAsia"/>
        </w:rPr>
        <w:t xml:space="preserve"> </w:t>
      </w:r>
      <w:r w:rsidRPr="00A47183">
        <w:rPr>
          <w:rFonts w:ascii="Times New Roman" w:hAnsi="Times New Roman" w:cs="Times New Roman"/>
        </w:rPr>
        <w:t>Covid-19 was a large and unusual supply shock. The Fed made a mistake</w:t>
      </w:r>
      <w:r w:rsidRPr="00A47183">
        <w:rPr>
          <w:rFonts w:ascii="Times New Roman" w:hAnsi="Times New Roman" w:cs="Times New Roman" w:hint="eastAsia"/>
        </w:rPr>
        <w:t xml:space="preserve"> </w:t>
      </w:r>
      <w:r w:rsidRPr="00A47183">
        <w:rPr>
          <w:rFonts w:ascii="Times New Roman" w:hAnsi="Times New Roman" w:cs="Times New Roman"/>
        </w:rPr>
        <w:t>in thinking that this shock was more transitory than it was (the markets</w:t>
      </w:r>
      <w:r w:rsidRPr="00A47183">
        <w:rPr>
          <w:rFonts w:ascii="Times New Roman" w:hAnsi="Times New Roman" w:cs="Times New Roman" w:hint="eastAsia"/>
        </w:rPr>
        <w:t xml:space="preserve"> </w:t>
      </w:r>
      <w:r w:rsidRPr="00A47183">
        <w:rPr>
          <w:rFonts w:ascii="Times New Roman" w:hAnsi="Times New Roman" w:cs="Times New Roman"/>
        </w:rPr>
        <w:t>made the same mistake throughout 2021). There is no evidence that the</w:t>
      </w:r>
      <w:r w:rsidRPr="00A47183">
        <w:rPr>
          <w:rFonts w:ascii="Times New Roman" w:hAnsi="Times New Roman" w:cs="Times New Roman" w:hint="eastAsia"/>
        </w:rPr>
        <w:t xml:space="preserve"> </w:t>
      </w:r>
      <w:r w:rsidRPr="00A47183">
        <w:rPr>
          <w:rFonts w:ascii="Times New Roman" w:hAnsi="Times New Roman" w:cs="Times New Roman"/>
        </w:rPr>
        <w:t>Fed was less in</w:t>
      </w:r>
      <w:r w:rsidRPr="00A47183">
        <w:rPr>
          <w:rFonts w:ascii="Times New Roman" w:hAnsi="Times New Roman" w:cs="Times New Roman" w:hint="eastAsia"/>
        </w:rPr>
        <w:t>fl</w:t>
      </w:r>
      <w:r w:rsidRPr="00A47183">
        <w:rPr>
          <w:rFonts w:ascii="Times New Roman" w:hAnsi="Times New Roman" w:cs="Times New Roman"/>
        </w:rPr>
        <w:t>ation focused or less inertial. In fact, once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w:t>
      </w:r>
      <w:r w:rsidRPr="00A47183">
        <w:rPr>
          <w:rFonts w:ascii="Times New Roman" w:hAnsi="Times New Roman" w:cs="Times New Roman" w:hint="eastAsia"/>
        </w:rPr>
        <w:lastRenderedPageBreak/>
        <w:t xml:space="preserve">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gained credibility so in</w:t>
      </w:r>
      <w:r w:rsidRPr="00A47183">
        <w:rPr>
          <w:rFonts w:ascii="Times New Roman" w:hAnsi="Times New Roman" w:cs="Times New Roman" w:hint="eastAsia"/>
        </w:rPr>
        <w:t>fl</w:t>
      </w:r>
      <w:r w:rsidRPr="00A47183">
        <w:rPr>
          <w:rFonts w:ascii="Times New Roman" w:hAnsi="Times New Roman" w:cs="Times New Roman"/>
        </w:rPr>
        <w:t>ation expectations have not changed very much (beyond a few</w:t>
      </w:r>
      <w:r w:rsidRPr="00A47183">
        <w:rPr>
          <w:rFonts w:ascii="Times New Roman" w:hAnsi="Times New Roman" w:cs="Times New Roman" w:hint="eastAsia"/>
        </w:rPr>
        <w:t xml:space="preserve"> </w:t>
      </w:r>
      <w:r w:rsidRPr="00A47183">
        <w:rPr>
          <w:rFonts w:ascii="Times New Roman" w:hAnsi="Times New Roman" w:cs="Times New Roman"/>
        </w:rPr>
        <w:t>years). At the same time, because of large macroeconomic shocks (both supply and</w:t>
      </w:r>
      <w:r w:rsidRPr="00A47183">
        <w:rPr>
          <w:rFonts w:ascii="Times New Roman" w:hAnsi="Times New Roman" w:cs="Times New Roman" w:hint="eastAsia"/>
        </w:rPr>
        <w:t xml:space="preserve"> </w:t>
      </w:r>
      <w:r w:rsidRPr="00A47183">
        <w:rPr>
          <w:rFonts w:ascii="Times New Roman" w:hAnsi="Times New Roman" w:cs="Times New Roman"/>
        </w:rPr>
        <w:t xml:space="preserve">demand), the Fed had to move interest rates much more than in the past to shift </w:t>
      </w:r>
      <w:r w:rsidRPr="00A47183">
        <w:rPr>
          <w:rFonts w:ascii="Times New Roman" w:hAnsi="Times New Roman" w:cs="Times New Roman" w:hint="eastAsia"/>
        </w:rPr>
        <w:t>fi</w:t>
      </w:r>
      <w:r w:rsidRPr="00A47183">
        <w:rPr>
          <w:rFonts w:ascii="Times New Roman" w:hAnsi="Times New Roman" w:cs="Times New Roman"/>
        </w:rPr>
        <w:t>nancial</w:t>
      </w:r>
      <w:r w:rsidRPr="00A47183">
        <w:rPr>
          <w:rFonts w:ascii="Times New Roman" w:hAnsi="Times New Roman" w:cs="Times New Roman" w:hint="eastAsia"/>
        </w:rPr>
        <w:t xml:space="preserve"> </w:t>
      </w:r>
      <w:r w:rsidRPr="00A47183">
        <w:rPr>
          <w:rFonts w:ascii="Times New Roman" w:hAnsi="Times New Roman" w:cs="Times New Roman"/>
        </w:rPr>
        <w:t>conditions and control in</w:t>
      </w:r>
      <w:r w:rsidRPr="00A47183">
        <w:rPr>
          <w:rFonts w:ascii="Times New Roman" w:hAnsi="Times New Roman" w:cs="Times New Roman" w:hint="eastAsia"/>
        </w:rPr>
        <w:t>fl</w:t>
      </w:r>
      <w:r w:rsidRPr="00A47183">
        <w:rPr>
          <w:rFonts w:ascii="Times New Roman" w:hAnsi="Times New Roman" w:cs="Times New Roman"/>
        </w:rPr>
        <w:t>ation. The prevalence of macroeconomic shocks increased the</w:t>
      </w:r>
      <w:r w:rsidRPr="00A47183">
        <w:rPr>
          <w:rFonts w:ascii="Times New Roman" w:hAnsi="Times New Roman" w:cs="Times New Roman" w:hint="eastAsia"/>
        </w:rPr>
        <w:t xml:space="preserve"> </w:t>
      </w:r>
      <w:r w:rsidRPr="00A47183">
        <w:rPr>
          <w:rFonts w:ascii="Times New Roman" w:hAnsi="Times New Roman" w:cs="Times New Roman"/>
        </w:rPr>
        <w:t>interest rate volatility and the bond-stock betas starting from a negative level.</w:t>
      </w:r>
      <w:r w:rsidRPr="00A47183">
        <w:rPr>
          <w:rStyle w:val="FootnoteReference"/>
          <w:rFonts w:ascii="Times New Roman" w:hAnsi="Times New Roman" w:cs="Times New Roman"/>
        </w:rPr>
        <w:footnoteReference w:id="3"/>
      </w:r>
      <w:r w:rsidRPr="00A47183">
        <w:rPr>
          <w:rFonts w:ascii="Times New Roman" w:hAnsi="Times New Roman" w:cs="Times New Roman"/>
        </w:rPr>
        <w:t xml:space="preserve"> This</w:t>
      </w:r>
      <w:r w:rsidRPr="00A47183">
        <w:rPr>
          <w:rFonts w:ascii="Times New Roman" w:hAnsi="Times New Roman" w:cs="Times New Roman" w:hint="eastAsia"/>
        </w:rPr>
        <w:t xml:space="preserve"> </w:t>
      </w:r>
      <w:r w:rsidRPr="00A47183">
        <w:rPr>
          <w:rFonts w:ascii="Times New Roman" w:hAnsi="Times New Roman" w:cs="Times New Roman"/>
        </w:rPr>
        <w:t>story does not require a change in the Fed’s inertia or in</w:t>
      </w:r>
      <w:r w:rsidRPr="00A47183">
        <w:rPr>
          <w:rFonts w:ascii="Times New Roman" w:hAnsi="Times New Roman" w:cs="Times New Roman" w:hint="eastAsia"/>
        </w:rPr>
        <w:t>fl</w:t>
      </w:r>
      <w:r w:rsidRPr="00A47183">
        <w:rPr>
          <w:rFonts w:ascii="Times New Roman" w:hAnsi="Times New Roman" w:cs="Times New Roman"/>
        </w:rPr>
        <w:t>ation focus, and it does not</w:t>
      </w:r>
      <w:r w:rsidRPr="00A47183">
        <w:rPr>
          <w:rFonts w:ascii="Times New Roman" w:hAnsi="Times New Roman" w:cs="Times New Roman" w:hint="eastAsia"/>
        </w:rPr>
        <w:t xml:space="preserve"> </w:t>
      </w:r>
      <w:r w:rsidRPr="00A47183">
        <w:rPr>
          <w:rFonts w:ascii="Times New Roman" w:hAnsi="Times New Roman" w:cs="Times New Roman"/>
        </w:rPr>
        <w:t>require a complicated model with habit formation.</w:t>
      </w:r>
    </w:p>
    <w:p w14:paraId="640D0F50" w14:textId="05474BB9" w:rsidR="005B672C" w:rsidRDefault="005B672C" w:rsidP="00DD71CF">
      <w:pPr>
        <w:adjustRightInd w:val="0"/>
        <w:spacing w:before="240" w:after="0" w:line="240" w:lineRule="auto"/>
        <w:ind w:left="360"/>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C619F4">
        <w:rPr>
          <w:rFonts w:ascii="Times New Roman" w:hAnsi="Times New Roman" w:cs="Times New Roman"/>
          <w:color w:val="0000FF"/>
        </w:rPr>
        <w:t xml:space="preserve">I </w:t>
      </w:r>
      <w:r w:rsidR="00C619F4" w:rsidRPr="00C619F4">
        <w:rPr>
          <w:rFonts w:ascii="Times New Roman" w:hAnsi="Times New Roman" w:cs="Times New Roman"/>
          <w:b/>
          <w:bCs/>
          <w:color w:val="0000FF"/>
        </w:rPr>
        <w:t>added the new Section 5</w:t>
      </w:r>
      <w:r w:rsidR="00C619F4">
        <w:rPr>
          <w:rFonts w:ascii="Times New Roman" w:hAnsi="Times New Roman" w:cs="Times New Roman"/>
          <w:color w:val="0000FF"/>
        </w:rPr>
        <w:t xml:space="preserve"> </w:t>
      </w:r>
      <w:r w:rsidR="00C2455A">
        <w:rPr>
          <w:rFonts w:ascii="Times New Roman" w:hAnsi="Times New Roman" w:cs="Times New Roman"/>
          <w:color w:val="0000FF"/>
        </w:rPr>
        <w:t>to the paper to</w:t>
      </w:r>
      <w:r w:rsidR="00DB0D40">
        <w:rPr>
          <w:rFonts w:ascii="Times New Roman" w:hAnsi="Times New Roman" w:cs="Times New Roman"/>
          <w:color w:val="0000FF"/>
        </w:rPr>
        <w:t xml:space="preserve"> clarify and extend the discussion of post-pandemic bond-stock betas, as </w:t>
      </w:r>
      <w:r w:rsidR="00C2455A">
        <w:rPr>
          <w:rFonts w:ascii="Times New Roman" w:hAnsi="Times New Roman" w:cs="Times New Roman"/>
          <w:color w:val="0000FF"/>
        </w:rPr>
        <w:t xml:space="preserve">viewed through the lens of the model. </w:t>
      </w:r>
      <w:r w:rsidR="00EE681B">
        <w:rPr>
          <w:rFonts w:ascii="Times New Roman" w:hAnsi="Times New Roman" w:cs="Times New Roman"/>
          <w:color w:val="0000FF"/>
        </w:rPr>
        <w:t>To set the stage, t</w:t>
      </w:r>
      <w:r w:rsidR="00C619F4">
        <w:rPr>
          <w:rFonts w:ascii="Times New Roman" w:hAnsi="Times New Roman" w:cs="Times New Roman"/>
          <w:color w:val="0000FF"/>
        </w:rPr>
        <w:t xml:space="preserve">he </w:t>
      </w:r>
      <w:r w:rsidR="00C619F4" w:rsidRPr="00EE681B">
        <w:rPr>
          <w:rFonts w:ascii="Times New Roman" w:hAnsi="Times New Roman" w:cs="Times New Roman"/>
          <w:b/>
          <w:bCs/>
          <w:color w:val="0000FF"/>
        </w:rPr>
        <w:t>new Figure 8</w:t>
      </w:r>
      <w:r w:rsidR="00C619F4">
        <w:rPr>
          <w:rFonts w:ascii="Times New Roman" w:hAnsi="Times New Roman" w:cs="Times New Roman"/>
          <w:color w:val="0000FF"/>
        </w:rPr>
        <w:t xml:space="preserve"> shows </w:t>
      </w:r>
      <w:r w:rsidR="002A3E2E">
        <w:rPr>
          <w:rFonts w:ascii="Times New Roman" w:hAnsi="Times New Roman" w:cs="Times New Roman"/>
          <w:color w:val="0000FF"/>
        </w:rPr>
        <w:t>that the</w:t>
      </w:r>
      <w:r w:rsidR="00C619F4">
        <w:rPr>
          <w:rFonts w:ascii="Times New Roman" w:hAnsi="Times New Roman" w:cs="Times New Roman"/>
          <w:color w:val="0000FF"/>
        </w:rPr>
        <w:t xml:space="preserve"> initial </w:t>
      </w:r>
      <w:r w:rsidR="002A3E2E">
        <w:rPr>
          <w:rFonts w:ascii="Times New Roman" w:hAnsi="Times New Roman" w:cs="Times New Roman"/>
          <w:color w:val="0000FF"/>
        </w:rPr>
        <w:t xml:space="preserve">run-up </w:t>
      </w:r>
      <w:r w:rsidR="00C619F4">
        <w:rPr>
          <w:rFonts w:ascii="Times New Roman" w:hAnsi="Times New Roman" w:cs="Times New Roman"/>
          <w:color w:val="0000FF"/>
        </w:rPr>
        <w:t xml:space="preserve">in inflation during the early post-pandemic </w:t>
      </w:r>
      <w:r w:rsidR="002A3E2E">
        <w:rPr>
          <w:rFonts w:ascii="Times New Roman" w:hAnsi="Times New Roman" w:cs="Times New Roman"/>
          <w:color w:val="0000FF"/>
        </w:rPr>
        <w:t>was accompanied by little change in monetary policy</w:t>
      </w:r>
      <w:r w:rsidR="00247E98">
        <w:rPr>
          <w:rFonts w:ascii="Times New Roman" w:hAnsi="Times New Roman" w:cs="Times New Roman"/>
          <w:color w:val="0000FF"/>
        </w:rPr>
        <w:t xml:space="preserve">. As you point out, the Fed eventually did show an energetic response to inflation, lifting interest rates by more than 500 bps by August 2023. However, this response occurred with a substantial lag relative to the initial run-up of inflation, which already occurred in 2021. </w:t>
      </w:r>
      <w:r w:rsidR="00C619F4" w:rsidRPr="002A3E2E">
        <w:rPr>
          <w:rFonts w:ascii="Times New Roman" w:hAnsi="Times New Roman" w:cs="Times New Roman"/>
          <w:b/>
          <w:bCs/>
          <w:color w:val="0000FF"/>
        </w:rPr>
        <w:t>Figure 9</w:t>
      </w:r>
      <w:r w:rsidR="00C619F4">
        <w:rPr>
          <w:rFonts w:ascii="Times New Roman" w:hAnsi="Times New Roman" w:cs="Times New Roman"/>
          <w:color w:val="0000FF"/>
        </w:rPr>
        <w:t xml:space="preserve"> shows rolling nominal and real bond-stock betas and breakeven betas</w:t>
      </w:r>
      <w:r w:rsidR="00C2455A">
        <w:rPr>
          <w:rFonts w:ascii="Times New Roman" w:hAnsi="Times New Roman" w:cs="Times New Roman"/>
          <w:color w:val="0000FF"/>
        </w:rPr>
        <w:t xml:space="preserve">, showing that nominal bond betas remained negative during the early post-pandemic but did turn positive </w:t>
      </w:r>
      <w:r w:rsidR="00397A8A">
        <w:rPr>
          <w:rFonts w:ascii="Times New Roman" w:hAnsi="Times New Roman" w:cs="Times New Roman"/>
          <w:color w:val="0000FF"/>
        </w:rPr>
        <w:t xml:space="preserve">in the second half of 2023, </w:t>
      </w:r>
      <w:r w:rsidR="00C2455A">
        <w:rPr>
          <w:rFonts w:ascii="Times New Roman" w:hAnsi="Times New Roman" w:cs="Times New Roman"/>
          <w:color w:val="0000FF"/>
        </w:rPr>
        <w:t>roughly coinciding with the Fed’s more energetic inflation response</w:t>
      </w:r>
      <w:r w:rsidR="00C619F4">
        <w:rPr>
          <w:rFonts w:ascii="Times New Roman" w:hAnsi="Times New Roman" w:cs="Times New Roman"/>
          <w:color w:val="0000FF"/>
        </w:rPr>
        <w:t xml:space="preserve">. </w:t>
      </w:r>
      <w:r w:rsidR="00C619F4" w:rsidRPr="002A3E2E">
        <w:rPr>
          <w:rFonts w:ascii="Times New Roman" w:hAnsi="Times New Roman" w:cs="Times New Roman"/>
          <w:b/>
          <w:bCs/>
          <w:color w:val="0000FF"/>
        </w:rPr>
        <w:t>Table 3</w:t>
      </w:r>
      <w:r w:rsidR="00C619F4">
        <w:rPr>
          <w:rFonts w:ascii="Times New Roman" w:hAnsi="Times New Roman" w:cs="Times New Roman"/>
          <w:color w:val="0000FF"/>
        </w:rPr>
        <w:t xml:space="preserve"> </w:t>
      </w:r>
      <w:r w:rsidR="00E9085B">
        <w:rPr>
          <w:rFonts w:ascii="Times New Roman" w:hAnsi="Times New Roman" w:cs="Times New Roman"/>
          <w:color w:val="0000FF"/>
        </w:rPr>
        <w:t xml:space="preserve">now </w:t>
      </w:r>
      <w:r w:rsidR="00397A8A">
        <w:rPr>
          <w:rFonts w:ascii="Times New Roman" w:hAnsi="Times New Roman" w:cs="Times New Roman"/>
          <w:color w:val="0000FF"/>
        </w:rPr>
        <w:t xml:space="preserve">shows the model-implied monetary policy and shock parameters required to fit </w:t>
      </w:r>
      <w:r w:rsidR="00C619F4">
        <w:rPr>
          <w:rFonts w:ascii="Times New Roman" w:hAnsi="Times New Roman" w:cs="Times New Roman"/>
          <w:color w:val="0000FF"/>
        </w:rPr>
        <w:t>nominal and real bond-stock betas</w:t>
      </w:r>
      <w:r w:rsidR="00397A8A">
        <w:rPr>
          <w:rFonts w:ascii="Times New Roman" w:hAnsi="Times New Roman" w:cs="Times New Roman"/>
          <w:color w:val="0000FF"/>
        </w:rPr>
        <w:t xml:space="preserve"> during the post-pandemic period, dividing the post-pandemic period into an early post-pandemic (</w:t>
      </w:r>
      <w:r w:rsidR="00397A8A" w:rsidRPr="00397A8A">
        <w:rPr>
          <w:rFonts w:ascii="Times New Roman" w:hAnsi="Times New Roman" w:cs="Times New Roman"/>
          <w:color w:val="0000FF"/>
        </w:rPr>
        <w:t>2020.Q2-2023.Q2</w:t>
      </w:r>
      <w:r w:rsidR="00397A8A">
        <w:rPr>
          <w:rFonts w:ascii="Times New Roman" w:hAnsi="Times New Roman" w:cs="Times New Roman"/>
          <w:color w:val="0000FF"/>
        </w:rPr>
        <w:t>) and a late post-pandemic (</w:t>
      </w:r>
      <w:r w:rsidR="00397A8A" w:rsidRPr="00397A8A">
        <w:rPr>
          <w:rFonts w:ascii="Times New Roman" w:hAnsi="Times New Roman" w:cs="Times New Roman"/>
          <w:color w:val="0000FF"/>
        </w:rPr>
        <w:t>2023.Q3-2023.Q4</w:t>
      </w:r>
      <w:r w:rsidR="00397A8A">
        <w:rPr>
          <w:rFonts w:ascii="Times New Roman" w:hAnsi="Times New Roman" w:cs="Times New Roman"/>
          <w:color w:val="0000FF"/>
        </w:rPr>
        <w:t>). I find</w:t>
      </w:r>
      <w:r w:rsidR="00C2455A">
        <w:rPr>
          <w:rFonts w:ascii="Times New Roman" w:hAnsi="Times New Roman" w:cs="Times New Roman"/>
          <w:color w:val="0000FF"/>
        </w:rPr>
        <w:t xml:space="preserve"> that the model can fit bond-stock betas during </w:t>
      </w:r>
      <w:r w:rsidR="00397A8A">
        <w:rPr>
          <w:rFonts w:ascii="Times New Roman" w:hAnsi="Times New Roman" w:cs="Times New Roman"/>
          <w:color w:val="0000FF"/>
        </w:rPr>
        <w:t xml:space="preserve">both </w:t>
      </w:r>
      <w:r w:rsidR="00C2455A">
        <w:rPr>
          <w:rFonts w:ascii="Times New Roman" w:hAnsi="Times New Roman" w:cs="Times New Roman"/>
          <w:color w:val="0000FF"/>
        </w:rPr>
        <w:t>post-pandemic</w:t>
      </w:r>
      <w:r w:rsidR="00397A8A">
        <w:rPr>
          <w:rFonts w:ascii="Times New Roman" w:hAnsi="Times New Roman" w:cs="Times New Roman"/>
          <w:color w:val="0000FF"/>
        </w:rPr>
        <w:t xml:space="preserve"> episodes. To do so, it requires 1980s-style shocks with a high volatility of supply shocks, a low monetary policy inflation coefficient during the early post-pandemic, but a much higher inflation coefficient during the later post-pandemic. These model implications line up with anecdotal evidence from this period, with its concerns about renewed supply-shock driven inflation, and a Fed that initially did little to counteract inflation but later reversed course and showed a strong inflation response. </w:t>
      </w:r>
    </w:p>
    <w:p w14:paraId="0B04066E" w14:textId="3E4E1848" w:rsidR="00D67084" w:rsidRDefault="005E39B7"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A key advantage of my </w:t>
      </w:r>
      <w:r w:rsidR="00EE681B">
        <w:rPr>
          <w:rFonts w:ascii="Times New Roman" w:hAnsi="Times New Roman" w:cs="Times New Roman"/>
          <w:color w:val="0000FF"/>
        </w:rPr>
        <w:t xml:space="preserve">general equilibrium model </w:t>
      </w:r>
      <w:r>
        <w:rPr>
          <w:rFonts w:ascii="Times New Roman" w:hAnsi="Times New Roman" w:cs="Times New Roman"/>
          <w:color w:val="0000FF"/>
        </w:rPr>
        <w:t xml:space="preserve">is that it </w:t>
      </w:r>
      <w:r w:rsidR="004B38DD">
        <w:rPr>
          <w:rFonts w:ascii="Times New Roman" w:hAnsi="Times New Roman" w:cs="Times New Roman"/>
          <w:color w:val="0000FF"/>
        </w:rPr>
        <w:t xml:space="preserve">can formalize and assess the quantitative importance of a variety of potential drivers of bond-stock betas, including </w:t>
      </w:r>
      <w:r w:rsidR="00061E83">
        <w:rPr>
          <w:rFonts w:ascii="Times New Roman" w:hAnsi="Times New Roman" w:cs="Times New Roman"/>
          <w:color w:val="0000FF"/>
        </w:rPr>
        <w:t>the rationality of inflation expectations, monetary policy uncertainty, and “sentiment” or risk premium shocks. In my model</w:t>
      </w:r>
      <w:r w:rsidR="004B38DD">
        <w:rPr>
          <w:rFonts w:ascii="Times New Roman" w:hAnsi="Times New Roman" w:cs="Times New Roman"/>
          <w:color w:val="0000FF"/>
        </w:rPr>
        <w:t xml:space="preserve">, </w:t>
      </w:r>
      <w:r w:rsidR="005D76D9">
        <w:rPr>
          <w:rFonts w:ascii="Times New Roman" w:hAnsi="Times New Roman" w:cs="Times New Roman"/>
          <w:color w:val="0000FF"/>
        </w:rPr>
        <w:t>“</w:t>
      </w:r>
      <w:r w:rsidR="00ED1DAA">
        <w:rPr>
          <w:rFonts w:ascii="Times New Roman" w:hAnsi="Times New Roman" w:cs="Times New Roman"/>
          <w:color w:val="0000FF"/>
        </w:rPr>
        <w:t>s</w:t>
      </w:r>
      <w:r w:rsidR="005D76D9">
        <w:rPr>
          <w:rFonts w:ascii="Times New Roman" w:hAnsi="Times New Roman" w:cs="Times New Roman"/>
          <w:color w:val="0000FF"/>
        </w:rPr>
        <w:t>entiment”</w:t>
      </w:r>
      <w:r w:rsidR="00ED1DAA">
        <w:rPr>
          <w:rFonts w:ascii="Times New Roman" w:hAnsi="Times New Roman" w:cs="Times New Roman"/>
          <w:color w:val="0000FF"/>
        </w:rPr>
        <w:t xml:space="preserve"> shocks </w:t>
      </w:r>
      <w:r w:rsidR="004B38DD">
        <w:rPr>
          <w:rFonts w:ascii="Times New Roman" w:hAnsi="Times New Roman" w:cs="Times New Roman"/>
          <w:color w:val="0000FF"/>
        </w:rPr>
        <w:t xml:space="preserve">are endogenous through the </w:t>
      </w:r>
      <w:r w:rsidR="00EE681B">
        <w:rPr>
          <w:rFonts w:ascii="Times New Roman" w:hAnsi="Times New Roman" w:cs="Times New Roman"/>
          <w:color w:val="0000FF"/>
        </w:rPr>
        <w:t>habit formation mechanism, which leads to time-varying risk aversion</w:t>
      </w:r>
      <w:r w:rsidR="00894D86">
        <w:rPr>
          <w:rFonts w:ascii="Times New Roman" w:hAnsi="Times New Roman" w:cs="Times New Roman"/>
          <w:color w:val="0000FF"/>
        </w:rPr>
        <w:t xml:space="preserve">. </w:t>
      </w:r>
      <w:r w:rsidR="00226638">
        <w:rPr>
          <w:rFonts w:ascii="Times New Roman" w:hAnsi="Times New Roman" w:cs="Times New Roman"/>
          <w:color w:val="0000FF"/>
        </w:rPr>
        <w:t xml:space="preserve">If bonds have safe real cash flows, i.e. real cash flows increase in times of high marginal utility, a drop in consumption towards habit increases the valuation of the safe bonds, while simultaneously reducing how much investors are willing to pay for risky stocks, resembling a “flight-to-safety” effect. However, if nominal bonds’ real cash flows fall at times of high marginal utility, </w:t>
      </w:r>
      <w:r w:rsidR="00061E83">
        <w:rPr>
          <w:rFonts w:ascii="Times New Roman" w:hAnsi="Times New Roman" w:cs="Times New Roman"/>
          <w:color w:val="0000FF"/>
        </w:rPr>
        <w:t>such as would be the case if</w:t>
      </w:r>
      <w:r w:rsidR="00226638">
        <w:rPr>
          <w:rFonts w:ascii="Times New Roman" w:hAnsi="Times New Roman" w:cs="Times New Roman"/>
          <w:color w:val="0000FF"/>
        </w:rPr>
        <w:t xml:space="preserve"> inflation is expected to increase in bad times,</w:t>
      </w:r>
      <w:r w:rsidR="00061E83">
        <w:rPr>
          <w:rFonts w:ascii="Times New Roman" w:hAnsi="Times New Roman" w:cs="Times New Roman"/>
          <w:color w:val="0000FF"/>
        </w:rPr>
        <w:t xml:space="preserve"> nominal bonds</w:t>
      </w:r>
      <w:r w:rsidR="00226638">
        <w:rPr>
          <w:rFonts w:ascii="Times New Roman" w:hAnsi="Times New Roman" w:cs="Times New Roman"/>
          <w:color w:val="0000FF"/>
        </w:rPr>
        <w:t xml:space="preserve"> suffer </w:t>
      </w:r>
      <w:r w:rsidR="009A71C8">
        <w:rPr>
          <w:rFonts w:ascii="Times New Roman" w:hAnsi="Times New Roman" w:cs="Times New Roman"/>
          <w:color w:val="0000FF"/>
        </w:rPr>
        <w:t xml:space="preserve">along with stocks </w:t>
      </w:r>
      <w:r w:rsidR="00226638">
        <w:rPr>
          <w:rFonts w:ascii="Times New Roman" w:hAnsi="Times New Roman" w:cs="Times New Roman"/>
          <w:color w:val="0000FF"/>
        </w:rPr>
        <w:t xml:space="preserve">when risk aversion increases. </w:t>
      </w:r>
      <w:r w:rsidR="00EE681B">
        <w:rPr>
          <w:rFonts w:ascii="Times New Roman" w:hAnsi="Times New Roman" w:cs="Times New Roman"/>
          <w:color w:val="0000FF"/>
        </w:rPr>
        <w:t>Habits are hence necessary</w:t>
      </w:r>
      <w:r w:rsidR="00ED1DAA">
        <w:rPr>
          <w:rFonts w:ascii="Times New Roman" w:hAnsi="Times New Roman" w:cs="Times New Roman"/>
          <w:color w:val="0000FF"/>
        </w:rPr>
        <w:t xml:space="preserve"> in my model to </w:t>
      </w:r>
      <w:r w:rsidR="00061E83">
        <w:rPr>
          <w:rFonts w:ascii="Times New Roman" w:hAnsi="Times New Roman" w:cs="Times New Roman"/>
          <w:color w:val="0000FF"/>
        </w:rPr>
        <w:t xml:space="preserve">endogenize “sentiment” shocks and to </w:t>
      </w:r>
      <w:r w:rsidR="00ED1DAA">
        <w:rPr>
          <w:rFonts w:ascii="Times New Roman" w:hAnsi="Times New Roman" w:cs="Times New Roman"/>
          <w:color w:val="0000FF"/>
        </w:rPr>
        <w:t xml:space="preserve">reconcile the high volatility of stock returns relative to the much lower </w:t>
      </w:r>
      <w:r w:rsidR="00ED1DAA">
        <w:rPr>
          <w:rFonts w:ascii="Times New Roman" w:hAnsi="Times New Roman" w:cs="Times New Roman"/>
          <w:color w:val="0000FF"/>
        </w:rPr>
        <w:lastRenderedPageBreak/>
        <w:t xml:space="preserve">volatility of the macroeconomy (the famous “equity volatility puzzle” of Shiller (1981)). </w:t>
      </w:r>
      <w:r>
        <w:rPr>
          <w:rFonts w:ascii="Times New Roman" w:hAnsi="Times New Roman" w:cs="Times New Roman"/>
          <w:color w:val="0000FF"/>
        </w:rPr>
        <w:t xml:space="preserve">Because “sentiment” shocks </w:t>
      </w:r>
      <w:r w:rsidR="00AC6B94">
        <w:rPr>
          <w:rFonts w:ascii="Times New Roman" w:hAnsi="Times New Roman" w:cs="Times New Roman"/>
          <w:color w:val="0000FF"/>
        </w:rPr>
        <w:t>in the model are endogenous</w:t>
      </w:r>
      <w:r>
        <w:rPr>
          <w:rFonts w:ascii="Times New Roman" w:hAnsi="Times New Roman" w:cs="Times New Roman"/>
          <w:color w:val="0000FF"/>
        </w:rPr>
        <w:t xml:space="preserve">, </w:t>
      </w:r>
      <w:r w:rsidR="00AC6B94">
        <w:rPr>
          <w:rFonts w:ascii="Times New Roman" w:hAnsi="Times New Roman" w:cs="Times New Roman"/>
          <w:color w:val="0000FF"/>
        </w:rPr>
        <w:t>they do not provide a free parameter to understand bond-stock betas</w:t>
      </w:r>
      <w:r w:rsidR="00061E83">
        <w:rPr>
          <w:rFonts w:ascii="Times New Roman" w:hAnsi="Times New Roman" w:cs="Times New Roman"/>
          <w:color w:val="0000FF"/>
        </w:rPr>
        <w:t>, but instead amplify positive bond-stock betas if monetary policy and the nature of macroeconomic shocks make bonds’</w:t>
      </w:r>
      <w:r w:rsidR="009A71C8">
        <w:rPr>
          <w:rFonts w:ascii="Times New Roman" w:hAnsi="Times New Roman" w:cs="Times New Roman"/>
          <w:color w:val="0000FF"/>
        </w:rPr>
        <w:t xml:space="preserve"> </w:t>
      </w:r>
      <w:r w:rsidR="00061E83">
        <w:rPr>
          <w:rFonts w:ascii="Times New Roman" w:hAnsi="Times New Roman" w:cs="Times New Roman"/>
          <w:color w:val="0000FF"/>
        </w:rPr>
        <w:t xml:space="preserve">real cash flows risky and vice versa. </w:t>
      </w:r>
      <w:r w:rsidR="00ED1DAA">
        <w:rPr>
          <w:rFonts w:ascii="Times New Roman" w:hAnsi="Times New Roman" w:cs="Times New Roman"/>
          <w:color w:val="0000FF"/>
        </w:rPr>
        <w:t>I added a paragraph to the paper explaining the endogenous role of “sentiment” shocks to Section 5 (</w:t>
      </w:r>
      <w:r w:rsidR="00ED1DAA" w:rsidRPr="00ED1DAA">
        <w:rPr>
          <w:rFonts w:ascii="Times New Roman" w:hAnsi="Times New Roman" w:cs="Times New Roman"/>
          <w:b/>
          <w:bCs/>
          <w:color w:val="0000FF"/>
        </w:rPr>
        <w:t>p. XX, paragraph starting “One might wonder whether ``sentiment'' shocks could turn bond-stock betas negative…”</w:t>
      </w:r>
      <w:r w:rsidR="00ED1DAA">
        <w:rPr>
          <w:rFonts w:ascii="Times New Roman" w:hAnsi="Times New Roman" w:cs="Times New Roman"/>
          <w:color w:val="0000FF"/>
        </w:rPr>
        <w:t xml:space="preserve">). </w:t>
      </w:r>
    </w:p>
    <w:p w14:paraId="5F528204" w14:textId="5494D92A" w:rsidR="00D050F9" w:rsidRPr="00E039E1" w:rsidRDefault="00061E83" w:rsidP="002A7A21">
      <w:pPr>
        <w:adjustRightInd w:val="0"/>
        <w:spacing w:before="240"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T</w:t>
      </w:r>
      <w:r w:rsidR="00D67084">
        <w:rPr>
          <w:rFonts w:ascii="Times New Roman" w:hAnsi="Times New Roman" w:cs="Times New Roman"/>
          <w:color w:val="0000FF"/>
        </w:rPr>
        <w:t xml:space="preserve">he model is also well-suited </w:t>
      </w:r>
      <w:r>
        <w:rPr>
          <w:rFonts w:ascii="Times New Roman" w:hAnsi="Times New Roman" w:cs="Times New Roman"/>
          <w:color w:val="0000FF"/>
        </w:rPr>
        <w:t xml:space="preserve">to </w:t>
      </w:r>
      <w:r w:rsidR="00D67084">
        <w:rPr>
          <w:rFonts w:ascii="Times New Roman" w:hAnsi="Times New Roman" w:cs="Times New Roman"/>
          <w:color w:val="0000FF"/>
        </w:rPr>
        <w:t>examine the role of inflation expectations for bond-stock betas</w:t>
      </w:r>
      <w:r w:rsidR="00C868D7">
        <w:rPr>
          <w:rFonts w:ascii="Times New Roman" w:hAnsi="Times New Roman" w:cs="Times New Roman"/>
          <w:color w:val="0000FF"/>
        </w:rPr>
        <w:t xml:space="preserve">, as the </w:t>
      </w:r>
      <w:r w:rsidR="004D4528">
        <w:rPr>
          <w:rFonts w:ascii="Times New Roman" w:hAnsi="Times New Roman" w:cs="Times New Roman"/>
          <w:color w:val="0000FF"/>
        </w:rPr>
        <w:t xml:space="preserve">parameter </w:t>
      </w:r>
      <m:oMath>
        <m:r>
          <w:rPr>
            <w:rFonts w:ascii="Cambria Math" w:hAnsi="Cambria Math" w:cs="Times New Roman"/>
            <w:color w:val="0000FF"/>
          </w:rPr>
          <m:t>ζ</m:t>
        </m:r>
      </m:oMath>
      <w:r w:rsidR="004D4528">
        <w:rPr>
          <w:rFonts w:ascii="Times New Roman" w:hAnsi="Times New Roman" w:cs="Times New Roman"/>
          <w:color w:val="0000FF"/>
        </w:rPr>
        <w:t xml:space="preserve">  captures whether wage-setters’ inflation expectations are partially backward-looking. To stack the deck against finding an important role of supply shocks for inflation expectations, the exercise in Table 3 assumes that inflation expectations are fully</w:t>
      </w:r>
      <w:r w:rsidR="009A71C8">
        <w:rPr>
          <w:rFonts w:ascii="Times New Roman" w:hAnsi="Times New Roman" w:cs="Times New Roman"/>
          <w:color w:val="0000FF"/>
        </w:rPr>
        <w:t xml:space="preserve"> rational</w:t>
      </w:r>
      <w:r w:rsidR="004D4528">
        <w:rPr>
          <w:rFonts w:ascii="Times New Roman" w:hAnsi="Times New Roman" w:cs="Times New Roman"/>
          <w:color w:val="0000FF"/>
        </w:rPr>
        <w:t xml:space="preserve"> </w:t>
      </w:r>
      <w:r w:rsidR="00C868D7">
        <w:rPr>
          <w:rFonts w:ascii="Times New Roman" w:hAnsi="Times New Roman" w:cs="Times New Roman"/>
          <w:color w:val="0000FF"/>
        </w:rPr>
        <w:t>(</w:t>
      </w:r>
      <m:oMath>
        <m:r>
          <w:rPr>
            <w:rFonts w:ascii="Cambria Math" w:hAnsi="Cambria Math" w:cs="Times New Roman"/>
            <w:color w:val="0000FF"/>
          </w:rPr>
          <m:t>ζ=0</m:t>
        </m:r>
      </m:oMath>
      <w:r w:rsidR="00C868D7">
        <w:rPr>
          <w:rFonts w:ascii="Times New Roman" w:eastAsiaTheme="minorEastAsia" w:hAnsi="Times New Roman" w:cs="Times New Roman"/>
          <w:color w:val="0000FF"/>
        </w:rPr>
        <w:t>)</w:t>
      </w:r>
      <w:r w:rsidR="007D281E">
        <w:rPr>
          <w:rFonts w:ascii="Times New Roman" w:eastAsiaTheme="minorEastAsia" w:hAnsi="Times New Roman" w:cs="Times New Roman"/>
          <w:color w:val="0000FF"/>
        </w:rPr>
        <w:t xml:space="preserve">. </w:t>
      </w:r>
      <w:r w:rsidR="004D4528" w:rsidRPr="002A7A21">
        <w:rPr>
          <w:rFonts w:ascii="Times New Roman" w:eastAsiaTheme="minorEastAsia" w:hAnsi="Times New Roman" w:cs="Times New Roman"/>
          <w:b/>
          <w:bCs/>
          <w:color w:val="0000FF"/>
        </w:rPr>
        <w:t>Appendix Figure</w:t>
      </w:r>
      <w:r w:rsidR="002A7A21" w:rsidRPr="002A7A21">
        <w:rPr>
          <w:rFonts w:ascii="Times New Roman" w:eastAsiaTheme="minorEastAsia" w:hAnsi="Times New Roman" w:cs="Times New Roman"/>
          <w:b/>
          <w:bCs/>
          <w:color w:val="0000FF"/>
        </w:rPr>
        <w:t xml:space="preserve">s </w:t>
      </w:r>
      <w:r w:rsidR="004D4528" w:rsidRPr="002A7A21">
        <w:rPr>
          <w:rFonts w:ascii="Times New Roman" w:eastAsiaTheme="minorEastAsia" w:hAnsi="Times New Roman" w:cs="Times New Roman"/>
          <w:b/>
          <w:bCs/>
          <w:color w:val="0000FF"/>
        </w:rPr>
        <w:t>A</w:t>
      </w:r>
      <w:r w:rsidR="002A7A21" w:rsidRPr="002A7A21">
        <w:rPr>
          <w:rFonts w:ascii="Times New Roman" w:eastAsiaTheme="minorEastAsia" w:hAnsi="Times New Roman" w:cs="Times New Roman"/>
          <w:b/>
          <w:bCs/>
          <w:color w:val="0000FF"/>
        </w:rPr>
        <w:t>4 and A5</w:t>
      </w:r>
      <w:r w:rsidR="004D4528">
        <w:rPr>
          <w:rFonts w:ascii="Times New Roman" w:eastAsiaTheme="minorEastAsia" w:hAnsi="Times New Roman" w:cs="Times New Roman"/>
          <w:color w:val="0000FF"/>
        </w:rPr>
        <w:t xml:space="preserve"> </w:t>
      </w:r>
      <w:r w:rsidR="002A7A21">
        <w:rPr>
          <w:rFonts w:ascii="Times New Roman" w:eastAsiaTheme="minorEastAsia" w:hAnsi="Times New Roman" w:cs="Times New Roman"/>
          <w:color w:val="0000FF"/>
        </w:rPr>
        <w:t xml:space="preserve">show the link between inflation persistence and the rationality of wage-setters’ inflation expectations, </w:t>
      </w:r>
      <m:oMath>
        <m:r>
          <w:rPr>
            <w:rFonts w:ascii="Cambria Math" w:hAnsi="Cambria Math" w:cs="Times New Roman"/>
            <w:color w:val="0000FF"/>
          </w:rPr>
          <m:t>ζ</m:t>
        </m:r>
      </m:oMath>
      <w:r w:rsidR="002A7A21">
        <w:rPr>
          <w:rFonts w:ascii="Times New Roman" w:hAnsi="Times New Roman" w:cs="Times New Roman"/>
          <w:color w:val="0000FF"/>
        </w:rPr>
        <w:t xml:space="preserve"> </w:t>
      </w:r>
      <w:r w:rsidR="002A7A21">
        <w:rPr>
          <w:rFonts w:ascii="Times New Roman" w:eastAsiaTheme="minorEastAsia" w:hAnsi="Times New Roman" w:cs="Times New Roman"/>
          <w:color w:val="0000FF"/>
        </w:rPr>
        <w:t xml:space="preserve">. These figures show that </w:t>
      </w:r>
      <w:r w:rsidR="004D4528">
        <w:rPr>
          <w:rFonts w:ascii="Times New Roman" w:eastAsiaTheme="minorEastAsia" w:hAnsi="Times New Roman" w:cs="Times New Roman"/>
          <w:color w:val="0000FF"/>
        </w:rPr>
        <w:t xml:space="preserve">inflation mean-reverts </w:t>
      </w:r>
      <w:r w:rsidR="00B144D1">
        <w:rPr>
          <w:rFonts w:ascii="Times New Roman" w:eastAsiaTheme="minorEastAsia" w:hAnsi="Times New Roman" w:cs="Times New Roman"/>
          <w:color w:val="0000FF"/>
        </w:rPr>
        <w:t xml:space="preserve">substantially faster </w:t>
      </w:r>
      <w:r w:rsidR="004D4528">
        <w:rPr>
          <w:rFonts w:ascii="Times New Roman" w:eastAsiaTheme="minorEastAsia" w:hAnsi="Times New Roman" w:cs="Times New Roman"/>
          <w:color w:val="0000FF"/>
        </w:rPr>
        <w:t>following a supply shock if wage-setters’ inflation expectations are rational</w:t>
      </w:r>
      <w:r w:rsidR="002A7A21">
        <w:rPr>
          <w:rFonts w:ascii="Times New Roman" w:eastAsiaTheme="minorEastAsia" w:hAnsi="Times New Roman" w:cs="Times New Roman"/>
          <w:color w:val="0000FF"/>
        </w:rPr>
        <w:t xml:space="preserve"> </w:t>
      </w:r>
      <w:r w:rsidR="002A7A21">
        <w:rPr>
          <w:rFonts w:ascii="Times New Roman" w:hAnsi="Times New Roman" w:cs="Times New Roman"/>
          <w:color w:val="0000FF"/>
        </w:rPr>
        <w:t>(</w:t>
      </w:r>
      <m:oMath>
        <m:r>
          <w:rPr>
            <w:rFonts w:ascii="Cambria Math" w:hAnsi="Cambria Math" w:cs="Times New Roman"/>
            <w:color w:val="0000FF"/>
          </w:rPr>
          <m:t>ζ=0</m:t>
        </m:r>
      </m:oMath>
      <w:r w:rsidR="002A7A21">
        <w:rPr>
          <w:rFonts w:ascii="Times New Roman" w:eastAsiaTheme="minorEastAsia" w:hAnsi="Times New Roman" w:cs="Times New Roman"/>
          <w:color w:val="0000FF"/>
        </w:rPr>
        <w:t>)</w:t>
      </w:r>
      <w:r w:rsidR="00B144D1">
        <w:rPr>
          <w:rFonts w:ascii="Times New Roman" w:eastAsiaTheme="minorEastAsia" w:hAnsi="Times New Roman" w:cs="Times New Roman"/>
          <w:color w:val="0000FF"/>
        </w:rPr>
        <w:t xml:space="preserve"> than if they </w:t>
      </w:r>
      <w:r w:rsidR="004D4528">
        <w:rPr>
          <w:rFonts w:ascii="Times New Roman" w:eastAsiaTheme="minorEastAsia" w:hAnsi="Times New Roman" w:cs="Times New Roman"/>
          <w:color w:val="0000FF"/>
        </w:rPr>
        <w:t>are partly backward-looking</w:t>
      </w:r>
      <w:r w:rsidR="002A7A21">
        <w:rPr>
          <w:rFonts w:ascii="Times New Roman" w:eastAsiaTheme="minorEastAsia" w:hAnsi="Times New Roman" w:cs="Times New Roman"/>
          <w:color w:val="0000FF"/>
        </w:rPr>
        <w:t xml:space="preserve"> </w:t>
      </w:r>
      <w:r w:rsidR="002A7A21">
        <w:rPr>
          <w:rFonts w:ascii="Times New Roman" w:hAnsi="Times New Roman" w:cs="Times New Roman"/>
          <w:color w:val="0000FF"/>
        </w:rPr>
        <w:t>(</w:t>
      </w:r>
      <m:oMath>
        <m:r>
          <w:rPr>
            <w:rFonts w:ascii="Cambria Math" w:hAnsi="Cambria Math" w:cs="Times New Roman"/>
            <w:color w:val="0000FF"/>
          </w:rPr>
          <m:t>ζ=0</m:t>
        </m:r>
      </m:oMath>
      <w:r w:rsidR="002A7A21">
        <w:rPr>
          <w:rFonts w:ascii="Times New Roman" w:eastAsiaTheme="minorEastAsia" w:hAnsi="Times New Roman" w:cs="Times New Roman"/>
          <w:color w:val="0000FF"/>
        </w:rPr>
        <w:t>.6)</w:t>
      </w:r>
      <w:r w:rsidR="004D4528">
        <w:rPr>
          <w:rFonts w:ascii="Times New Roman" w:eastAsiaTheme="minorEastAsia" w:hAnsi="Times New Roman" w:cs="Times New Roman"/>
          <w:color w:val="0000FF"/>
        </w:rPr>
        <w:t xml:space="preserve">. </w:t>
      </w:r>
      <w:r w:rsidR="002A7A21">
        <w:rPr>
          <w:rFonts w:ascii="Times New Roman" w:eastAsiaTheme="minorEastAsia" w:hAnsi="Times New Roman" w:cs="Times New Roman"/>
          <w:color w:val="0000FF"/>
        </w:rPr>
        <w:t xml:space="preserve">Table 3 hence </w:t>
      </w:r>
      <w:r w:rsidR="0037482B">
        <w:rPr>
          <w:rFonts w:ascii="Times New Roman" w:eastAsiaTheme="minorEastAsia" w:hAnsi="Times New Roman" w:cs="Times New Roman"/>
          <w:color w:val="0000FF"/>
        </w:rPr>
        <w:t>finds a substantial role of supply shocks for bond-stock betas</w:t>
      </w:r>
      <w:r w:rsidR="00B144D1">
        <w:rPr>
          <w:rFonts w:ascii="Times New Roman" w:eastAsiaTheme="minorEastAsia" w:hAnsi="Times New Roman" w:cs="Times New Roman"/>
          <w:color w:val="0000FF"/>
        </w:rPr>
        <w:t>,</w:t>
      </w:r>
      <w:r w:rsidR="0037482B">
        <w:rPr>
          <w:rFonts w:ascii="Times New Roman" w:eastAsiaTheme="minorEastAsia" w:hAnsi="Times New Roman" w:cs="Times New Roman"/>
          <w:color w:val="0000FF"/>
        </w:rPr>
        <w:t xml:space="preserve"> despite constraining </w:t>
      </w:r>
      <w:r w:rsidR="002A7A21">
        <w:rPr>
          <w:rFonts w:ascii="Times New Roman" w:eastAsiaTheme="minorEastAsia" w:hAnsi="Times New Roman" w:cs="Times New Roman"/>
          <w:color w:val="0000FF"/>
        </w:rPr>
        <w:t>long-term inflation expectations</w:t>
      </w:r>
      <w:r w:rsidR="0037482B">
        <w:rPr>
          <w:rFonts w:ascii="Times New Roman" w:eastAsiaTheme="minorEastAsia" w:hAnsi="Times New Roman" w:cs="Times New Roman"/>
          <w:color w:val="0000FF"/>
        </w:rPr>
        <w:t xml:space="preserve"> to be </w:t>
      </w:r>
      <w:r w:rsidR="002A7A21">
        <w:rPr>
          <w:rFonts w:ascii="Times New Roman" w:eastAsiaTheme="minorEastAsia" w:hAnsi="Times New Roman" w:cs="Times New Roman"/>
          <w:color w:val="0000FF"/>
        </w:rPr>
        <w:t>as anchored as possible</w:t>
      </w:r>
      <w:r w:rsidR="0037482B">
        <w:rPr>
          <w:rFonts w:ascii="Times New Roman" w:eastAsiaTheme="minorEastAsia" w:hAnsi="Times New Roman" w:cs="Times New Roman"/>
          <w:color w:val="0000FF"/>
        </w:rPr>
        <w:t xml:space="preserve"> within the model</w:t>
      </w:r>
      <w:r w:rsidR="002A7A21">
        <w:rPr>
          <w:rFonts w:ascii="Times New Roman" w:eastAsiaTheme="minorEastAsia" w:hAnsi="Times New Roman" w:cs="Times New Roman"/>
          <w:color w:val="0000FF"/>
        </w:rPr>
        <w:t xml:space="preserve">. </w:t>
      </w:r>
      <w:r w:rsidR="00931208">
        <w:rPr>
          <w:rFonts w:ascii="Times New Roman" w:eastAsiaTheme="minorEastAsia" w:hAnsi="Times New Roman" w:cs="Times New Roman"/>
          <w:color w:val="0000FF"/>
        </w:rPr>
        <w:t xml:space="preserve">One reason </w:t>
      </w:r>
      <w:r w:rsidR="00B144D1">
        <w:rPr>
          <w:rFonts w:ascii="Times New Roman" w:eastAsiaTheme="minorEastAsia" w:hAnsi="Times New Roman" w:cs="Times New Roman"/>
          <w:color w:val="0000FF"/>
        </w:rPr>
        <w:t xml:space="preserve">that bond-stock betas can be quite sensitive to the volatility of supply shocks even if the effect on long-term inflation expectations is moderate in the model is because of </w:t>
      </w:r>
      <w:r w:rsidR="00931208">
        <w:rPr>
          <w:rFonts w:ascii="Times New Roman" w:eastAsiaTheme="minorEastAsia" w:hAnsi="Times New Roman" w:cs="Times New Roman"/>
          <w:color w:val="0000FF"/>
        </w:rPr>
        <w:t>endogenously time-varying risk premia or “sentiment” shocks</w:t>
      </w:r>
      <w:r w:rsidR="00B144D1">
        <w:rPr>
          <w:rFonts w:ascii="Times New Roman" w:eastAsiaTheme="minorEastAsia" w:hAnsi="Times New Roman" w:cs="Times New Roman"/>
          <w:color w:val="0000FF"/>
        </w:rPr>
        <w:t xml:space="preserve">. As discussed in the previous paragraph, time-varying risk aversion amplifies </w:t>
      </w:r>
      <w:r w:rsidR="00931208">
        <w:rPr>
          <w:rFonts w:ascii="Times New Roman" w:eastAsiaTheme="minorEastAsia" w:hAnsi="Times New Roman" w:cs="Times New Roman"/>
          <w:color w:val="0000FF"/>
        </w:rPr>
        <w:t>bond-stock comovement</w:t>
      </w:r>
      <w:r w:rsidR="00D6782D">
        <w:rPr>
          <w:rFonts w:ascii="Times New Roman" w:eastAsiaTheme="minorEastAsia" w:hAnsi="Times New Roman" w:cs="Times New Roman"/>
          <w:color w:val="0000FF"/>
        </w:rPr>
        <w:t xml:space="preserve">s relative to the </w:t>
      </w:r>
      <w:r w:rsidR="00931208">
        <w:rPr>
          <w:rFonts w:ascii="Times New Roman" w:eastAsiaTheme="minorEastAsia" w:hAnsi="Times New Roman" w:cs="Times New Roman"/>
          <w:color w:val="0000FF"/>
        </w:rPr>
        <w:t xml:space="preserve">comovement between real bond cash flows and real marginal utility. </w:t>
      </w:r>
      <w:r w:rsidR="00B144D1">
        <w:rPr>
          <w:rFonts w:ascii="Times New Roman" w:eastAsiaTheme="minorEastAsia" w:hAnsi="Times New Roman" w:cs="Times New Roman"/>
          <w:color w:val="0000FF"/>
        </w:rPr>
        <w:t xml:space="preserve">The revised manuscript now clearly describes </w:t>
      </w:r>
      <w:r w:rsidR="00E039E1">
        <w:rPr>
          <w:rFonts w:ascii="Times New Roman" w:eastAsiaTheme="minorEastAsia" w:hAnsi="Times New Roman" w:cs="Times New Roman"/>
          <w:color w:val="0000FF"/>
        </w:rPr>
        <w:t xml:space="preserve">the rationale for assuming rational wage-setter inflation expectations for the post-pandemic period on </w:t>
      </w:r>
      <w:r w:rsidR="00E039E1" w:rsidRPr="00E039E1">
        <w:rPr>
          <w:rFonts w:ascii="Times New Roman" w:eastAsiaTheme="minorEastAsia" w:hAnsi="Times New Roman" w:cs="Times New Roman"/>
          <w:b/>
          <w:bCs/>
          <w:color w:val="0000FF"/>
        </w:rPr>
        <w:t>p.39</w:t>
      </w:r>
      <w:r w:rsidR="00E039E1">
        <w:rPr>
          <w:rFonts w:ascii="Times New Roman" w:eastAsiaTheme="minorEastAsia" w:hAnsi="Times New Roman" w:cs="Times New Roman"/>
          <w:color w:val="0000FF"/>
        </w:rPr>
        <w:t xml:space="preserve">, where I say </w:t>
      </w:r>
      <w:r w:rsidR="00E039E1" w:rsidRPr="00E039E1">
        <w:rPr>
          <w:rFonts w:ascii="Times New Roman" w:eastAsiaTheme="minorEastAsia" w:hAnsi="Times New Roman" w:cs="Times New Roman"/>
          <w:b/>
          <w:bCs/>
          <w:color w:val="0000FF"/>
        </w:rPr>
        <w:t xml:space="preserve">“To account for strongly anchored long-term inflation expectations </w:t>
      </w:r>
      <w:r w:rsidR="004D260C">
        <w:rPr>
          <w:rFonts w:ascii="Times New Roman" w:eastAsiaTheme="minorEastAsia" w:hAnsi="Times New Roman" w:cs="Times New Roman"/>
          <w:b/>
          <w:bCs/>
          <w:color w:val="0000FF"/>
        </w:rPr>
        <w:t xml:space="preserve">during the recent period </w:t>
      </w:r>
      <w:r w:rsidR="00E039E1" w:rsidRPr="00E039E1">
        <w:rPr>
          <w:rFonts w:ascii="Times New Roman" w:eastAsiaTheme="minorEastAsia" w:hAnsi="Times New Roman" w:cs="Times New Roman"/>
          <w:b/>
          <w:bCs/>
          <w:color w:val="0000FF"/>
        </w:rPr>
        <w:t xml:space="preserve">and to stack the deck against finding a role for volatile long-term inflation expectations, </w:t>
      </w:r>
      <w:r w:rsidR="004D260C">
        <w:rPr>
          <w:rFonts w:ascii="Times New Roman" w:eastAsiaTheme="minorEastAsia" w:hAnsi="Times New Roman" w:cs="Times New Roman"/>
          <w:b/>
          <w:bCs/>
          <w:color w:val="0000FF"/>
        </w:rPr>
        <w:t xml:space="preserve">wage-setters’ </w:t>
      </w:r>
      <w:r w:rsidR="00E039E1" w:rsidRPr="00E039E1">
        <w:rPr>
          <w:rFonts w:ascii="Times New Roman" w:eastAsiaTheme="minorEastAsia" w:hAnsi="Times New Roman" w:cs="Times New Roman"/>
          <w:b/>
          <w:bCs/>
          <w:color w:val="0000FF"/>
        </w:rPr>
        <w:t>inflation expectations are set to rational</w:t>
      </w:r>
      <w:r w:rsidR="004D260C">
        <w:rPr>
          <w:rFonts w:ascii="Times New Roman" w:eastAsiaTheme="minorEastAsia" w:hAnsi="Times New Roman" w:cs="Times New Roman"/>
          <w:b/>
          <w:bCs/>
          <w:color w:val="0000FF"/>
        </w:rPr>
        <w:t xml:space="preserve"> when backing out monetary policy and shock volatilities for the post-pandemic period from bond-stock betas.</w:t>
      </w:r>
      <w:r w:rsidR="00E039E1">
        <w:rPr>
          <w:rFonts w:ascii="Times New Roman" w:eastAsiaTheme="minorEastAsia" w:hAnsi="Times New Roman" w:cs="Times New Roman"/>
          <w:b/>
          <w:bCs/>
          <w:color w:val="0000FF"/>
        </w:rPr>
        <w:t>”</w:t>
      </w:r>
    </w:p>
    <w:p w14:paraId="62E50A91" w14:textId="628AB596" w:rsidR="00D050F9" w:rsidRDefault="001A3008" w:rsidP="00DD71CF">
      <w:pPr>
        <w:adjustRightInd w:val="0"/>
        <w:spacing w:before="240" w:after="0" w:line="240" w:lineRule="auto"/>
        <w:ind w:left="360"/>
        <w:rPr>
          <w:rFonts w:ascii="Times New Roman" w:hAnsi="Times New Roman" w:cs="Times New Roman"/>
          <w:color w:val="0000FF"/>
        </w:rPr>
      </w:pPr>
      <w:r w:rsidRPr="00E039E1">
        <w:rPr>
          <w:rFonts w:ascii="Times New Roman" w:eastAsiaTheme="minorEastAsia" w:hAnsi="Times New Roman" w:cs="Times New Roman"/>
          <w:color w:val="0000FF"/>
        </w:rPr>
        <w:t>Monetary policy uncertainty is also naturally incorporated</w:t>
      </w:r>
      <w:r>
        <w:rPr>
          <w:rFonts w:ascii="Times New Roman" w:hAnsi="Times New Roman" w:cs="Times New Roman"/>
          <w:color w:val="0000FF"/>
        </w:rPr>
        <w:t xml:space="preserve"> into my model. The calibration parameters in Table 2 show that the 1980s calibration feature</w:t>
      </w:r>
      <w:r w:rsidR="00B144D1">
        <w:rPr>
          <w:rFonts w:ascii="Times New Roman" w:hAnsi="Times New Roman" w:cs="Times New Roman"/>
          <w:color w:val="0000FF"/>
        </w:rPr>
        <w:t>s</w:t>
      </w:r>
      <w:r>
        <w:rPr>
          <w:rFonts w:ascii="Times New Roman" w:hAnsi="Times New Roman" w:cs="Times New Roman"/>
          <w:color w:val="0000FF"/>
        </w:rPr>
        <w:t xml:space="preserve"> not only volatile supply shocks, but also volatile monetary policy shocks, which are required to fit the high volatility of the policy rate during this </w:t>
      </w:r>
      <w:r w:rsidR="00B144D1">
        <w:rPr>
          <w:rFonts w:ascii="Times New Roman" w:hAnsi="Times New Roman" w:cs="Times New Roman"/>
          <w:color w:val="0000FF"/>
        </w:rPr>
        <w:t xml:space="preserve">earlier </w:t>
      </w:r>
      <w:r>
        <w:rPr>
          <w:rFonts w:ascii="Times New Roman" w:hAnsi="Times New Roman" w:cs="Times New Roman"/>
          <w:color w:val="0000FF"/>
        </w:rPr>
        <w:t xml:space="preserve">period. The implied shock volatilities in </w:t>
      </w:r>
      <w:r w:rsidR="00D050F9" w:rsidRPr="00D050F9">
        <w:rPr>
          <w:rFonts w:ascii="Times New Roman" w:hAnsi="Times New Roman" w:cs="Times New Roman"/>
          <w:b/>
          <w:bCs/>
          <w:color w:val="0000FF"/>
        </w:rPr>
        <w:t>Table 3</w:t>
      </w:r>
      <w:r w:rsidR="00D050F9">
        <w:rPr>
          <w:rFonts w:ascii="Times New Roman" w:hAnsi="Times New Roman" w:cs="Times New Roman"/>
          <w:color w:val="0000FF"/>
        </w:rPr>
        <w:t xml:space="preserve"> </w:t>
      </w:r>
      <w:r>
        <w:rPr>
          <w:rFonts w:ascii="Times New Roman" w:hAnsi="Times New Roman" w:cs="Times New Roman"/>
          <w:color w:val="0000FF"/>
        </w:rPr>
        <w:t>for the post-pandemic hence also feature both high monetary policy uncertainty and a high volatility of supply shocks. However, the volatility of monetary policy shocks has a quantitatively much smaller effect on both nominal and real bond-stock betas. The reason is that monetary policy surprises induce only transitory movements in the real short rate and very little movement in inflation in the model, whereas supply shocks lead to more long-lived movements in inflation and – through the monetary policy response to inflation – the real rate. Hence, when supply shocks are a significant concern, as they were during the post-pandemic, the interaction between supply shocks with the monetary policy inflation coefficient drives how strongly the Fed moves interest rates in response to macroeconomic shocks, and hence bond-stock betas. In that sense, my model helps make precise how “</w:t>
      </w:r>
      <w:r w:rsidRPr="001A3008">
        <w:rPr>
          <w:rFonts w:ascii="Times New Roman" w:hAnsi="Times New Roman" w:cs="Times New Roman"/>
          <w:color w:val="0000FF"/>
        </w:rPr>
        <w:t>The prevalence of macroeconomic shocks increased the</w:t>
      </w:r>
      <w:r w:rsidRPr="001A3008">
        <w:rPr>
          <w:rFonts w:ascii="Times New Roman" w:hAnsi="Times New Roman" w:cs="Times New Roman" w:hint="eastAsia"/>
          <w:color w:val="0000FF"/>
        </w:rPr>
        <w:t xml:space="preserve"> </w:t>
      </w:r>
      <w:r w:rsidRPr="001A3008">
        <w:rPr>
          <w:rFonts w:ascii="Times New Roman" w:hAnsi="Times New Roman" w:cs="Times New Roman"/>
          <w:color w:val="0000FF"/>
        </w:rPr>
        <w:t>interest rate volatility and the bond-stock betas starting from a negative level” as you suggest in your comment</w:t>
      </w:r>
      <w:r>
        <w:rPr>
          <w:rFonts w:ascii="Times New Roman" w:hAnsi="Times New Roman" w:cs="Times New Roman"/>
          <w:color w:val="0000FF"/>
        </w:rPr>
        <w:t xml:space="preserve"> above</w:t>
      </w:r>
      <w:r w:rsidRPr="001A3008">
        <w:rPr>
          <w:rFonts w:ascii="Times New Roman" w:hAnsi="Times New Roman" w:cs="Times New Roman"/>
          <w:color w:val="0000FF"/>
        </w:rPr>
        <w:t>.</w:t>
      </w:r>
      <w:r w:rsidRPr="007555C5">
        <w:rPr>
          <w:rFonts w:ascii="Times New Roman" w:hAnsi="Times New Roman" w:cs="Times New Roman"/>
          <w:color w:val="0000FF"/>
        </w:rPr>
        <w:t xml:space="preserve"> </w:t>
      </w:r>
      <w:r w:rsidR="007555C5" w:rsidRPr="007555C5">
        <w:rPr>
          <w:rFonts w:ascii="Times New Roman" w:hAnsi="Times New Roman" w:cs="Times New Roman"/>
          <w:color w:val="0000FF"/>
        </w:rPr>
        <w:t xml:space="preserve">This intuition is now explained on </w:t>
      </w:r>
      <w:r w:rsidR="007555C5" w:rsidRPr="007555C5">
        <w:rPr>
          <w:rFonts w:ascii="Times New Roman" w:hAnsi="Times New Roman" w:cs="Times New Roman"/>
          <w:b/>
          <w:bCs/>
          <w:color w:val="0000FF"/>
        </w:rPr>
        <w:t>p.40</w:t>
      </w:r>
      <w:r w:rsidR="007555C5" w:rsidRPr="007555C5">
        <w:rPr>
          <w:rFonts w:ascii="Times New Roman" w:hAnsi="Times New Roman" w:cs="Times New Roman"/>
          <w:color w:val="0000FF"/>
        </w:rPr>
        <w:t xml:space="preserve"> (</w:t>
      </w:r>
      <w:r w:rsidR="00B95A43" w:rsidRPr="00B95A43">
        <w:rPr>
          <w:rFonts w:ascii="Times New Roman" w:hAnsi="Times New Roman" w:cs="Times New Roman"/>
          <w:b/>
          <w:bCs/>
          <w:color w:val="0000FF"/>
        </w:rPr>
        <w:t xml:space="preserve">second half of </w:t>
      </w:r>
      <w:r w:rsidR="007555C5" w:rsidRPr="007555C5">
        <w:rPr>
          <w:rFonts w:ascii="Times New Roman" w:hAnsi="Times New Roman" w:cs="Times New Roman"/>
          <w:b/>
          <w:bCs/>
          <w:color w:val="0000FF"/>
        </w:rPr>
        <w:t>paragraph starting “I find that the model matches the changes in nominal and real bond-stock betas with a shift from a low to high inflation coefficient in monetary policy, and dominant supply shocks during the post-pandemic period.”</w:t>
      </w:r>
      <w:r w:rsidR="007555C5" w:rsidRPr="007555C5">
        <w:rPr>
          <w:rFonts w:ascii="Times New Roman" w:hAnsi="Times New Roman" w:cs="Times New Roman"/>
          <w:color w:val="0000FF"/>
        </w:rPr>
        <w:t>)</w:t>
      </w:r>
    </w:p>
    <w:p w14:paraId="1CC08170" w14:textId="29750D61" w:rsidR="008B07AC" w:rsidRDefault="00EE681B" w:rsidP="001A3008">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Thank you again for your thoughtful and excellent suggestions, which have helped me to substantially improve the paper! </w:t>
      </w:r>
    </w:p>
    <w:p w14:paraId="6866D9FB" w14:textId="77777777" w:rsidR="001A3008" w:rsidRDefault="001A3008" w:rsidP="001A3008">
      <w:pPr>
        <w:adjustRightInd w:val="0"/>
        <w:spacing w:before="240" w:after="0" w:line="240" w:lineRule="auto"/>
        <w:ind w:left="360"/>
        <w:rPr>
          <w:rFonts w:ascii="Times New Roman"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79740196"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discussion and the AE’s suggestion, the revised manuscript contains a new and updated discussion of how the current manuscript stands out from the existing literature. I also updated the paper to contain a more extensive discussion of the calibration, especially the first subperiod</w:t>
      </w:r>
      <w:r w:rsidR="00822417">
        <w:rPr>
          <w:rFonts w:ascii="Times New Roman" w:hAnsi="Times New Roman" w:cs="Times New Roman"/>
          <w:color w:val="0000FF"/>
        </w:rPr>
        <w:t xml:space="preserve"> comprising the 1980s</w:t>
      </w:r>
      <w:r>
        <w:rPr>
          <w:rFonts w:ascii="Times New Roman" w:hAnsi="Times New Roman" w:cs="Times New Roman"/>
          <w:color w:val="0000FF"/>
        </w:rPr>
        <w:t xml:space="preserve">. 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 xml:space="preserve">s previous two published papers,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and Pflueger and Rinaldi (2022), as they both include (P1) and (P2). While the model (P1) in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 xml:space="preserve">proposed by David and Veronesi (2013), Song (2017), Campbell, Pflueger, and </w:t>
      </w:r>
      <w:proofErr w:type="spellStart"/>
      <w:r w:rsidRPr="009A39D9">
        <w:rPr>
          <w:rFonts w:ascii="Times New Roman" w:hAnsi="Times New Roman" w:cs="Times New Roman"/>
        </w:rPr>
        <w:t>Viceira</w:t>
      </w:r>
      <w:proofErr w:type="spellEnd"/>
      <w:r w:rsidRPr="009A39D9">
        <w:rPr>
          <w:rFonts w:ascii="Times New Roman" w:hAnsi="Times New Roman" w:cs="Times New Roman"/>
        </w:rPr>
        <w:t xml:space="preserve"> (2020),</w:t>
      </w:r>
      <w:r>
        <w:rPr>
          <w:rFonts w:ascii="Times New Roman" w:hAnsi="Times New Roman" w:cs="Times New Roman" w:hint="eastAsia"/>
        </w:rPr>
        <w:t xml:space="preserve"> </w:t>
      </w:r>
      <w:proofErr w:type="spellStart"/>
      <w:r w:rsidRPr="009A39D9">
        <w:rPr>
          <w:rFonts w:ascii="Times New Roman" w:hAnsi="Times New Roman" w:cs="Times New Roman"/>
        </w:rPr>
        <w:t>Gourio</w:t>
      </w:r>
      <w:proofErr w:type="spellEnd"/>
      <w:r w:rsidRPr="009A39D9">
        <w:rPr>
          <w:rFonts w:ascii="Times New Roman" w:hAnsi="Times New Roman" w:cs="Times New Roman"/>
        </w:rPr>
        <w:t xml:space="preserve"> and Ngo (2020), and Fang, Liu, and </w:t>
      </w:r>
      <w:proofErr w:type="spellStart"/>
      <w:r w:rsidRPr="009A39D9">
        <w:rPr>
          <w:rFonts w:ascii="Times New Roman" w:hAnsi="Times New Roman" w:cs="Times New Roman"/>
        </w:rPr>
        <w:t>Roussanov</w:t>
      </w:r>
      <w:proofErr w:type="spellEnd"/>
      <w:r w:rsidRPr="009A39D9">
        <w:rPr>
          <w:rFonts w:ascii="Times New Roman" w:hAnsi="Times New Roman" w:cs="Times New Roman"/>
        </w:rPr>
        <w:t xml:space="preserve">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 xml:space="preserve">risk aversion argument presented by Baele, Bekaert, and </w:t>
      </w:r>
      <w:proofErr w:type="spellStart"/>
      <w:r w:rsidRPr="009A39D9">
        <w:rPr>
          <w:rFonts w:ascii="Times New Roman" w:hAnsi="Times New Roman" w:cs="Times New Roman"/>
        </w:rPr>
        <w:t>Inghelbrecht</w:t>
      </w:r>
      <w:proofErr w:type="spellEnd"/>
      <w:r w:rsidRPr="009A39D9">
        <w:rPr>
          <w:rFonts w:ascii="Times New Roman" w:hAnsi="Times New Roman" w:cs="Times New Roman"/>
        </w:rPr>
        <w:t xml:space="preserve"> (2010), Kozak (2022),</w:t>
      </w:r>
      <w:r>
        <w:rPr>
          <w:rFonts w:ascii="Times New Roman" w:hAnsi="Times New Roman" w:cs="Times New Roman" w:hint="eastAsia"/>
        </w:rPr>
        <w:t xml:space="preserve"> </w:t>
      </w:r>
      <w:r w:rsidRPr="009A39D9">
        <w:rPr>
          <w:rFonts w:ascii="Times New Roman" w:hAnsi="Times New Roman" w:cs="Times New Roman"/>
        </w:rPr>
        <w:t xml:space="preserve">and </w:t>
      </w:r>
      <w:proofErr w:type="spellStart"/>
      <w:r w:rsidRPr="009A39D9">
        <w:rPr>
          <w:rFonts w:ascii="Times New Roman" w:hAnsi="Times New Roman" w:cs="Times New Roman"/>
        </w:rPr>
        <w:t>Laarits</w:t>
      </w:r>
      <w:proofErr w:type="spellEnd"/>
      <w:r w:rsidRPr="009A39D9">
        <w:rPr>
          <w:rFonts w:ascii="Times New Roman" w:hAnsi="Times New Roman" w:cs="Times New Roman"/>
        </w:rPr>
        <w:t xml:space="preserve"> (2022); examination of permanent-transitory compositional changes discussed by Chernov,</w:t>
      </w:r>
      <w:r>
        <w:rPr>
          <w:rFonts w:ascii="Times New Roman" w:hAnsi="Times New Roman" w:cs="Times New Roman" w:hint="eastAsia"/>
        </w:rPr>
        <w:t xml:space="preserve"> </w:t>
      </w:r>
      <w:proofErr w:type="spellStart"/>
      <w:r w:rsidRPr="009A39D9">
        <w:rPr>
          <w:rFonts w:ascii="Times New Roman" w:hAnsi="Times New Roman" w:cs="Times New Roman"/>
        </w:rPr>
        <w:t>Lochstoer</w:t>
      </w:r>
      <w:proofErr w:type="spellEnd"/>
      <w:r w:rsidRPr="009A39D9">
        <w:rPr>
          <w:rFonts w:ascii="Times New Roman" w:hAnsi="Times New Roman" w:cs="Times New Roman"/>
        </w:rPr>
        <w:t>,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 xml:space="preserve">monetary policy rule within an endowment economy, and it extends Campbell, Pflueger, and </w:t>
      </w:r>
      <w:proofErr w:type="spellStart"/>
      <w:r w:rsidRPr="00D024F0">
        <w:rPr>
          <w:rFonts w:ascii="Times New Roman" w:hAnsi="Times New Roman" w:cs="Times New Roman"/>
        </w:rPr>
        <w:t>Viceira</w:t>
      </w:r>
      <w:proofErr w:type="spellEnd"/>
      <w:r w:rsidRPr="00D024F0">
        <w:rPr>
          <w:rFonts w:ascii="Times New Roman" w:hAnsi="Times New Roman" w:cs="Times New Roman" w:hint="eastAsia"/>
        </w:rPr>
        <w:t xml:space="preserve"> </w:t>
      </w:r>
      <w:r w:rsidRPr="00D024F0">
        <w:rPr>
          <w:rFonts w:ascii="Times New Roman" w:hAnsi="Times New Roman" w:cs="Times New Roman"/>
        </w:rPr>
        <w:t xml:space="preserve">(2020), where the </w:t>
      </w:r>
      <w:r w:rsidRPr="00D024F0">
        <w:rPr>
          <w:rFonts w:ascii="Times New Roman" w:hAnsi="Times New Roman" w:cs="Times New Roman"/>
        </w:rPr>
        <w:lastRenderedPageBreak/>
        <w:t>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 xml:space="preserve">above, such as </w:t>
      </w:r>
      <w:proofErr w:type="spellStart"/>
      <w:r w:rsidRPr="00D024F0">
        <w:rPr>
          <w:rFonts w:ascii="Times New Roman" w:hAnsi="Times New Roman" w:cs="Times New Roman"/>
        </w:rPr>
        <w:t>Gourio</w:t>
      </w:r>
      <w:proofErr w:type="spellEnd"/>
      <w:r w:rsidRPr="00D024F0">
        <w:rPr>
          <w:rFonts w:ascii="Times New Roman" w:hAnsi="Times New Roman" w:cs="Times New Roman"/>
        </w:rPr>
        <w:t xml:space="preserve"> and Ngo (2020), Fang, Liu, and </w:t>
      </w:r>
      <w:proofErr w:type="spellStart"/>
      <w:r w:rsidRPr="00D024F0">
        <w:rPr>
          <w:rFonts w:ascii="Times New Roman" w:hAnsi="Times New Roman" w:cs="Times New Roman"/>
        </w:rPr>
        <w:t>Roussanov</w:t>
      </w:r>
      <w:proofErr w:type="spellEnd"/>
      <w:r w:rsidRPr="00D024F0">
        <w:rPr>
          <w:rFonts w:ascii="Times New Roman" w:hAnsi="Times New Roman" w:cs="Times New Roman"/>
        </w:rPr>
        <w:t xml:space="preserve">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The distinction 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05B20A81"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my own prior work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 xml:space="preserve">p.1, paragraph starting "The habit formation preferences in this paper build on Campbell, Pflueger, and </w:t>
      </w:r>
      <w:proofErr w:type="spellStart"/>
      <w:r w:rsidRPr="00C10E55">
        <w:rPr>
          <w:rFonts w:ascii="Times New Roman" w:hAnsi="Times New Roman" w:cs="Times New Roman"/>
          <w:b/>
          <w:bCs/>
          <w:color w:val="0000FF"/>
        </w:rPr>
        <w:t>Viceira</w:t>
      </w:r>
      <w:proofErr w:type="spellEnd"/>
      <w:r w:rsidRPr="00C10E55">
        <w:rPr>
          <w:rFonts w:ascii="Times New Roman" w:hAnsi="Times New Roman" w:cs="Times New Roman"/>
          <w:b/>
          <w:bCs/>
          <w:color w:val="0000FF"/>
        </w:rPr>
        <w:t xml:space="preserve"> (2020) and Pflueger and Rinaldi (2022) but the model in this paper also contains several changes (…)”</w:t>
      </w:r>
      <w:r>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22EFFEF7"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An updated and 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 now included at the end of the introduction (</w:t>
      </w:r>
      <w:r w:rsidRPr="0078498D">
        <w:rPr>
          <w:rFonts w:ascii="Times New Roman" w:hAnsi="Times New Roman" w:cs="Times New Roman"/>
          <w:b/>
          <w:bCs/>
          <w:color w:val="0000FF"/>
        </w:rPr>
        <w:t>p</w:t>
      </w:r>
      <w:r w:rsidR="0080743E">
        <w:rPr>
          <w:rFonts w:ascii="Times New Roman" w:hAnsi="Times New Roman" w:cs="Times New Roman"/>
          <w:b/>
          <w:bCs/>
          <w:color w:val="0000FF"/>
        </w:rPr>
        <w:t>p</w:t>
      </w:r>
      <w:r w:rsidRPr="0078498D">
        <w:rPr>
          <w:rFonts w:ascii="Times New Roman" w:hAnsi="Times New Roman" w:cs="Times New Roman"/>
          <w:b/>
          <w:bCs/>
          <w:color w:val="0000FF"/>
        </w:rPr>
        <w:t>. 5</w:t>
      </w:r>
      <w:r w:rsidR="0080743E">
        <w:rPr>
          <w:rFonts w:ascii="Times New Roman" w:hAnsi="Times New Roman" w:cs="Times New Roman"/>
          <w:b/>
          <w:bCs/>
          <w:color w:val="0000FF"/>
        </w:rPr>
        <w:t>-7</w:t>
      </w:r>
      <w:r>
        <w:rPr>
          <w:rFonts w:ascii="Times New Roman" w:hAnsi="Times New Roman" w:cs="Times New Roman"/>
          <w:b/>
          <w:bCs/>
          <w:color w:val="0000FF"/>
        </w:rPr>
        <w:t xml:space="preserve">, paragraphs starting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 xml:space="preserve">Campbell, Pflueger, and </w:t>
      </w:r>
      <w:proofErr w:type="spellStart"/>
      <w:r>
        <w:rPr>
          <w:rFonts w:ascii="Times New Roman" w:hAnsi="Times New Roman" w:cs="Times New Roman"/>
          <w:b/>
          <w:bCs/>
          <w:color w:val="0000FF"/>
        </w:rPr>
        <w:t>Viceira</w:t>
      </w:r>
      <w:proofErr w:type="spellEnd"/>
      <w:r>
        <w:rPr>
          <w:rFonts w:ascii="Times New Roman" w:hAnsi="Times New Roman" w:cs="Times New Roman"/>
          <w:b/>
          <w:bCs/>
          <w:color w:val="0000FF"/>
        </w:rPr>
        <w:t xml:space="preserve">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xml:space="preserve"> (…)”)</w:t>
      </w:r>
      <w:r w:rsidRPr="004C4B9E">
        <w:rPr>
          <w:rFonts w:ascii="Times New Roman" w:hAnsi="Times New Roman" w:cs="Times New Roman"/>
          <w:color w:val="0000FF"/>
        </w:rPr>
        <w:t>.</w:t>
      </w:r>
      <w:r>
        <w:rPr>
          <w:rFonts w:ascii="Times New Roman" w:hAnsi="Times New Roman" w:cs="Times New Roman"/>
          <w:color w:val="0000FF"/>
        </w:rPr>
        <w:t xml:space="preserve"> 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 xml:space="preserve">are now described in the text of the introduction, and previous footnotes have been deleted.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versus demand shocks in the 00s may warrant further discussion. In particular, Table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 xml:space="preserve">notable references, Liu, Waggoner, and Zha (2011) and Bianchi and </w:t>
      </w:r>
      <w:proofErr w:type="spellStart"/>
      <w:r w:rsidRPr="00A43011">
        <w:rPr>
          <w:rFonts w:ascii="Times New Roman" w:hAnsi="Times New Roman" w:cs="Times New Roman"/>
        </w:rPr>
        <w:t>Ilut</w:t>
      </w:r>
      <w:proofErr w:type="spellEnd"/>
      <w:r w:rsidRPr="00A43011">
        <w:rPr>
          <w:rFonts w:ascii="Times New Roman" w:hAnsi="Times New Roman" w:cs="Times New Roman"/>
        </w:rPr>
        <w:t xml:space="preserve">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shocks, direct comparisons may be challenging. In light of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2CF76DDD"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 xml:space="preserve">Thank you for this helpful comment. I added a much more detailed discussion of the shock volatility calibrations, especially for the first subperiod covering the 1980s and 1990s.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6B81BCDA" w14:textId="1CD20474" w:rsidR="006C295A"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w:t>
      </w:r>
      <w:proofErr w:type="spellStart"/>
      <w:r>
        <w:rPr>
          <w:rFonts w:ascii="Times New Roman" w:hAnsi="Times New Roman" w:cs="Times New Roman"/>
          <w:color w:val="0000FF"/>
        </w:rPr>
        <w:t>Ilut</w:t>
      </w:r>
      <w:proofErr w:type="spellEnd"/>
      <w:r>
        <w:rPr>
          <w:rFonts w:ascii="Times New Roman" w:hAnsi="Times New Roman" w:cs="Times New Roman"/>
          <w:color w:val="0000FF"/>
        </w:rPr>
        <w:t xml:space="preserve">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6C295A">
        <w:rPr>
          <w:rFonts w:ascii="Times New Roman" w:hAnsi="Times New Roman" w:cs="Times New Roman"/>
          <w:color w:val="0000FF"/>
        </w:rPr>
        <w:t>,</w:t>
      </w:r>
      <w:r w:rsidR="0042698B">
        <w:rPr>
          <w:rFonts w:ascii="Times New Roman" w:hAnsi="Times New Roman" w:cs="Times New Roman"/>
          <w:color w:val="0000FF"/>
        </w:rPr>
        <w:t xml:space="preserve"> because concerns about sunspots and fiscal dominance prior to 1980 are outside the scope of this paper.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 xml:space="preserve">I use a break around 2000 and estimate a shift in </w:t>
      </w:r>
      <w:r w:rsidR="006C295A">
        <w:rPr>
          <w:rFonts w:ascii="Times New Roman" w:hAnsi="Times New Roman" w:cs="Times New Roman"/>
          <w:color w:val="0000FF"/>
        </w:rPr>
        <w:lastRenderedPageBreak/>
        <w:t xml:space="preserve">the relative volatilities of supply-type v. demand-type shocks, in line with the more reduced-form approach to regime switches of Sims and Zha (2006) and the monetary policy model with term premia of Bianchi, Lettau, and Ludvigson (2022).  </w:t>
      </w:r>
    </w:p>
    <w:p w14:paraId="3473702F" w14:textId="77777777" w:rsidR="006C295A" w:rsidRDefault="006C295A" w:rsidP="00D40AFE">
      <w:pPr>
        <w:adjustRightInd w:val="0"/>
        <w:spacing w:after="0" w:line="240" w:lineRule="auto"/>
        <w:ind w:left="360"/>
        <w:rPr>
          <w:rFonts w:ascii="Times New Roman" w:hAnsi="Times New Roman" w:cs="Times New Roman"/>
          <w:color w:val="0000FF"/>
        </w:rPr>
      </w:pPr>
    </w:p>
    <w:p w14:paraId="4C11B700" w14:textId="7C01BBB4" w:rsidR="00434C5E" w:rsidRDefault="006C295A"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focus of this paper on </w:t>
      </w:r>
      <w:r w:rsidR="00A43011">
        <w:rPr>
          <w:rFonts w:ascii="Times New Roman" w:hAnsi="Times New Roman" w:cs="Times New Roman"/>
          <w:color w:val="0000FF"/>
        </w:rPr>
        <w:t>bond risks</w:t>
      </w:r>
      <w:r>
        <w:rPr>
          <w:rFonts w:ascii="Times New Roman" w:hAnsi="Times New Roman" w:cs="Times New Roman"/>
          <w:color w:val="0000FF"/>
        </w:rPr>
        <w:t xml:space="preserve"> is another important differentiator relative to this prior literature</w:t>
      </w:r>
      <w:r w:rsidR="000A2927">
        <w:rPr>
          <w:rFonts w:ascii="Times New Roman" w:hAnsi="Times New Roman" w:cs="Times New Roman"/>
          <w:color w:val="0000FF"/>
        </w:rPr>
        <w:t xml:space="preserve">, and </w:t>
      </w:r>
      <w:r w:rsidR="00A43011">
        <w:rPr>
          <w:rFonts w:ascii="Times New Roman" w:hAnsi="Times New Roman" w:cs="Times New Roman"/>
          <w:color w:val="0000FF"/>
        </w:rPr>
        <w:t xml:space="preserve">is a further rationale </w:t>
      </w:r>
      <w:r w:rsidR="000A2927">
        <w:rPr>
          <w:rFonts w:ascii="Times New Roman" w:hAnsi="Times New Roman" w:cs="Times New Roman"/>
          <w:color w:val="0000FF"/>
        </w:rPr>
        <w:t xml:space="preserve">why the </w:t>
      </w:r>
      <w:r w:rsidR="00A43011">
        <w:rPr>
          <w:rFonts w:ascii="Times New Roman" w:hAnsi="Times New Roman" w:cs="Times New Roman"/>
          <w:color w:val="0000FF"/>
        </w:rPr>
        <w:t xml:space="preserve">volatility </w:t>
      </w:r>
      <w:r w:rsidR="00B94194">
        <w:rPr>
          <w:rFonts w:ascii="Times New Roman" w:hAnsi="Times New Roman" w:cs="Times New Roman"/>
          <w:color w:val="0000FF"/>
        </w:rPr>
        <w:t xml:space="preserve">regimes </w:t>
      </w:r>
      <w:r w:rsidR="00A43011">
        <w:rPr>
          <w:rFonts w:ascii="Times New Roman" w:hAnsi="Times New Roman" w:cs="Times New Roman"/>
          <w:color w:val="0000FF"/>
        </w:rPr>
        <w:t>in this paper are different from the macroeconomics literature</w:t>
      </w:r>
      <w:r>
        <w:rPr>
          <w:rFonts w:ascii="Times New Roman" w:hAnsi="Times New Roman" w:cs="Times New Roman"/>
          <w:color w:val="0000FF"/>
        </w:rPr>
        <w:t xml:space="preserve">. Bond-stock betas are regression coefficients, and hence roughly </w:t>
      </w:r>
      <w:r w:rsidR="00A43011">
        <w:rPr>
          <w:rFonts w:ascii="Times New Roman" w:hAnsi="Times New Roman" w:cs="Times New Roman"/>
          <w:color w:val="0000FF"/>
        </w:rPr>
        <w:t xml:space="preserve">invariant </w:t>
      </w:r>
      <w:r>
        <w:rPr>
          <w:rFonts w:ascii="Times New Roman" w:hAnsi="Times New Roman" w:cs="Times New Roman"/>
          <w:color w:val="0000FF"/>
        </w:rPr>
        <w:t xml:space="preserve">to a proportional </w:t>
      </w:r>
      <w:r w:rsidR="00A138AD">
        <w:rPr>
          <w:rFonts w:ascii="Times New Roman" w:hAnsi="Times New Roman" w:cs="Times New Roman"/>
          <w:color w:val="0000FF"/>
        </w:rPr>
        <w:t>change</w:t>
      </w:r>
      <w:r>
        <w:rPr>
          <w:rFonts w:ascii="Times New Roman" w:hAnsi="Times New Roman" w:cs="Times New Roman"/>
          <w:color w:val="0000FF"/>
        </w:rPr>
        <w:t xml:space="preserve"> in the </w:t>
      </w:r>
      <w:r w:rsidR="00A43011">
        <w:rPr>
          <w:rFonts w:ascii="Times New Roman" w:hAnsi="Times New Roman" w:cs="Times New Roman"/>
          <w:color w:val="0000FF"/>
        </w:rPr>
        <w:t>volatilit</w:t>
      </w:r>
      <w:r w:rsidR="003213B0">
        <w:rPr>
          <w:rFonts w:ascii="Times New Roman" w:hAnsi="Times New Roman" w:cs="Times New Roman"/>
          <w:color w:val="0000FF"/>
        </w:rPr>
        <w:t>ies</w:t>
      </w:r>
      <w:r w:rsidR="00A43011">
        <w:rPr>
          <w:rFonts w:ascii="Times New Roman" w:hAnsi="Times New Roman" w:cs="Times New Roman"/>
          <w:color w:val="0000FF"/>
        </w:rPr>
        <w:t xml:space="preserve"> of all shocks</w:t>
      </w:r>
      <w:r>
        <w:rPr>
          <w:rFonts w:ascii="Times New Roman" w:hAnsi="Times New Roman" w:cs="Times New Roman"/>
          <w:color w:val="0000FF"/>
        </w:rPr>
        <w:t xml:space="preserve">. The same is true for the </w:t>
      </w:r>
      <w:r w:rsidR="008661BE">
        <w:rPr>
          <w:rFonts w:ascii="Times New Roman" w:hAnsi="Times New Roman" w:cs="Times New Roman"/>
          <w:color w:val="0000FF"/>
        </w:rPr>
        <w:t>output-inflation, output-interest rate, and interest rate-inflation loadings</w:t>
      </w:r>
      <w:r>
        <w:rPr>
          <w:rFonts w:ascii="Times New Roman" w:hAnsi="Times New Roman" w:cs="Times New Roman"/>
          <w:color w:val="0000FF"/>
        </w:rPr>
        <w:t xml:space="preserve"> targeted in the calibration. For this reason, </w:t>
      </w:r>
      <w:r w:rsidR="00A43011">
        <w:rPr>
          <w:rFonts w:ascii="Times New Roman" w:hAnsi="Times New Roman" w:cs="Times New Roman"/>
          <w:color w:val="0000FF"/>
        </w:rPr>
        <w:t xml:space="preserve">my calibration procedure picks up on </w:t>
      </w:r>
      <w:r>
        <w:rPr>
          <w:rFonts w:ascii="Times New Roman" w:hAnsi="Times New Roman" w:cs="Times New Roman"/>
          <w:color w:val="0000FF"/>
        </w:rPr>
        <w:t xml:space="preserve">the relative volatilities of </w:t>
      </w:r>
      <w:r w:rsidR="00A43011">
        <w:rPr>
          <w:rFonts w:ascii="Times New Roman" w:hAnsi="Times New Roman" w:cs="Times New Roman"/>
          <w:color w:val="0000FF"/>
        </w:rPr>
        <w:t xml:space="preserve">supply vs. demand </w:t>
      </w:r>
      <w:r>
        <w:rPr>
          <w:rFonts w:ascii="Times New Roman" w:hAnsi="Times New Roman" w:cs="Times New Roman"/>
          <w:color w:val="0000FF"/>
        </w:rPr>
        <w:t>shocks</w:t>
      </w:r>
      <w:r w:rsidR="00A43011">
        <w:rPr>
          <w:rFonts w:ascii="Times New Roman" w:hAnsi="Times New Roman" w:cs="Times New Roman"/>
          <w:color w:val="0000FF"/>
        </w:rPr>
        <w:t>, which also drive the</w:t>
      </w:r>
      <w:r>
        <w:rPr>
          <w:rFonts w:ascii="Times New Roman" w:hAnsi="Times New Roman" w:cs="Times New Roman"/>
          <w:color w:val="0000FF"/>
        </w:rPr>
        <w:t xml:space="preserve"> bond</w:t>
      </w:r>
      <w:r w:rsidR="00A43011">
        <w:rPr>
          <w:rFonts w:ascii="Times New Roman" w:hAnsi="Times New Roman" w:cs="Times New Roman"/>
          <w:color w:val="0000FF"/>
        </w:rPr>
        <w:t>-stock betas which are the focus of this paper</w:t>
      </w:r>
      <w:r>
        <w:rPr>
          <w:rFonts w:ascii="Times New Roman" w:hAnsi="Times New Roman" w:cs="Times New Roman"/>
          <w:color w:val="0000FF"/>
        </w:rPr>
        <w:t xml:space="preserve">.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procedure by targeting the macroeconomic volatilities in the bottom panel of Table 3, but the</w:t>
      </w:r>
      <w:r>
        <w:rPr>
          <w:rFonts w:ascii="Times New Roman" w:hAnsi="Times New Roman" w:cs="Times New Roman"/>
          <w:color w:val="0000FF"/>
        </w:rPr>
        <w:t xml:space="preserve"> overall level of the volatility of shocks is </w:t>
      </w:r>
      <w:r w:rsidR="005240CC">
        <w:rPr>
          <w:rFonts w:ascii="Times New Roman" w:hAnsi="Times New Roman" w:cs="Times New Roman"/>
          <w:color w:val="0000FF"/>
        </w:rPr>
        <w:t xml:space="preserve">less </w:t>
      </w:r>
      <w:r>
        <w:rPr>
          <w:rFonts w:ascii="Times New Roman" w:hAnsi="Times New Roman" w:cs="Times New Roman"/>
          <w:color w:val="0000FF"/>
        </w:rPr>
        <w:t xml:space="preserve">central to </w:t>
      </w:r>
      <w:r w:rsidR="005240CC">
        <w:rPr>
          <w:rFonts w:ascii="Times New Roman" w:hAnsi="Times New Roman" w:cs="Times New Roman"/>
          <w:color w:val="0000FF"/>
        </w:rPr>
        <w:t xml:space="preserve">the question of this paper than it is for the </w:t>
      </w:r>
      <w:r>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 xml:space="preserve">The revised manuscript clarifies the relationship to Liu, Waggoner, and Zha (2011) and Bianchi and </w:t>
      </w:r>
      <w:proofErr w:type="spellStart"/>
      <w:r w:rsidR="00113AF3">
        <w:rPr>
          <w:rFonts w:ascii="Times New Roman" w:hAnsi="Times New Roman" w:cs="Times New Roman"/>
          <w:color w:val="0000FF"/>
        </w:rPr>
        <w:t>Ilut</w:t>
      </w:r>
      <w:proofErr w:type="spellEnd"/>
      <w:r w:rsidR="00113AF3">
        <w:rPr>
          <w:rFonts w:ascii="Times New Roman" w:hAnsi="Times New Roman" w:cs="Times New Roman"/>
          <w:color w:val="0000FF"/>
        </w:rPr>
        <w:t xml:space="preserve"> (2017) in the introduction (</w:t>
      </w:r>
      <w:r w:rsidR="00113AF3" w:rsidRPr="00113AF3">
        <w:rPr>
          <w:rFonts w:ascii="Times New Roman" w:hAnsi="Times New Roman" w:cs="Times New Roman"/>
          <w:b/>
          <w:bCs/>
          <w:color w:val="0000FF"/>
        </w:rPr>
        <w:t>p.7 “A long-standing literature on DSGE models with regime switches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“One might wonder whether the change in the shock volatilities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4BC8A696"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I also added extensive discussion and a simple newspaper count exercise to the revised manuscript</w:t>
      </w:r>
      <w:r w:rsidR="005560B4">
        <w:rPr>
          <w:rFonts w:ascii="Times New Roman" w:hAnsi="Times New Roman" w:cs="Times New Roman"/>
          <w:color w:val="0000FF"/>
        </w:rPr>
        <w:t xml:space="preserve">. </w:t>
      </w:r>
      <w:r w:rsidR="00EC41F8">
        <w:rPr>
          <w:rFonts w:ascii="Times New Roman" w:hAnsi="Times New Roman" w:cs="Times New Roman"/>
          <w:color w:val="0000FF"/>
        </w:rPr>
        <w:t xml:space="preserve">See </w:t>
      </w:r>
      <w:r w:rsidR="00EC41F8" w:rsidRPr="00EC41F8">
        <w:rPr>
          <w:rFonts w:ascii="Times New Roman" w:hAnsi="Times New Roman" w:cs="Times New Roman"/>
          <w:b/>
          <w:bCs/>
          <w:color w:val="0000FF"/>
        </w:rPr>
        <w:t>p.3</w:t>
      </w:r>
      <w:r w:rsidR="00EC41F8">
        <w:rPr>
          <w:rFonts w:ascii="Times New Roman" w:hAnsi="Times New Roman" w:cs="Times New Roman"/>
          <w:color w:val="0000FF"/>
        </w:rPr>
        <w:t xml:space="preserve"> in the introduction (</w:t>
      </w:r>
      <w:r w:rsidR="00EC41F8" w:rsidRPr="00EC41F8">
        <w:rPr>
          <w:rFonts w:ascii="Times New Roman" w:hAnsi="Times New Roman" w:cs="Times New Roman"/>
          <w:b/>
          <w:bCs/>
          <w:color w:val="0000FF"/>
        </w:rPr>
        <w:t>paragraph starting “The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Pr>
          <w:rFonts w:ascii="Times New Roman" w:hAnsi="Times New Roman" w:cs="Times New Roman"/>
          <w:b/>
          <w:bCs/>
          <w:color w:val="0000FF"/>
        </w:rPr>
        <w:t>(see p.20, the two paragraphs starting “</w:t>
      </w:r>
      <w:r w:rsidR="00113AF3" w:rsidRPr="00662D76">
        <w:rPr>
          <w:rFonts w:ascii="Times New Roman" w:hAnsi="Times New Roman" w:cs="Times New Roman"/>
          <w:b/>
          <w:bCs/>
          <w:color w:val="0000FF"/>
        </w:rPr>
        <w:t xml:space="preserve">The top-left plot in Figure </w:t>
      </w:r>
      <w:r w:rsidR="00113AF3">
        <w:rPr>
          <w:rFonts w:ascii="Times New Roman" w:hAnsi="Times New Roman" w:cs="Times New Roman"/>
          <w:b/>
          <w:bCs/>
          <w:color w:val="0000FF"/>
        </w:rPr>
        <w:t xml:space="preserve">2, </w:t>
      </w:r>
      <w:r w:rsidR="00113AF3" w:rsidRPr="00662D76">
        <w:rPr>
          <w:rFonts w:ascii="Times New Roman" w:hAnsi="Times New Roman" w:cs="Times New Roman"/>
          <w:b/>
          <w:bCs/>
          <w:color w:val="0000FF"/>
        </w:rPr>
        <w:t xml:space="preserve">Panel A shows that..” </w:t>
      </w:r>
      <w:r w:rsidR="00113AF3" w:rsidRPr="00141F18">
        <w:rPr>
          <w:rFonts w:ascii="Times New Roman" w:hAnsi="Times New Roman" w:cs="Times New Roman"/>
          <w:color w:val="0000FF"/>
        </w:rPr>
        <w:t>and the</w:t>
      </w:r>
      <w:r w:rsidR="00113AF3">
        <w:rPr>
          <w:rFonts w:ascii="Times New Roman" w:hAnsi="Times New Roman" w:cs="Times New Roman"/>
          <w:b/>
          <w:bCs/>
          <w:color w:val="0000FF"/>
        </w:rPr>
        <w:t xml:space="preserve"> new </w:t>
      </w:r>
      <w:r w:rsidR="00113AF3" w:rsidRPr="00662D76">
        <w:rPr>
          <w:rFonts w:ascii="Times New Roman" w:hAnsi="Times New Roman" w:cs="Times New Roman"/>
          <w:b/>
          <w:bCs/>
          <w:color w:val="0000FF"/>
        </w:rPr>
        <w:t>footnote 14 on the same page).</w:t>
      </w:r>
      <w:r w:rsidR="00660FBB">
        <w:rPr>
          <w:rFonts w:ascii="Times New Roman" w:hAnsi="Times New Roman" w:cs="Times New Roman"/>
          <w:b/>
          <w:bCs/>
          <w:color w:val="0000FF"/>
        </w:rPr>
        <w:t xml:space="preserve"> </w:t>
      </w:r>
      <w:r w:rsidR="00660FBB">
        <w:rPr>
          <w:rFonts w:ascii="Times New Roman" w:hAnsi="Times New Roman" w:cs="Times New Roman"/>
          <w:color w:val="0000FF"/>
        </w:rPr>
        <w:t xml:space="preserve">Note that the paper by Bauer, Pflueger and </w:t>
      </w:r>
      <w:proofErr w:type="spellStart"/>
      <w:r w:rsidR="00660FBB">
        <w:rPr>
          <w:rFonts w:ascii="Times New Roman" w:hAnsi="Times New Roman" w:cs="Times New Roman"/>
          <w:color w:val="0000FF"/>
        </w:rPr>
        <w:t>Sunderam</w:t>
      </w:r>
      <w:proofErr w:type="spellEnd"/>
      <w:r w:rsidR="00660FBB">
        <w:rPr>
          <w:rFonts w:ascii="Times New Roman" w:hAnsi="Times New Roman" w:cs="Times New Roman"/>
          <w:color w:val="0000FF"/>
        </w:rPr>
        <w:t xml:space="preserve"> (2024) referenced in these paragraphs is purely empirical and uses completely separate data from the present manuscript, namely surveys and high-frequency interest rate responses to core CPI inflation surprises. This complementary paper can therefore not speak to the underlying macroeconomic shocks and contains no asset pricing model, so it is insufficient to reach the key conclusion of the present manuscript that a “perfect storm” is needed to turn bonds risky again.</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7485052E" w14:textId="7010C4E9" w:rsidR="00113AF3" w:rsidRDefault="002C148B"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The newspaper count exercise is contained in the</w:t>
      </w:r>
      <w:r w:rsidR="00113AF3">
        <w:rPr>
          <w:rFonts w:ascii="Times New Roman" w:hAnsi="Times New Roman" w:cs="Times New Roman"/>
          <w:color w:val="0000FF"/>
        </w:rPr>
        <w:t xml:space="preserve"> </w:t>
      </w:r>
      <w:r w:rsidR="00113AF3" w:rsidRPr="002C148B">
        <w:rPr>
          <w:rFonts w:ascii="Times New Roman" w:hAnsi="Times New Roman" w:cs="Times New Roman"/>
          <w:b/>
          <w:bCs/>
          <w:color w:val="0000FF"/>
        </w:rPr>
        <w:t>new Appendix Figure A1</w:t>
      </w:r>
      <w:r w:rsidR="00113AF3">
        <w:rPr>
          <w:rFonts w:ascii="Times New Roman" w:hAnsi="Times New Roman" w:cs="Times New Roman"/>
          <w:color w:val="0000FF"/>
        </w:rPr>
        <w:t>,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newspaper counts further support the notion that the public and investors were highly attuned to macroeconomic supply shocks during the 1980s</w:t>
      </w:r>
      <w:r>
        <w:rPr>
          <w:rFonts w:ascii="Times New Roman" w:hAnsi="Times New Roman" w:cs="Times New Roman"/>
          <w:color w:val="0000FF"/>
        </w:rPr>
        <w:t xml:space="preserve">, and also </w:t>
      </w:r>
      <w:r w:rsidR="00113AF3">
        <w:rPr>
          <w:rFonts w:ascii="Times New Roman" w:hAnsi="Times New Roman" w:cs="Times New Roman"/>
          <w:color w:val="0000FF"/>
        </w:rPr>
        <w:t xml:space="preserve">the post-pandemic period after 2020. </w:t>
      </w:r>
    </w:p>
    <w:p w14:paraId="2E24AC8C" w14:textId="77777777"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4FFC53FF" wp14:editId="1E2F2F03">
            <wp:extent cx="5943600" cy="4556125"/>
            <wp:effectExtent l="0" t="0" r="0" b="0"/>
            <wp:docPr id="994549135"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olin Pflueger" w:date="2024-11-06T11:10:00Z" w:initials="CP">
    <w:p w14:paraId="385850FE" w14:textId="77777777" w:rsidR="003B7156" w:rsidRDefault="003B7156" w:rsidP="003B7156">
      <w:pPr>
        <w:pStyle w:val="CommentText"/>
      </w:pPr>
      <w:r>
        <w:rPr>
          <w:rStyle w:val="CommentReference"/>
        </w:rPr>
        <w:annotationRef/>
      </w:r>
      <w:r>
        <w:t xml:space="preserve">Change this to second half of 2023 throughout. Chosen to match timing of significantly positive breakeven beta. Incidentally, this also matches the timing of the peak in the perceived Taylor rule inflation coefficient in BPS2024, Table 2. </w:t>
      </w:r>
    </w:p>
  </w:comment>
  <w:comment w:id="1" w:author="Carolin Pflueger" w:date="2024-10-29T15:22:00Z" w:initials="CP">
    <w:p w14:paraId="209D7FF4" w14:textId="31FD4CF0" w:rsidR="000B5A51" w:rsidRDefault="000B5A51" w:rsidP="000B5A51">
      <w:pPr>
        <w:pStyle w:val="CommentText"/>
      </w:pPr>
      <w:r>
        <w:rPr>
          <w:rStyle w:val="CommentReference"/>
        </w:rPr>
        <w:annotationRef/>
      </w:r>
      <w:r>
        <w:t>Same as AE comment 1</w:t>
      </w:r>
    </w:p>
  </w:comment>
  <w:comment w:id="2" w:author="Carolin Pflueger" w:date="2024-12-12T11:55:00Z" w:initials="CP">
    <w:p w14:paraId="6EA1B03F" w14:textId="77777777" w:rsidR="00DB1DAF" w:rsidRDefault="00DB1DAF" w:rsidP="00DB1DAF">
      <w:pPr>
        <w:pStyle w:val="CommentText"/>
      </w:pPr>
      <w:r>
        <w:rPr>
          <w:rStyle w:val="CommentReference"/>
        </w:rPr>
        <w:annotationRef/>
      </w:r>
      <w:r>
        <w:t>Same as response to AE comment 3</w:t>
      </w:r>
    </w:p>
  </w:comment>
  <w:comment w:id="3" w:author="Carolin Pflueger" w:date="2024-10-30T10:48:00Z" w:initials="CP">
    <w:p w14:paraId="587DAC1E" w14:textId="7B251A58" w:rsidR="00A476FF" w:rsidRDefault="00A476FF" w:rsidP="00A476FF">
      <w:pPr>
        <w:pStyle w:val="CommentText"/>
      </w:pPr>
      <w:r>
        <w:rPr>
          <w:rStyle w:val="CommentReference"/>
        </w:rPr>
        <w:annotationRef/>
      </w:r>
      <w:r>
        <w:t>This is the same as the response to the AE, comment 3</w:t>
      </w:r>
    </w:p>
  </w:comment>
  <w:comment w:id="4" w:author="Carolin Pflueger" w:date="2024-10-30T10:55:00Z" w:initials="CP">
    <w:p w14:paraId="140BFEC2" w14:textId="77777777" w:rsidR="00251F6F" w:rsidRDefault="00251F6F" w:rsidP="00251F6F">
      <w:pPr>
        <w:pStyle w:val="CommentText"/>
      </w:pPr>
      <w:r>
        <w:rPr>
          <w:rStyle w:val="CommentReference"/>
        </w:rPr>
        <w:annotationRef/>
      </w:r>
      <w:r>
        <w:t>Slightly different from AE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5850FE" w15:done="0"/>
  <w15:commentEx w15:paraId="209D7FF4" w15:done="0"/>
  <w15:commentEx w15:paraId="6EA1B03F" w15:done="0"/>
  <w15:commentEx w15:paraId="587DAC1E" w15:done="0"/>
  <w15:commentEx w15:paraId="140BF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7C9546" w16cex:dateUtc="2024-11-06T17:10:00Z"/>
  <w16cex:commentExtensible w16cex:durableId="7DDE0CC5" w16cex:dateUtc="2024-10-29T20:22:00Z"/>
  <w16cex:commentExtensible w16cex:durableId="1062EB87" w16cex:dateUtc="2024-12-12T17:55:00Z"/>
  <w16cex:commentExtensible w16cex:durableId="719ACF71" w16cex:dateUtc="2024-10-30T15:48:00Z"/>
  <w16cex:commentExtensible w16cex:durableId="1DFE0413" w16cex:dateUtc="2024-10-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5850FE" w16cid:durableId="4B7C9546"/>
  <w16cid:commentId w16cid:paraId="209D7FF4" w16cid:durableId="7DDE0CC5"/>
  <w16cid:commentId w16cid:paraId="6EA1B03F" w16cid:durableId="1062EB87"/>
  <w16cid:commentId w16cid:paraId="587DAC1E" w16cid:durableId="719ACF71"/>
  <w16cid:commentId w16cid:paraId="140BFEC2" w16cid:durableId="1DFE0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ADD15" w14:textId="77777777" w:rsidR="008E33D9" w:rsidRDefault="008E33D9" w:rsidP="00C04384">
      <w:pPr>
        <w:spacing w:after="0" w:line="240" w:lineRule="auto"/>
      </w:pPr>
      <w:r>
        <w:separator/>
      </w:r>
    </w:p>
  </w:endnote>
  <w:endnote w:type="continuationSeparator" w:id="0">
    <w:p w14:paraId="6BDA6A66" w14:textId="77777777" w:rsidR="008E33D9" w:rsidRDefault="008E33D9"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BFF41" w14:textId="77777777" w:rsidR="008E33D9" w:rsidRDefault="008E33D9" w:rsidP="00C04384">
      <w:pPr>
        <w:spacing w:after="0" w:line="240" w:lineRule="auto"/>
      </w:pPr>
      <w:r>
        <w:separator/>
      </w:r>
    </w:p>
  </w:footnote>
  <w:footnote w:type="continuationSeparator" w:id="0">
    <w:p w14:paraId="19FC48FA" w14:textId="77777777" w:rsidR="008E33D9" w:rsidRDefault="008E33D9" w:rsidP="00C04384">
      <w:pPr>
        <w:spacing w:after="0" w:line="240" w:lineRule="auto"/>
      </w:pPr>
      <w:r>
        <w:continuationSeparator/>
      </w:r>
    </w:p>
  </w:footnote>
  <w:footnote w:id="1">
    <w:p w14:paraId="6563D610" w14:textId="17E941F4" w:rsidR="008925ED" w:rsidRDefault="008925ED" w:rsidP="008925ED">
      <w:pPr>
        <w:pStyle w:val="FootnoteText"/>
      </w:pPr>
      <w:r>
        <w:rPr>
          <w:rStyle w:val="FootnoteReference"/>
        </w:rPr>
        <w:footnoteRef/>
      </w:r>
      <w:r>
        <w:t xml:space="preserve"> </w:t>
      </w:r>
      <w:r w:rsidR="000269E1">
        <w:rPr>
          <w:rFonts w:ascii="Times New Roman" w:hAnsi="Times New Roman" w:cs="Times New Roman"/>
          <w:color w:val="0000FF"/>
        </w:rPr>
        <w:t xml:space="preserve">Different from the present manuscript, Bauer, Pflueger and Sunderam (2024) cannot speak to the role of supply shocks and contains no asset pricing model, so it is insufficient to reach the key conclusion of the present manuscript that a “perfect storm” is needed to turn bonds risky. </w:t>
      </w:r>
      <w:r>
        <w:rPr>
          <w:rFonts w:ascii="Times New Roman" w:hAnsi="Times New Roman" w:cs="Times New Roman"/>
          <w:color w:val="0000FF"/>
        </w:rPr>
        <w:t xml:space="preserve">Bauer, Pflueger and Sunderam (2024) is </w:t>
      </w:r>
      <w:r w:rsidR="000269E1">
        <w:rPr>
          <w:rFonts w:ascii="Times New Roman" w:hAnsi="Times New Roman" w:cs="Times New Roman"/>
          <w:color w:val="0000FF"/>
        </w:rPr>
        <w:t xml:space="preserve">complementary to the present manuscript, in that it is </w:t>
      </w:r>
      <w:r>
        <w:rPr>
          <w:rFonts w:ascii="Times New Roman" w:hAnsi="Times New Roman" w:cs="Times New Roman"/>
          <w:color w:val="0000FF"/>
        </w:rPr>
        <w:t>purely empirical</w:t>
      </w:r>
      <w:r w:rsidR="000269E1">
        <w:rPr>
          <w:rFonts w:ascii="Times New Roman" w:hAnsi="Times New Roman" w:cs="Times New Roman"/>
          <w:color w:val="0000FF"/>
        </w:rPr>
        <w:t xml:space="preserve"> and relies on </w:t>
      </w:r>
      <w:r>
        <w:rPr>
          <w:rFonts w:ascii="Times New Roman" w:hAnsi="Times New Roman" w:cs="Times New Roman"/>
          <w:color w:val="0000FF"/>
        </w:rPr>
        <w:t xml:space="preserve">completely separate data, namely surveys and high-frequency interest rate responses to core CPI inflation surprises. </w:t>
      </w:r>
    </w:p>
  </w:footnote>
  <w:footnote w:id="2">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3">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1"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2"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5"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19"/>
  </w:num>
  <w:num w:numId="3" w16cid:durableId="544024557">
    <w:abstractNumId w:val="14"/>
  </w:num>
  <w:num w:numId="4" w16cid:durableId="831681105">
    <w:abstractNumId w:val="8"/>
  </w:num>
  <w:num w:numId="5" w16cid:durableId="1234853715">
    <w:abstractNumId w:val="24"/>
  </w:num>
  <w:num w:numId="6" w16cid:durableId="1201435851">
    <w:abstractNumId w:val="4"/>
  </w:num>
  <w:num w:numId="7" w16cid:durableId="1211268208">
    <w:abstractNumId w:val="25"/>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2"/>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1"/>
  </w:num>
  <w:num w:numId="19" w16cid:durableId="14963411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3"/>
  </w:num>
  <w:num w:numId="26" w16cid:durableId="1218205134">
    <w:abstractNumId w:val="6"/>
  </w:num>
  <w:num w:numId="27" w16cid:durableId="11025356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 Pflueger">
    <w15:presenceInfo w15:providerId="AD" w15:userId="S::cpflueger@UCHICAGO.EDU::a02219aa-9165-4d55-ad01-be907e6f4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62F6"/>
    <w:rsid w:val="0001757A"/>
    <w:rsid w:val="000179F5"/>
    <w:rsid w:val="00017D94"/>
    <w:rsid w:val="0002171C"/>
    <w:rsid w:val="00024DFF"/>
    <w:rsid w:val="00025B82"/>
    <w:rsid w:val="000269E1"/>
    <w:rsid w:val="00027037"/>
    <w:rsid w:val="00033994"/>
    <w:rsid w:val="000360EC"/>
    <w:rsid w:val="00036C51"/>
    <w:rsid w:val="00037903"/>
    <w:rsid w:val="00037C07"/>
    <w:rsid w:val="00043178"/>
    <w:rsid w:val="000431BF"/>
    <w:rsid w:val="00045F40"/>
    <w:rsid w:val="000528D6"/>
    <w:rsid w:val="00053C34"/>
    <w:rsid w:val="00054D89"/>
    <w:rsid w:val="00057113"/>
    <w:rsid w:val="000600BB"/>
    <w:rsid w:val="000611F6"/>
    <w:rsid w:val="00061A65"/>
    <w:rsid w:val="00061ABE"/>
    <w:rsid w:val="00061E83"/>
    <w:rsid w:val="00062D0B"/>
    <w:rsid w:val="000641E5"/>
    <w:rsid w:val="000659BB"/>
    <w:rsid w:val="00066045"/>
    <w:rsid w:val="00070DA1"/>
    <w:rsid w:val="00070F1E"/>
    <w:rsid w:val="00073E9C"/>
    <w:rsid w:val="00074D07"/>
    <w:rsid w:val="000760D0"/>
    <w:rsid w:val="000763E6"/>
    <w:rsid w:val="00080FFB"/>
    <w:rsid w:val="0008110E"/>
    <w:rsid w:val="0008122B"/>
    <w:rsid w:val="000817BE"/>
    <w:rsid w:val="00084743"/>
    <w:rsid w:val="00085681"/>
    <w:rsid w:val="000856BF"/>
    <w:rsid w:val="00085C83"/>
    <w:rsid w:val="000878E8"/>
    <w:rsid w:val="00091AD5"/>
    <w:rsid w:val="00092419"/>
    <w:rsid w:val="00092EE9"/>
    <w:rsid w:val="000936BB"/>
    <w:rsid w:val="00095407"/>
    <w:rsid w:val="00097D16"/>
    <w:rsid w:val="000A0FE8"/>
    <w:rsid w:val="000A172D"/>
    <w:rsid w:val="000A2257"/>
    <w:rsid w:val="000A2927"/>
    <w:rsid w:val="000A4251"/>
    <w:rsid w:val="000B0584"/>
    <w:rsid w:val="000B31B5"/>
    <w:rsid w:val="000B3971"/>
    <w:rsid w:val="000B4932"/>
    <w:rsid w:val="000B5A51"/>
    <w:rsid w:val="000B5F7C"/>
    <w:rsid w:val="000B6244"/>
    <w:rsid w:val="000B640A"/>
    <w:rsid w:val="000B7E91"/>
    <w:rsid w:val="000C0459"/>
    <w:rsid w:val="000C0484"/>
    <w:rsid w:val="000C15DB"/>
    <w:rsid w:val="000C1662"/>
    <w:rsid w:val="000C19B6"/>
    <w:rsid w:val="000C38F7"/>
    <w:rsid w:val="000C4021"/>
    <w:rsid w:val="000C4316"/>
    <w:rsid w:val="000D1D41"/>
    <w:rsid w:val="000D1F33"/>
    <w:rsid w:val="000D2B97"/>
    <w:rsid w:val="000D32FD"/>
    <w:rsid w:val="000D537A"/>
    <w:rsid w:val="000E06AB"/>
    <w:rsid w:val="000E1941"/>
    <w:rsid w:val="000E19FE"/>
    <w:rsid w:val="000E585F"/>
    <w:rsid w:val="000E5C4D"/>
    <w:rsid w:val="000E7455"/>
    <w:rsid w:val="000E763A"/>
    <w:rsid w:val="000F3DA5"/>
    <w:rsid w:val="000F4BFD"/>
    <w:rsid w:val="000F68DE"/>
    <w:rsid w:val="000F7252"/>
    <w:rsid w:val="000F7EEC"/>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738F"/>
    <w:rsid w:val="00127520"/>
    <w:rsid w:val="001302C0"/>
    <w:rsid w:val="001346EE"/>
    <w:rsid w:val="00134DD0"/>
    <w:rsid w:val="00135A08"/>
    <w:rsid w:val="00135E25"/>
    <w:rsid w:val="00136761"/>
    <w:rsid w:val="00136FBD"/>
    <w:rsid w:val="00140943"/>
    <w:rsid w:val="00140E95"/>
    <w:rsid w:val="00140F39"/>
    <w:rsid w:val="00141157"/>
    <w:rsid w:val="00141F18"/>
    <w:rsid w:val="0014272B"/>
    <w:rsid w:val="001430D1"/>
    <w:rsid w:val="0014453E"/>
    <w:rsid w:val="00144B73"/>
    <w:rsid w:val="00144CBE"/>
    <w:rsid w:val="00147233"/>
    <w:rsid w:val="001512AA"/>
    <w:rsid w:val="00152528"/>
    <w:rsid w:val="00152CC2"/>
    <w:rsid w:val="00153DCD"/>
    <w:rsid w:val="00153E7E"/>
    <w:rsid w:val="001546D5"/>
    <w:rsid w:val="00161208"/>
    <w:rsid w:val="001623F3"/>
    <w:rsid w:val="0016253D"/>
    <w:rsid w:val="00162BEE"/>
    <w:rsid w:val="00164F58"/>
    <w:rsid w:val="00165493"/>
    <w:rsid w:val="00166411"/>
    <w:rsid w:val="001717F8"/>
    <w:rsid w:val="00172334"/>
    <w:rsid w:val="00172FE9"/>
    <w:rsid w:val="001736D9"/>
    <w:rsid w:val="001738AC"/>
    <w:rsid w:val="00175C2D"/>
    <w:rsid w:val="00176545"/>
    <w:rsid w:val="00182744"/>
    <w:rsid w:val="00182B3A"/>
    <w:rsid w:val="0018368E"/>
    <w:rsid w:val="0018476B"/>
    <w:rsid w:val="001854E2"/>
    <w:rsid w:val="001913E1"/>
    <w:rsid w:val="00192260"/>
    <w:rsid w:val="00193958"/>
    <w:rsid w:val="00193C91"/>
    <w:rsid w:val="0019453B"/>
    <w:rsid w:val="001965F2"/>
    <w:rsid w:val="00197DD4"/>
    <w:rsid w:val="001A070E"/>
    <w:rsid w:val="001A3008"/>
    <w:rsid w:val="001A579E"/>
    <w:rsid w:val="001A760A"/>
    <w:rsid w:val="001B167D"/>
    <w:rsid w:val="001B2206"/>
    <w:rsid w:val="001B37F8"/>
    <w:rsid w:val="001B5608"/>
    <w:rsid w:val="001B7410"/>
    <w:rsid w:val="001B77A4"/>
    <w:rsid w:val="001C00B9"/>
    <w:rsid w:val="001C1272"/>
    <w:rsid w:val="001C2153"/>
    <w:rsid w:val="001C3861"/>
    <w:rsid w:val="001C5CB6"/>
    <w:rsid w:val="001D00A9"/>
    <w:rsid w:val="001D0AAC"/>
    <w:rsid w:val="001D3BEC"/>
    <w:rsid w:val="001D565F"/>
    <w:rsid w:val="001E0CC1"/>
    <w:rsid w:val="001E20F4"/>
    <w:rsid w:val="001E27A0"/>
    <w:rsid w:val="001E3C72"/>
    <w:rsid w:val="001E5320"/>
    <w:rsid w:val="001E7523"/>
    <w:rsid w:val="001E7960"/>
    <w:rsid w:val="001F1305"/>
    <w:rsid w:val="001F17D2"/>
    <w:rsid w:val="001F3A01"/>
    <w:rsid w:val="001F4ACD"/>
    <w:rsid w:val="001F4E5E"/>
    <w:rsid w:val="001F52C3"/>
    <w:rsid w:val="001F6681"/>
    <w:rsid w:val="001F6F89"/>
    <w:rsid w:val="00201418"/>
    <w:rsid w:val="00201878"/>
    <w:rsid w:val="00201B3B"/>
    <w:rsid w:val="00202AB1"/>
    <w:rsid w:val="002038BB"/>
    <w:rsid w:val="00204545"/>
    <w:rsid w:val="00204FA7"/>
    <w:rsid w:val="00210D1C"/>
    <w:rsid w:val="002111CA"/>
    <w:rsid w:val="00211AB7"/>
    <w:rsid w:val="0021791F"/>
    <w:rsid w:val="00217946"/>
    <w:rsid w:val="00220EE3"/>
    <w:rsid w:val="00221FD4"/>
    <w:rsid w:val="0022516B"/>
    <w:rsid w:val="00225361"/>
    <w:rsid w:val="0022561E"/>
    <w:rsid w:val="00226638"/>
    <w:rsid w:val="00226B75"/>
    <w:rsid w:val="00231F21"/>
    <w:rsid w:val="00233219"/>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AB3"/>
    <w:rsid w:val="00257C96"/>
    <w:rsid w:val="00260060"/>
    <w:rsid w:val="002604D2"/>
    <w:rsid w:val="00261002"/>
    <w:rsid w:val="0026237A"/>
    <w:rsid w:val="002625D1"/>
    <w:rsid w:val="00266618"/>
    <w:rsid w:val="0026726A"/>
    <w:rsid w:val="002715AD"/>
    <w:rsid w:val="00272855"/>
    <w:rsid w:val="00273828"/>
    <w:rsid w:val="002739F0"/>
    <w:rsid w:val="0027555B"/>
    <w:rsid w:val="002766A4"/>
    <w:rsid w:val="00276775"/>
    <w:rsid w:val="002768F5"/>
    <w:rsid w:val="002772E4"/>
    <w:rsid w:val="002813AD"/>
    <w:rsid w:val="00281692"/>
    <w:rsid w:val="00281881"/>
    <w:rsid w:val="00284412"/>
    <w:rsid w:val="00291CFA"/>
    <w:rsid w:val="002925A3"/>
    <w:rsid w:val="00292A39"/>
    <w:rsid w:val="00293171"/>
    <w:rsid w:val="002932D2"/>
    <w:rsid w:val="00294269"/>
    <w:rsid w:val="00294589"/>
    <w:rsid w:val="002947D4"/>
    <w:rsid w:val="002A079C"/>
    <w:rsid w:val="002A1CDF"/>
    <w:rsid w:val="002A2AA8"/>
    <w:rsid w:val="002A312B"/>
    <w:rsid w:val="002A387A"/>
    <w:rsid w:val="002A3E2E"/>
    <w:rsid w:val="002A40D2"/>
    <w:rsid w:val="002A5D0D"/>
    <w:rsid w:val="002A7A21"/>
    <w:rsid w:val="002B003A"/>
    <w:rsid w:val="002B01CE"/>
    <w:rsid w:val="002B1F65"/>
    <w:rsid w:val="002B26DF"/>
    <w:rsid w:val="002B2B76"/>
    <w:rsid w:val="002B3E99"/>
    <w:rsid w:val="002B413F"/>
    <w:rsid w:val="002B66DD"/>
    <w:rsid w:val="002B7B78"/>
    <w:rsid w:val="002C1382"/>
    <w:rsid w:val="002C148B"/>
    <w:rsid w:val="002C1D0E"/>
    <w:rsid w:val="002C23E2"/>
    <w:rsid w:val="002C24D6"/>
    <w:rsid w:val="002C313D"/>
    <w:rsid w:val="002C3333"/>
    <w:rsid w:val="002C4DA1"/>
    <w:rsid w:val="002C6686"/>
    <w:rsid w:val="002D094B"/>
    <w:rsid w:val="002D1019"/>
    <w:rsid w:val="002D46D9"/>
    <w:rsid w:val="002D4BFD"/>
    <w:rsid w:val="002D4EE1"/>
    <w:rsid w:val="002D5488"/>
    <w:rsid w:val="002D5ED1"/>
    <w:rsid w:val="002D604B"/>
    <w:rsid w:val="002D6D38"/>
    <w:rsid w:val="002E0D97"/>
    <w:rsid w:val="002E2389"/>
    <w:rsid w:val="002F1087"/>
    <w:rsid w:val="002F1B72"/>
    <w:rsid w:val="002F21A1"/>
    <w:rsid w:val="002F3F8D"/>
    <w:rsid w:val="002F45BF"/>
    <w:rsid w:val="002F47E9"/>
    <w:rsid w:val="002F4B1B"/>
    <w:rsid w:val="002F6884"/>
    <w:rsid w:val="002F7785"/>
    <w:rsid w:val="00301D47"/>
    <w:rsid w:val="003036FF"/>
    <w:rsid w:val="0030639D"/>
    <w:rsid w:val="00306826"/>
    <w:rsid w:val="0031061F"/>
    <w:rsid w:val="00314CEF"/>
    <w:rsid w:val="003213B0"/>
    <w:rsid w:val="003222D8"/>
    <w:rsid w:val="00323286"/>
    <w:rsid w:val="0032655B"/>
    <w:rsid w:val="00327733"/>
    <w:rsid w:val="00332907"/>
    <w:rsid w:val="00332BC8"/>
    <w:rsid w:val="00332F20"/>
    <w:rsid w:val="00333898"/>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598D"/>
    <w:rsid w:val="0035754B"/>
    <w:rsid w:val="00357BB9"/>
    <w:rsid w:val="00357C4C"/>
    <w:rsid w:val="00360A08"/>
    <w:rsid w:val="003623A0"/>
    <w:rsid w:val="0036263B"/>
    <w:rsid w:val="00362760"/>
    <w:rsid w:val="00364C53"/>
    <w:rsid w:val="0036532B"/>
    <w:rsid w:val="003654EF"/>
    <w:rsid w:val="003659AD"/>
    <w:rsid w:val="00365F1D"/>
    <w:rsid w:val="00367910"/>
    <w:rsid w:val="003718D3"/>
    <w:rsid w:val="00372A3F"/>
    <w:rsid w:val="00373B39"/>
    <w:rsid w:val="0037482B"/>
    <w:rsid w:val="0037624F"/>
    <w:rsid w:val="0038003A"/>
    <w:rsid w:val="003816B6"/>
    <w:rsid w:val="0038330F"/>
    <w:rsid w:val="003843D9"/>
    <w:rsid w:val="003843DD"/>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9D9"/>
    <w:rsid w:val="003A2C1A"/>
    <w:rsid w:val="003A4C9B"/>
    <w:rsid w:val="003A64FF"/>
    <w:rsid w:val="003A6609"/>
    <w:rsid w:val="003A6BD6"/>
    <w:rsid w:val="003A7BF0"/>
    <w:rsid w:val="003B3B7A"/>
    <w:rsid w:val="003B41D1"/>
    <w:rsid w:val="003B7156"/>
    <w:rsid w:val="003B7864"/>
    <w:rsid w:val="003C1749"/>
    <w:rsid w:val="003C1DD9"/>
    <w:rsid w:val="003C347D"/>
    <w:rsid w:val="003C397E"/>
    <w:rsid w:val="003C5975"/>
    <w:rsid w:val="003C5BA2"/>
    <w:rsid w:val="003C7A80"/>
    <w:rsid w:val="003D0EA2"/>
    <w:rsid w:val="003D177F"/>
    <w:rsid w:val="003D2656"/>
    <w:rsid w:val="003D4969"/>
    <w:rsid w:val="003D4F54"/>
    <w:rsid w:val="003D5222"/>
    <w:rsid w:val="003D7F16"/>
    <w:rsid w:val="003E10C3"/>
    <w:rsid w:val="003E133C"/>
    <w:rsid w:val="003E13E8"/>
    <w:rsid w:val="003E1FD7"/>
    <w:rsid w:val="003E28E3"/>
    <w:rsid w:val="003E2F1E"/>
    <w:rsid w:val="003E3378"/>
    <w:rsid w:val="003E3785"/>
    <w:rsid w:val="003E3EAD"/>
    <w:rsid w:val="003E4A15"/>
    <w:rsid w:val="003E57CC"/>
    <w:rsid w:val="003E6B32"/>
    <w:rsid w:val="003E6E20"/>
    <w:rsid w:val="003F0A52"/>
    <w:rsid w:val="003F2174"/>
    <w:rsid w:val="003F4C3A"/>
    <w:rsid w:val="003F5107"/>
    <w:rsid w:val="003F518D"/>
    <w:rsid w:val="003F5DBB"/>
    <w:rsid w:val="00400378"/>
    <w:rsid w:val="00404449"/>
    <w:rsid w:val="00407B0D"/>
    <w:rsid w:val="0041011B"/>
    <w:rsid w:val="004123C4"/>
    <w:rsid w:val="00415173"/>
    <w:rsid w:val="00416F23"/>
    <w:rsid w:val="00417DAB"/>
    <w:rsid w:val="004201B8"/>
    <w:rsid w:val="00421732"/>
    <w:rsid w:val="00422041"/>
    <w:rsid w:val="004261AB"/>
    <w:rsid w:val="0042698B"/>
    <w:rsid w:val="0043174F"/>
    <w:rsid w:val="00431C42"/>
    <w:rsid w:val="00433607"/>
    <w:rsid w:val="00434C5E"/>
    <w:rsid w:val="0043656B"/>
    <w:rsid w:val="004365F3"/>
    <w:rsid w:val="00436A4A"/>
    <w:rsid w:val="00437895"/>
    <w:rsid w:val="004423FC"/>
    <w:rsid w:val="00443CE1"/>
    <w:rsid w:val="00450445"/>
    <w:rsid w:val="00451204"/>
    <w:rsid w:val="00451C4C"/>
    <w:rsid w:val="00452A43"/>
    <w:rsid w:val="0045462E"/>
    <w:rsid w:val="00455412"/>
    <w:rsid w:val="00456BFE"/>
    <w:rsid w:val="00461A92"/>
    <w:rsid w:val="00462668"/>
    <w:rsid w:val="00465AAF"/>
    <w:rsid w:val="00466179"/>
    <w:rsid w:val="00467BD3"/>
    <w:rsid w:val="004732AA"/>
    <w:rsid w:val="004744D0"/>
    <w:rsid w:val="00474825"/>
    <w:rsid w:val="00476D4B"/>
    <w:rsid w:val="004772C8"/>
    <w:rsid w:val="00477650"/>
    <w:rsid w:val="0047798E"/>
    <w:rsid w:val="0048161B"/>
    <w:rsid w:val="00482AD4"/>
    <w:rsid w:val="00482F44"/>
    <w:rsid w:val="0048391E"/>
    <w:rsid w:val="00485C60"/>
    <w:rsid w:val="00486769"/>
    <w:rsid w:val="0049070C"/>
    <w:rsid w:val="00490719"/>
    <w:rsid w:val="00490D4F"/>
    <w:rsid w:val="00491257"/>
    <w:rsid w:val="004934DA"/>
    <w:rsid w:val="00494AF7"/>
    <w:rsid w:val="00495B13"/>
    <w:rsid w:val="0049606A"/>
    <w:rsid w:val="00496687"/>
    <w:rsid w:val="004970E5"/>
    <w:rsid w:val="00497885"/>
    <w:rsid w:val="004A0B02"/>
    <w:rsid w:val="004A0B92"/>
    <w:rsid w:val="004A1D0E"/>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289"/>
    <w:rsid w:val="004E78A4"/>
    <w:rsid w:val="004F022F"/>
    <w:rsid w:val="004F1321"/>
    <w:rsid w:val="004F1DF7"/>
    <w:rsid w:val="004F635B"/>
    <w:rsid w:val="004F6872"/>
    <w:rsid w:val="004F7184"/>
    <w:rsid w:val="004F7E9E"/>
    <w:rsid w:val="00502F3F"/>
    <w:rsid w:val="005031FD"/>
    <w:rsid w:val="0050467D"/>
    <w:rsid w:val="00504B52"/>
    <w:rsid w:val="00504F5C"/>
    <w:rsid w:val="00512C25"/>
    <w:rsid w:val="00515149"/>
    <w:rsid w:val="005163F4"/>
    <w:rsid w:val="0051666B"/>
    <w:rsid w:val="00516CF5"/>
    <w:rsid w:val="00517B2D"/>
    <w:rsid w:val="00517F77"/>
    <w:rsid w:val="00520EE4"/>
    <w:rsid w:val="005210D0"/>
    <w:rsid w:val="00521346"/>
    <w:rsid w:val="005218FD"/>
    <w:rsid w:val="00521E22"/>
    <w:rsid w:val="005221D5"/>
    <w:rsid w:val="00522742"/>
    <w:rsid w:val="00523797"/>
    <w:rsid w:val="00523F40"/>
    <w:rsid w:val="005240CC"/>
    <w:rsid w:val="00526E6E"/>
    <w:rsid w:val="00527662"/>
    <w:rsid w:val="005324DA"/>
    <w:rsid w:val="005325D4"/>
    <w:rsid w:val="005335E6"/>
    <w:rsid w:val="00536584"/>
    <w:rsid w:val="00537F9F"/>
    <w:rsid w:val="00540268"/>
    <w:rsid w:val="00540D7A"/>
    <w:rsid w:val="00543131"/>
    <w:rsid w:val="0054375E"/>
    <w:rsid w:val="00543BC0"/>
    <w:rsid w:val="00545FB9"/>
    <w:rsid w:val="0054647D"/>
    <w:rsid w:val="005476DB"/>
    <w:rsid w:val="00552B46"/>
    <w:rsid w:val="005552C7"/>
    <w:rsid w:val="0055550F"/>
    <w:rsid w:val="00555A5B"/>
    <w:rsid w:val="005560B4"/>
    <w:rsid w:val="00556210"/>
    <w:rsid w:val="00556C6F"/>
    <w:rsid w:val="005570E0"/>
    <w:rsid w:val="00560DBC"/>
    <w:rsid w:val="00562DBA"/>
    <w:rsid w:val="00562F70"/>
    <w:rsid w:val="0056361E"/>
    <w:rsid w:val="005647A5"/>
    <w:rsid w:val="0056564A"/>
    <w:rsid w:val="00566257"/>
    <w:rsid w:val="005703F0"/>
    <w:rsid w:val="00570528"/>
    <w:rsid w:val="00572040"/>
    <w:rsid w:val="00575540"/>
    <w:rsid w:val="00576062"/>
    <w:rsid w:val="00577F6A"/>
    <w:rsid w:val="00580590"/>
    <w:rsid w:val="00580EF4"/>
    <w:rsid w:val="00581A9C"/>
    <w:rsid w:val="00582A94"/>
    <w:rsid w:val="00583BCA"/>
    <w:rsid w:val="005857CB"/>
    <w:rsid w:val="00585DE9"/>
    <w:rsid w:val="00592B8B"/>
    <w:rsid w:val="0059341F"/>
    <w:rsid w:val="00593A4F"/>
    <w:rsid w:val="0059479E"/>
    <w:rsid w:val="005950B5"/>
    <w:rsid w:val="005956F5"/>
    <w:rsid w:val="00595EE4"/>
    <w:rsid w:val="005A092F"/>
    <w:rsid w:val="005A237E"/>
    <w:rsid w:val="005A2524"/>
    <w:rsid w:val="005A2A98"/>
    <w:rsid w:val="005A4306"/>
    <w:rsid w:val="005A5F10"/>
    <w:rsid w:val="005A70E3"/>
    <w:rsid w:val="005A7E52"/>
    <w:rsid w:val="005B06EE"/>
    <w:rsid w:val="005B3F74"/>
    <w:rsid w:val="005B4EE6"/>
    <w:rsid w:val="005B541C"/>
    <w:rsid w:val="005B54D8"/>
    <w:rsid w:val="005B5D7D"/>
    <w:rsid w:val="005B6095"/>
    <w:rsid w:val="005B6189"/>
    <w:rsid w:val="005B672C"/>
    <w:rsid w:val="005B6AA3"/>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5625"/>
    <w:rsid w:val="005F58D1"/>
    <w:rsid w:val="005F672C"/>
    <w:rsid w:val="005F740D"/>
    <w:rsid w:val="005F76B6"/>
    <w:rsid w:val="005F7CBB"/>
    <w:rsid w:val="00600786"/>
    <w:rsid w:val="006009B2"/>
    <w:rsid w:val="00601FB8"/>
    <w:rsid w:val="006021F2"/>
    <w:rsid w:val="00602637"/>
    <w:rsid w:val="006039A7"/>
    <w:rsid w:val="00605A6A"/>
    <w:rsid w:val="00606811"/>
    <w:rsid w:val="00607240"/>
    <w:rsid w:val="00607CD3"/>
    <w:rsid w:val="00607E1A"/>
    <w:rsid w:val="00610004"/>
    <w:rsid w:val="00610468"/>
    <w:rsid w:val="00611F08"/>
    <w:rsid w:val="006122FD"/>
    <w:rsid w:val="00612BFC"/>
    <w:rsid w:val="00617AF1"/>
    <w:rsid w:val="00620642"/>
    <w:rsid w:val="0062242A"/>
    <w:rsid w:val="006229E4"/>
    <w:rsid w:val="006235D1"/>
    <w:rsid w:val="00631037"/>
    <w:rsid w:val="006314EB"/>
    <w:rsid w:val="00632747"/>
    <w:rsid w:val="00633791"/>
    <w:rsid w:val="00636D04"/>
    <w:rsid w:val="00640403"/>
    <w:rsid w:val="00641A6C"/>
    <w:rsid w:val="00642A56"/>
    <w:rsid w:val="00644095"/>
    <w:rsid w:val="00644115"/>
    <w:rsid w:val="00644865"/>
    <w:rsid w:val="00646000"/>
    <w:rsid w:val="006516C9"/>
    <w:rsid w:val="00652488"/>
    <w:rsid w:val="006524BA"/>
    <w:rsid w:val="0065340A"/>
    <w:rsid w:val="0065499F"/>
    <w:rsid w:val="00654F44"/>
    <w:rsid w:val="006563EE"/>
    <w:rsid w:val="00657932"/>
    <w:rsid w:val="00660085"/>
    <w:rsid w:val="006603FA"/>
    <w:rsid w:val="00660B6D"/>
    <w:rsid w:val="00660FBB"/>
    <w:rsid w:val="00662D76"/>
    <w:rsid w:val="00664C68"/>
    <w:rsid w:val="00665E56"/>
    <w:rsid w:val="00667042"/>
    <w:rsid w:val="00670E16"/>
    <w:rsid w:val="00671929"/>
    <w:rsid w:val="00671D3F"/>
    <w:rsid w:val="00672233"/>
    <w:rsid w:val="00675076"/>
    <w:rsid w:val="00676BA4"/>
    <w:rsid w:val="0068007C"/>
    <w:rsid w:val="00680311"/>
    <w:rsid w:val="00682010"/>
    <w:rsid w:val="006833F4"/>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55C"/>
    <w:rsid w:val="006B001B"/>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E9D"/>
    <w:rsid w:val="006D3289"/>
    <w:rsid w:val="006D37E7"/>
    <w:rsid w:val="006D4542"/>
    <w:rsid w:val="006D4EE7"/>
    <w:rsid w:val="006D60DB"/>
    <w:rsid w:val="006D6EC7"/>
    <w:rsid w:val="006E1431"/>
    <w:rsid w:val="006E16B6"/>
    <w:rsid w:val="006E28EE"/>
    <w:rsid w:val="006E3168"/>
    <w:rsid w:val="006E4051"/>
    <w:rsid w:val="006E4133"/>
    <w:rsid w:val="006F054B"/>
    <w:rsid w:val="006F21A4"/>
    <w:rsid w:val="006F3AB4"/>
    <w:rsid w:val="006F449F"/>
    <w:rsid w:val="006F5110"/>
    <w:rsid w:val="006F5ADF"/>
    <w:rsid w:val="006F61ED"/>
    <w:rsid w:val="00700C63"/>
    <w:rsid w:val="00701A76"/>
    <w:rsid w:val="007031F4"/>
    <w:rsid w:val="00706785"/>
    <w:rsid w:val="007103AE"/>
    <w:rsid w:val="00711C27"/>
    <w:rsid w:val="007132EE"/>
    <w:rsid w:val="00713C40"/>
    <w:rsid w:val="00714C24"/>
    <w:rsid w:val="0071538F"/>
    <w:rsid w:val="00716469"/>
    <w:rsid w:val="00720118"/>
    <w:rsid w:val="00720851"/>
    <w:rsid w:val="00721902"/>
    <w:rsid w:val="007222D6"/>
    <w:rsid w:val="00725556"/>
    <w:rsid w:val="00726C32"/>
    <w:rsid w:val="00726FAD"/>
    <w:rsid w:val="00730FE5"/>
    <w:rsid w:val="00733A85"/>
    <w:rsid w:val="00734702"/>
    <w:rsid w:val="00734BDE"/>
    <w:rsid w:val="00734D1A"/>
    <w:rsid w:val="00735FED"/>
    <w:rsid w:val="00736054"/>
    <w:rsid w:val="00742993"/>
    <w:rsid w:val="00746B41"/>
    <w:rsid w:val="0075009A"/>
    <w:rsid w:val="007514E2"/>
    <w:rsid w:val="00751665"/>
    <w:rsid w:val="00752A80"/>
    <w:rsid w:val="00753419"/>
    <w:rsid w:val="00754C3D"/>
    <w:rsid w:val="007555C5"/>
    <w:rsid w:val="00755FFD"/>
    <w:rsid w:val="007625FB"/>
    <w:rsid w:val="0076320F"/>
    <w:rsid w:val="00763D2E"/>
    <w:rsid w:val="0076403F"/>
    <w:rsid w:val="007653C4"/>
    <w:rsid w:val="00766290"/>
    <w:rsid w:val="007668DC"/>
    <w:rsid w:val="00766BDE"/>
    <w:rsid w:val="00767334"/>
    <w:rsid w:val="00771C29"/>
    <w:rsid w:val="00771F25"/>
    <w:rsid w:val="00775005"/>
    <w:rsid w:val="0077604B"/>
    <w:rsid w:val="00776DEC"/>
    <w:rsid w:val="007774D1"/>
    <w:rsid w:val="00782971"/>
    <w:rsid w:val="00782DDC"/>
    <w:rsid w:val="00784082"/>
    <w:rsid w:val="0078430E"/>
    <w:rsid w:val="007846EA"/>
    <w:rsid w:val="0078498D"/>
    <w:rsid w:val="00787F1F"/>
    <w:rsid w:val="007904B4"/>
    <w:rsid w:val="00792919"/>
    <w:rsid w:val="00794175"/>
    <w:rsid w:val="00795B17"/>
    <w:rsid w:val="00795FBC"/>
    <w:rsid w:val="00796A7D"/>
    <w:rsid w:val="007A1F01"/>
    <w:rsid w:val="007A2A03"/>
    <w:rsid w:val="007A41C8"/>
    <w:rsid w:val="007A459F"/>
    <w:rsid w:val="007A796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5A80"/>
    <w:rsid w:val="007E5B98"/>
    <w:rsid w:val="007E5C6B"/>
    <w:rsid w:val="007F06D9"/>
    <w:rsid w:val="007F17CC"/>
    <w:rsid w:val="007F284A"/>
    <w:rsid w:val="007F4938"/>
    <w:rsid w:val="007F6822"/>
    <w:rsid w:val="007F696F"/>
    <w:rsid w:val="00803277"/>
    <w:rsid w:val="00803C64"/>
    <w:rsid w:val="008063E6"/>
    <w:rsid w:val="0080743E"/>
    <w:rsid w:val="00807D40"/>
    <w:rsid w:val="00810820"/>
    <w:rsid w:val="00810E32"/>
    <w:rsid w:val="00810ED0"/>
    <w:rsid w:val="00811080"/>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833"/>
    <w:rsid w:val="00832DE7"/>
    <w:rsid w:val="00834A35"/>
    <w:rsid w:val="00835DAC"/>
    <w:rsid w:val="0083730D"/>
    <w:rsid w:val="008373CA"/>
    <w:rsid w:val="0084032D"/>
    <w:rsid w:val="00841282"/>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5281"/>
    <w:rsid w:val="0086120A"/>
    <w:rsid w:val="00862BD9"/>
    <w:rsid w:val="00864B27"/>
    <w:rsid w:val="00865E28"/>
    <w:rsid w:val="00865EA3"/>
    <w:rsid w:val="008661BE"/>
    <w:rsid w:val="0087028E"/>
    <w:rsid w:val="008729B2"/>
    <w:rsid w:val="0087374C"/>
    <w:rsid w:val="00875445"/>
    <w:rsid w:val="00876515"/>
    <w:rsid w:val="00877D63"/>
    <w:rsid w:val="00877D75"/>
    <w:rsid w:val="00877DC7"/>
    <w:rsid w:val="00880029"/>
    <w:rsid w:val="008802B9"/>
    <w:rsid w:val="00880597"/>
    <w:rsid w:val="00880EC4"/>
    <w:rsid w:val="00883158"/>
    <w:rsid w:val="00884F44"/>
    <w:rsid w:val="0088579D"/>
    <w:rsid w:val="008866B4"/>
    <w:rsid w:val="008877B6"/>
    <w:rsid w:val="00887DC0"/>
    <w:rsid w:val="0089054F"/>
    <w:rsid w:val="00891609"/>
    <w:rsid w:val="008917A1"/>
    <w:rsid w:val="00892037"/>
    <w:rsid w:val="008925ED"/>
    <w:rsid w:val="00894D86"/>
    <w:rsid w:val="00894E3F"/>
    <w:rsid w:val="00895839"/>
    <w:rsid w:val="00896B21"/>
    <w:rsid w:val="008A0574"/>
    <w:rsid w:val="008A05FF"/>
    <w:rsid w:val="008A211A"/>
    <w:rsid w:val="008A2443"/>
    <w:rsid w:val="008A2989"/>
    <w:rsid w:val="008A5FDC"/>
    <w:rsid w:val="008A6AC5"/>
    <w:rsid w:val="008A714A"/>
    <w:rsid w:val="008B0501"/>
    <w:rsid w:val="008B07AC"/>
    <w:rsid w:val="008B0CD8"/>
    <w:rsid w:val="008B3EE6"/>
    <w:rsid w:val="008B4E34"/>
    <w:rsid w:val="008B5649"/>
    <w:rsid w:val="008B575F"/>
    <w:rsid w:val="008B65F3"/>
    <w:rsid w:val="008B67E7"/>
    <w:rsid w:val="008C0692"/>
    <w:rsid w:val="008C1EBF"/>
    <w:rsid w:val="008C35A5"/>
    <w:rsid w:val="008C36EC"/>
    <w:rsid w:val="008C74DC"/>
    <w:rsid w:val="008C763F"/>
    <w:rsid w:val="008C7BA9"/>
    <w:rsid w:val="008D0B34"/>
    <w:rsid w:val="008D0D6E"/>
    <w:rsid w:val="008D1C9C"/>
    <w:rsid w:val="008D2462"/>
    <w:rsid w:val="008D2E32"/>
    <w:rsid w:val="008D3964"/>
    <w:rsid w:val="008D57A0"/>
    <w:rsid w:val="008D6252"/>
    <w:rsid w:val="008D6393"/>
    <w:rsid w:val="008D709A"/>
    <w:rsid w:val="008E33D9"/>
    <w:rsid w:val="008E39E5"/>
    <w:rsid w:val="008E47C0"/>
    <w:rsid w:val="008F18F6"/>
    <w:rsid w:val="008F2558"/>
    <w:rsid w:val="008F25FE"/>
    <w:rsid w:val="008F2BBA"/>
    <w:rsid w:val="008F3B2C"/>
    <w:rsid w:val="00902417"/>
    <w:rsid w:val="00902524"/>
    <w:rsid w:val="00904E07"/>
    <w:rsid w:val="00911307"/>
    <w:rsid w:val="009119DF"/>
    <w:rsid w:val="00911C0D"/>
    <w:rsid w:val="00911E29"/>
    <w:rsid w:val="009126C5"/>
    <w:rsid w:val="00913779"/>
    <w:rsid w:val="00915047"/>
    <w:rsid w:val="00915876"/>
    <w:rsid w:val="00917CF4"/>
    <w:rsid w:val="00920969"/>
    <w:rsid w:val="009209C2"/>
    <w:rsid w:val="00923CC4"/>
    <w:rsid w:val="00924A3E"/>
    <w:rsid w:val="00924D7C"/>
    <w:rsid w:val="0092619E"/>
    <w:rsid w:val="009309F8"/>
    <w:rsid w:val="00931208"/>
    <w:rsid w:val="009312AD"/>
    <w:rsid w:val="00934004"/>
    <w:rsid w:val="00936B74"/>
    <w:rsid w:val="00940657"/>
    <w:rsid w:val="009413BE"/>
    <w:rsid w:val="00944CA5"/>
    <w:rsid w:val="009476DD"/>
    <w:rsid w:val="00947E59"/>
    <w:rsid w:val="00947E9A"/>
    <w:rsid w:val="00950EBA"/>
    <w:rsid w:val="009514FF"/>
    <w:rsid w:val="0095258C"/>
    <w:rsid w:val="00952AAC"/>
    <w:rsid w:val="0095354C"/>
    <w:rsid w:val="00954AF1"/>
    <w:rsid w:val="00955A65"/>
    <w:rsid w:val="00962B7F"/>
    <w:rsid w:val="009633E6"/>
    <w:rsid w:val="00967723"/>
    <w:rsid w:val="00967CBA"/>
    <w:rsid w:val="00971333"/>
    <w:rsid w:val="00973AD7"/>
    <w:rsid w:val="00974EAA"/>
    <w:rsid w:val="00977D14"/>
    <w:rsid w:val="00982916"/>
    <w:rsid w:val="00985496"/>
    <w:rsid w:val="00986F01"/>
    <w:rsid w:val="0099367B"/>
    <w:rsid w:val="0099551D"/>
    <w:rsid w:val="009971B9"/>
    <w:rsid w:val="00997456"/>
    <w:rsid w:val="00997630"/>
    <w:rsid w:val="009A223B"/>
    <w:rsid w:val="009A3308"/>
    <w:rsid w:val="009A3325"/>
    <w:rsid w:val="009A5A06"/>
    <w:rsid w:val="009A6CEF"/>
    <w:rsid w:val="009A71C8"/>
    <w:rsid w:val="009B0905"/>
    <w:rsid w:val="009B2644"/>
    <w:rsid w:val="009B7064"/>
    <w:rsid w:val="009B7ECF"/>
    <w:rsid w:val="009C0601"/>
    <w:rsid w:val="009C109E"/>
    <w:rsid w:val="009C35C5"/>
    <w:rsid w:val="009C395F"/>
    <w:rsid w:val="009C7903"/>
    <w:rsid w:val="009D0F5C"/>
    <w:rsid w:val="009D30EE"/>
    <w:rsid w:val="009D3849"/>
    <w:rsid w:val="009D4B15"/>
    <w:rsid w:val="009D51DE"/>
    <w:rsid w:val="009D700B"/>
    <w:rsid w:val="009E10F4"/>
    <w:rsid w:val="009E25B0"/>
    <w:rsid w:val="009E7CB7"/>
    <w:rsid w:val="009F0CAC"/>
    <w:rsid w:val="009F495F"/>
    <w:rsid w:val="009F67C7"/>
    <w:rsid w:val="009F7589"/>
    <w:rsid w:val="009F7C2D"/>
    <w:rsid w:val="00A000A9"/>
    <w:rsid w:val="00A01C2C"/>
    <w:rsid w:val="00A01E82"/>
    <w:rsid w:val="00A02796"/>
    <w:rsid w:val="00A063CC"/>
    <w:rsid w:val="00A064A8"/>
    <w:rsid w:val="00A06F7B"/>
    <w:rsid w:val="00A07023"/>
    <w:rsid w:val="00A11835"/>
    <w:rsid w:val="00A1303B"/>
    <w:rsid w:val="00A138AD"/>
    <w:rsid w:val="00A176B8"/>
    <w:rsid w:val="00A2012A"/>
    <w:rsid w:val="00A20311"/>
    <w:rsid w:val="00A21E01"/>
    <w:rsid w:val="00A22889"/>
    <w:rsid w:val="00A22AD0"/>
    <w:rsid w:val="00A2639C"/>
    <w:rsid w:val="00A279B2"/>
    <w:rsid w:val="00A27BC4"/>
    <w:rsid w:val="00A27F10"/>
    <w:rsid w:val="00A3179F"/>
    <w:rsid w:val="00A323FF"/>
    <w:rsid w:val="00A324F8"/>
    <w:rsid w:val="00A32E7C"/>
    <w:rsid w:val="00A3320B"/>
    <w:rsid w:val="00A335CD"/>
    <w:rsid w:val="00A34D68"/>
    <w:rsid w:val="00A3611F"/>
    <w:rsid w:val="00A3646B"/>
    <w:rsid w:val="00A40D17"/>
    <w:rsid w:val="00A4220F"/>
    <w:rsid w:val="00A43011"/>
    <w:rsid w:val="00A4355C"/>
    <w:rsid w:val="00A4499C"/>
    <w:rsid w:val="00A45191"/>
    <w:rsid w:val="00A45245"/>
    <w:rsid w:val="00A466F0"/>
    <w:rsid w:val="00A46BEC"/>
    <w:rsid w:val="00A47183"/>
    <w:rsid w:val="00A476FF"/>
    <w:rsid w:val="00A50AD6"/>
    <w:rsid w:val="00A50F35"/>
    <w:rsid w:val="00A53AE2"/>
    <w:rsid w:val="00A548AE"/>
    <w:rsid w:val="00A6114B"/>
    <w:rsid w:val="00A6172C"/>
    <w:rsid w:val="00A62604"/>
    <w:rsid w:val="00A64641"/>
    <w:rsid w:val="00A65163"/>
    <w:rsid w:val="00A66781"/>
    <w:rsid w:val="00A71F6C"/>
    <w:rsid w:val="00A72BBC"/>
    <w:rsid w:val="00A737E8"/>
    <w:rsid w:val="00A73FE8"/>
    <w:rsid w:val="00A742D1"/>
    <w:rsid w:val="00A75284"/>
    <w:rsid w:val="00A7692B"/>
    <w:rsid w:val="00A76DDD"/>
    <w:rsid w:val="00A77021"/>
    <w:rsid w:val="00A7749E"/>
    <w:rsid w:val="00A77613"/>
    <w:rsid w:val="00A819D8"/>
    <w:rsid w:val="00A81AEB"/>
    <w:rsid w:val="00A81ECC"/>
    <w:rsid w:val="00A81FF6"/>
    <w:rsid w:val="00A82448"/>
    <w:rsid w:val="00A83394"/>
    <w:rsid w:val="00A8553B"/>
    <w:rsid w:val="00A86865"/>
    <w:rsid w:val="00A91769"/>
    <w:rsid w:val="00A91D6E"/>
    <w:rsid w:val="00A9277B"/>
    <w:rsid w:val="00A92C9C"/>
    <w:rsid w:val="00A943AF"/>
    <w:rsid w:val="00A945B4"/>
    <w:rsid w:val="00A94D4D"/>
    <w:rsid w:val="00A94F9C"/>
    <w:rsid w:val="00A95386"/>
    <w:rsid w:val="00A97319"/>
    <w:rsid w:val="00AA0AF1"/>
    <w:rsid w:val="00AA21EF"/>
    <w:rsid w:val="00AA4EDE"/>
    <w:rsid w:val="00AA5F8F"/>
    <w:rsid w:val="00AA601D"/>
    <w:rsid w:val="00AA73BC"/>
    <w:rsid w:val="00AB0CFA"/>
    <w:rsid w:val="00AB0F74"/>
    <w:rsid w:val="00AB2B45"/>
    <w:rsid w:val="00AB3871"/>
    <w:rsid w:val="00AB3E81"/>
    <w:rsid w:val="00AB5DA3"/>
    <w:rsid w:val="00AB6FC5"/>
    <w:rsid w:val="00AC280C"/>
    <w:rsid w:val="00AC32DE"/>
    <w:rsid w:val="00AC5203"/>
    <w:rsid w:val="00AC6B94"/>
    <w:rsid w:val="00AD0BDD"/>
    <w:rsid w:val="00AD1A61"/>
    <w:rsid w:val="00AD336C"/>
    <w:rsid w:val="00AD3567"/>
    <w:rsid w:val="00AD5F8B"/>
    <w:rsid w:val="00AE2410"/>
    <w:rsid w:val="00AE4E8F"/>
    <w:rsid w:val="00AE6981"/>
    <w:rsid w:val="00AF06A2"/>
    <w:rsid w:val="00AF3A9E"/>
    <w:rsid w:val="00AF476B"/>
    <w:rsid w:val="00AF5E84"/>
    <w:rsid w:val="00AF7B35"/>
    <w:rsid w:val="00B007FC"/>
    <w:rsid w:val="00B03D6E"/>
    <w:rsid w:val="00B04EFA"/>
    <w:rsid w:val="00B06825"/>
    <w:rsid w:val="00B11C82"/>
    <w:rsid w:val="00B1335E"/>
    <w:rsid w:val="00B13AAD"/>
    <w:rsid w:val="00B144D1"/>
    <w:rsid w:val="00B15765"/>
    <w:rsid w:val="00B15A58"/>
    <w:rsid w:val="00B15FEC"/>
    <w:rsid w:val="00B178C3"/>
    <w:rsid w:val="00B17AC5"/>
    <w:rsid w:val="00B17CCB"/>
    <w:rsid w:val="00B20772"/>
    <w:rsid w:val="00B21090"/>
    <w:rsid w:val="00B2226D"/>
    <w:rsid w:val="00B23D8D"/>
    <w:rsid w:val="00B23F0B"/>
    <w:rsid w:val="00B25A45"/>
    <w:rsid w:val="00B25A57"/>
    <w:rsid w:val="00B315B8"/>
    <w:rsid w:val="00B33C77"/>
    <w:rsid w:val="00B3630A"/>
    <w:rsid w:val="00B37190"/>
    <w:rsid w:val="00B3771F"/>
    <w:rsid w:val="00B4069A"/>
    <w:rsid w:val="00B41D41"/>
    <w:rsid w:val="00B42DC1"/>
    <w:rsid w:val="00B43410"/>
    <w:rsid w:val="00B437D7"/>
    <w:rsid w:val="00B44173"/>
    <w:rsid w:val="00B45FFC"/>
    <w:rsid w:val="00B46E7D"/>
    <w:rsid w:val="00B478B5"/>
    <w:rsid w:val="00B52800"/>
    <w:rsid w:val="00B52CE2"/>
    <w:rsid w:val="00B53B8A"/>
    <w:rsid w:val="00B550DE"/>
    <w:rsid w:val="00B562AD"/>
    <w:rsid w:val="00B57D4B"/>
    <w:rsid w:val="00B61C2B"/>
    <w:rsid w:val="00B62CC5"/>
    <w:rsid w:val="00B66F05"/>
    <w:rsid w:val="00B721D8"/>
    <w:rsid w:val="00B72941"/>
    <w:rsid w:val="00B73954"/>
    <w:rsid w:val="00B76039"/>
    <w:rsid w:val="00B763A3"/>
    <w:rsid w:val="00B76F90"/>
    <w:rsid w:val="00B77460"/>
    <w:rsid w:val="00B77C9C"/>
    <w:rsid w:val="00B80926"/>
    <w:rsid w:val="00B80F95"/>
    <w:rsid w:val="00B84221"/>
    <w:rsid w:val="00B85566"/>
    <w:rsid w:val="00B85A8C"/>
    <w:rsid w:val="00B901E7"/>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7341"/>
    <w:rsid w:val="00BB7D15"/>
    <w:rsid w:val="00BB7F05"/>
    <w:rsid w:val="00BC0D25"/>
    <w:rsid w:val="00BC121F"/>
    <w:rsid w:val="00BC3AAE"/>
    <w:rsid w:val="00BC3AD9"/>
    <w:rsid w:val="00BC4A90"/>
    <w:rsid w:val="00BC5076"/>
    <w:rsid w:val="00BC7AA9"/>
    <w:rsid w:val="00BD2655"/>
    <w:rsid w:val="00BD37EA"/>
    <w:rsid w:val="00BD38AF"/>
    <w:rsid w:val="00BD4FF4"/>
    <w:rsid w:val="00BD5200"/>
    <w:rsid w:val="00BD6D87"/>
    <w:rsid w:val="00BE0183"/>
    <w:rsid w:val="00BE0363"/>
    <w:rsid w:val="00BE0A0E"/>
    <w:rsid w:val="00BE0BC0"/>
    <w:rsid w:val="00BE24EE"/>
    <w:rsid w:val="00BE3B86"/>
    <w:rsid w:val="00BE5C9C"/>
    <w:rsid w:val="00BE6D9A"/>
    <w:rsid w:val="00BF023E"/>
    <w:rsid w:val="00BF1105"/>
    <w:rsid w:val="00BF1FBE"/>
    <w:rsid w:val="00BF2224"/>
    <w:rsid w:val="00BF3507"/>
    <w:rsid w:val="00BF4140"/>
    <w:rsid w:val="00BF727C"/>
    <w:rsid w:val="00BF7728"/>
    <w:rsid w:val="00BF7CD4"/>
    <w:rsid w:val="00C02E74"/>
    <w:rsid w:val="00C0361C"/>
    <w:rsid w:val="00C04384"/>
    <w:rsid w:val="00C051E8"/>
    <w:rsid w:val="00C056F6"/>
    <w:rsid w:val="00C07637"/>
    <w:rsid w:val="00C10E55"/>
    <w:rsid w:val="00C10EB2"/>
    <w:rsid w:val="00C11758"/>
    <w:rsid w:val="00C146CF"/>
    <w:rsid w:val="00C149E4"/>
    <w:rsid w:val="00C16F9C"/>
    <w:rsid w:val="00C21C40"/>
    <w:rsid w:val="00C22F90"/>
    <w:rsid w:val="00C233EA"/>
    <w:rsid w:val="00C2376C"/>
    <w:rsid w:val="00C2455A"/>
    <w:rsid w:val="00C25F36"/>
    <w:rsid w:val="00C26869"/>
    <w:rsid w:val="00C278D5"/>
    <w:rsid w:val="00C30864"/>
    <w:rsid w:val="00C3408D"/>
    <w:rsid w:val="00C346D8"/>
    <w:rsid w:val="00C356E7"/>
    <w:rsid w:val="00C37257"/>
    <w:rsid w:val="00C40500"/>
    <w:rsid w:val="00C40BE0"/>
    <w:rsid w:val="00C40C1D"/>
    <w:rsid w:val="00C417DB"/>
    <w:rsid w:val="00C42524"/>
    <w:rsid w:val="00C426B4"/>
    <w:rsid w:val="00C434B4"/>
    <w:rsid w:val="00C43B8F"/>
    <w:rsid w:val="00C455A6"/>
    <w:rsid w:val="00C4721B"/>
    <w:rsid w:val="00C47E54"/>
    <w:rsid w:val="00C51648"/>
    <w:rsid w:val="00C53A7D"/>
    <w:rsid w:val="00C54B7A"/>
    <w:rsid w:val="00C56342"/>
    <w:rsid w:val="00C56E4C"/>
    <w:rsid w:val="00C56EE6"/>
    <w:rsid w:val="00C619F4"/>
    <w:rsid w:val="00C61CFF"/>
    <w:rsid w:val="00C61EC2"/>
    <w:rsid w:val="00C62C21"/>
    <w:rsid w:val="00C651E7"/>
    <w:rsid w:val="00C66F2C"/>
    <w:rsid w:val="00C7081B"/>
    <w:rsid w:val="00C71248"/>
    <w:rsid w:val="00C725E0"/>
    <w:rsid w:val="00C74636"/>
    <w:rsid w:val="00C74BEB"/>
    <w:rsid w:val="00C75DCB"/>
    <w:rsid w:val="00C81D32"/>
    <w:rsid w:val="00C8314F"/>
    <w:rsid w:val="00C8321F"/>
    <w:rsid w:val="00C845C6"/>
    <w:rsid w:val="00C86622"/>
    <w:rsid w:val="00C868D7"/>
    <w:rsid w:val="00CA21A4"/>
    <w:rsid w:val="00CA22A5"/>
    <w:rsid w:val="00CA24C1"/>
    <w:rsid w:val="00CA3317"/>
    <w:rsid w:val="00CA52FD"/>
    <w:rsid w:val="00CA6FA4"/>
    <w:rsid w:val="00CA79CE"/>
    <w:rsid w:val="00CA7DA3"/>
    <w:rsid w:val="00CB106E"/>
    <w:rsid w:val="00CB15B6"/>
    <w:rsid w:val="00CB3804"/>
    <w:rsid w:val="00CB3A6B"/>
    <w:rsid w:val="00CC0CB3"/>
    <w:rsid w:val="00CC137A"/>
    <w:rsid w:val="00CC1FCE"/>
    <w:rsid w:val="00CC2AFD"/>
    <w:rsid w:val="00CC357C"/>
    <w:rsid w:val="00CC518F"/>
    <w:rsid w:val="00CC5B60"/>
    <w:rsid w:val="00CC63E0"/>
    <w:rsid w:val="00CC6817"/>
    <w:rsid w:val="00CC76BA"/>
    <w:rsid w:val="00CC7BBE"/>
    <w:rsid w:val="00CD4E6E"/>
    <w:rsid w:val="00CD529E"/>
    <w:rsid w:val="00CD5A83"/>
    <w:rsid w:val="00CD6FA7"/>
    <w:rsid w:val="00CD74CE"/>
    <w:rsid w:val="00CE0A5F"/>
    <w:rsid w:val="00CE0E64"/>
    <w:rsid w:val="00CE2B68"/>
    <w:rsid w:val="00CE5C16"/>
    <w:rsid w:val="00CE6398"/>
    <w:rsid w:val="00CE6470"/>
    <w:rsid w:val="00CF1081"/>
    <w:rsid w:val="00CF3D9A"/>
    <w:rsid w:val="00D01097"/>
    <w:rsid w:val="00D024F0"/>
    <w:rsid w:val="00D02541"/>
    <w:rsid w:val="00D04325"/>
    <w:rsid w:val="00D050F9"/>
    <w:rsid w:val="00D074B7"/>
    <w:rsid w:val="00D076B4"/>
    <w:rsid w:val="00D07A2E"/>
    <w:rsid w:val="00D17C47"/>
    <w:rsid w:val="00D20A64"/>
    <w:rsid w:val="00D21B17"/>
    <w:rsid w:val="00D22820"/>
    <w:rsid w:val="00D23D5D"/>
    <w:rsid w:val="00D24040"/>
    <w:rsid w:val="00D271A2"/>
    <w:rsid w:val="00D30D32"/>
    <w:rsid w:val="00D36292"/>
    <w:rsid w:val="00D365B8"/>
    <w:rsid w:val="00D36AF8"/>
    <w:rsid w:val="00D36D1A"/>
    <w:rsid w:val="00D40AFE"/>
    <w:rsid w:val="00D41861"/>
    <w:rsid w:val="00D4333A"/>
    <w:rsid w:val="00D4336E"/>
    <w:rsid w:val="00D4400D"/>
    <w:rsid w:val="00D441B4"/>
    <w:rsid w:val="00D50DBD"/>
    <w:rsid w:val="00D5165F"/>
    <w:rsid w:val="00D53B17"/>
    <w:rsid w:val="00D556D9"/>
    <w:rsid w:val="00D618FA"/>
    <w:rsid w:val="00D62F10"/>
    <w:rsid w:val="00D6429F"/>
    <w:rsid w:val="00D64342"/>
    <w:rsid w:val="00D66209"/>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1F4"/>
    <w:rsid w:val="00D86641"/>
    <w:rsid w:val="00D9272D"/>
    <w:rsid w:val="00D95858"/>
    <w:rsid w:val="00D95C68"/>
    <w:rsid w:val="00DA121E"/>
    <w:rsid w:val="00DA1BBE"/>
    <w:rsid w:val="00DA26D0"/>
    <w:rsid w:val="00DA4B3B"/>
    <w:rsid w:val="00DA4FF8"/>
    <w:rsid w:val="00DA50D9"/>
    <w:rsid w:val="00DA784F"/>
    <w:rsid w:val="00DA7CBA"/>
    <w:rsid w:val="00DB0D40"/>
    <w:rsid w:val="00DB1DAF"/>
    <w:rsid w:val="00DB3331"/>
    <w:rsid w:val="00DB5633"/>
    <w:rsid w:val="00DB58EB"/>
    <w:rsid w:val="00DC1B93"/>
    <w:rsid w:val="00DC26C3"/>
    <w:rsid w:val="00DC322F"/>
    <w:rsid w:val="00DC37CE"/>
    <w:rsid w:val="00DC3C4C"/>
    <w:rsid w:val="00DC5E06"/>
    <w:rsid w:val="00DC616B"/>
    <w:rsid w:val="00DC67E3"/>
    <w:rsid w:val="00DC6DD5"/>
    <w:rsid w:val="00DD00AB"/>
    <w:rsid w:val="00DD05C8"/>
    <w:rsid w:val="00DD1DD0"/>
    <w:rsid w:val="00DD1FCB"/>
    <w:rsid w:val="00DD21D5"/>
    <w:rsid w:val="00DD4EF4"/>
    <w:rsid w:val="00DD56DC"/>
    <w:rsid w:val="00DD5CBC"/>
    <w:rsid w:val="00DD66BC"/>
    <w:rsid w:val="00DD71CF"/>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608"/>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5796"/>
    <w:rsid w:val="00E375CB"/>
    <w:rsid w:val="00E379E8"/>
    <w:rsid w:val="00E40DDA"/>
    <w:rsid w:val="00E4185C"/>
    <w:rsid w:val="00E41DD9"/>
    <w:rsid w:val="00E43151"/>
    <w:rsid w:val="00E43796"/>
    <w:rsid w:val="00E43C70"/>
    <w:rsid w:val="00E43EA3"/>
    <w:rsid w:val="00E446E3"/>
    <w:rsid w:val="00E501E7"/>
    <w:rsid w:val="00E50E26"/>
    <w:rsid w:val="00E52BEB"/>
    <w:rsid w:val="00E55FA5"/>
    <w:rsid w:val="00E56F46"/>
    <w:rsid w:val="00E57E24"/>
    <w:rsid w:val="00E61157"/>
    <w:rsid w:val="00E64202"/>
    <w:rsid w:val="00E664BC"/>
    <w:rsid w:val="00E667F8"/>
    <w:rsid w:val="00E66CF2"/>
    <w:rsid w:val="00E74FC5"/>
    <w:rsid w:val="00E7757A"/>
    <w:rsid w:val="00E81D4B"/>
    <w:rsid w:val="00E82528"/>
    <w:rsid w:val="00E833B5"/>
    <w:rsid w:val="00E9085B"/>
    <w:rsid w:val="00E9271A"/>
    <w:rsid w:val="00E92C9E"/>
    <w:rsid w:val="00E932A0"/>
    <w:rsid w:val="00E95200"/>
    <w:rsid w:val="00E95A34"/>
    <w:rsid w:val="00E95EA0"/>
    <w:rsid w:val="00EA4C67"/>
    <w:rsid w:val="00EA50D4"/>
    <w:rsid w:val="00EA6441"/>
    <w:rsid w:val="00EA6625"/>
    <w:rsid w:val="00EB1729"/>
    <w:rsid w:val="00EB5275"/>
    <w:rsid w:val="00EB7374"/>
    <w:rsid w:val="00EC41F8"/>
    <w:rsid w:val="00EC4301"/>
    <w:rsid w:val="00EC4B3E"/>
    <w:rsid w:val="00EC4C35"/>
    <w:rsid w:val="00EC510E"/>
    <w:rsid w:val="00EC7D75"/>
    <w:rsid w:val="00ED1DAA"/>
    <w:rsid w:val="00ED215A"/>
    <w:rsid w:val="00ED3580"/>
    <w:rsid w:val="00ED41D8"/>
    <w:rsid w:val="00ED4AFD"/>
    <w:rsid w:val="00ED5C33"/>
    <w:rsid w:val="00ED7373"/>
    <w:rsid w:val="00ED782E"/>
    <w:rsid w:val="00ED7B49"/>
    <w:rsid w:val="00EE02E8"/>
    <w:rsid w:val="00EE1086"/>
    <w:rsid w:val="00EE469D"/>
    <w:rsid w:val="00EE513E"/>
    <w:rsid w:val="00EE526E"/>
    <w:rsid w:val="00EE60D4"/>
    <w:rsid w:val="00EE681B"/>
    <w:rsid w:val="00EF0D9B"/>
    <w:rsid w:val="00EF0E5E"/>
    <w:rsid w:val="00EF3065"/>
    <w:rsid w:val="00EF39AC"/>
    <w:rsid w:val="00EF4A52"/>
    <w:rsid w:val="00EF7188"/>
    <w:rsid w:val="00EF7474"/>
    <w:rsid w:val="00F027A6"/>
    <w:rsid w:val="00F02E5F"/>
    <w:rsid w:val="00F0390F"/>
    <w:rsid w:val="00F051A6"/>
    <w:rsid w:val="00F06C44"/>
    <w:rsid w:val="00F06F31"/>
    <w:rsid w:val="00F10300"/>
    <w:rsid w:val="00F107D3"/>
    <w:rsid w:val="00F11012"/>
    <w:rsid w:val="00F12C0E"/>
    <w:rsid w:val="00F2114E"/>
    <w:rsid w:val="00F21ACC"/>
    <w:rsid w:val="00F245E7"/>
    <w:rsid w:val="00F25FF9"/>
    <w:rsid w:val="00F303D9"/>
    <w:rsid w:val="00F3082E"/>
    <w:rsid w:val="00F30D96"/>
    <w:rsid w:val="00F3162F"/>
    <w:rsid w:val="00F325C2"/>
    <w:rsid w:val="00F32D3D"/>
    <w:rsid w:val="00F3358B"/>
    <w:rsid w:val="00F33700"/>
    <w:rsid w:val="00F33B49"/>
    <w:rsid w:val="00F3402C"/>
    <w:rsid w:val="00F3528F"/>
    <w:rsid w:val="00F35FA0"/>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7A"/>
    <w:rsid w:val="00F52C31"/>
    <w:rsid w:val="00F55526"/>
    <w:rsid w:val="00F567B8"/>
    <w:rsid w:val="00F578A5"/>
    <w:rsid w:val="00F607F5"/>
    <w:rsid w:val="00F60E32"/>
    <w:rsid w:val="00F618E4"/>
    <w:rsid w:val="00F63E58"/>
    <w:rsid w:val="00F63F67"/>
    <w:rsid w:val="00F6410B"/>
    <w:rsid w:val="00F64C38"/>
    <w:rsid w:val="00F663DA"/>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2EBD"/>
    <w:rsid w:val="00F9393A"/>
    <w:rsid w:val="00F963B4"/>
    <w:rsid w:val="00F96495"/>
    <w:rsid w:val="00F96AE2"/>
    <w:rsid w:val="00FA29E2"/>
    <w:rsid w:val="00FA3EB3"/>
    <w:rsid w:val="00FA3EEA"/>
    <w:rsid w:val="00FA683E"/>
    <w:rsid w:val="00FA6B89"/>
    <w:rsid w:val="00FA7EE1"/>
    <w:rsid w:val="00FB15ED"/>
    <w:rsid w:val="00FB1ED5"/>
    <w:rsid w:val="00FB2822"/>
    <w:rsid w:val="00FB4778"/>
    <w:rsid w:val="00FB4945"/>
    <w:rsid w:val="00FB4AB0"/>
    <w:rsid w:val="00FB66BD"/>
    <w:rsid w:val="00FC1393"/>
    <w:rsid w:val="00FC1403"/>
    <w:rsid w:val="00FC1BDB"/>
    <w:rsid w:val="00FC22B4"/>
    <w:rsid w:val="00FC28C3"/>
    <w:rsid w:val="00FC5CCB"/>
    <w:rsid w:val="00FC66DA"/>
    <w:rsid w:val="00FC7076"/>
    <w:rsid w:val="00FC7B24"/>
    <w:rsid w:val="00FC7C62"/>
    <w:rsid w:val="00FD39E2"/>
    <w:rsid w:val="00FD41AF"/>
    <w:rsid w:val="00FD69CE"/>
    <w:rsid w:val="00FE1FE6"/>
    <w:rsid w:val="00FE2BB6"/>
    <w:rsid w:val="00FE43A4"/>
    <w:rsid w:val="00FE4605"/>
    <w:rsid w:val="00FE4E3A"/>
    <w:rsid w:val="00FE560F"/>
    <w:rsid w:val="00FE5F61"/>
    <w:rsid w:val="00FE70DD"/>
    <w:rsid w:val="00FF0B70"/>
    <w:rsid w:val="00FF1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pflueger.github.io/carolinpflueger_repository/jh_bps_20240801.pdf"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kansascityfed.org/documents/10337/pflueger_jh.pdf"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23</Pages>
  <Words>9618</Words>
  <Characters>54827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48</cp:revision>
  <cp:lastPrinted>2022-01-31T19:55:00Z</cp:lastPrinted>
  <dcterms:created xsi:type="dcterms:W3CDTF">2024-12-11T16:40:00Z</dcterms:created>
  <dcterms:modified xsi:type="dcterms:W3CDTF">2024-12-15T21:59:00Z</dcterms:modified>
</cp:coreProperties>
</file>