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4E7EA140" w:rsidR="00CE0A5F" w:rsidRPr="00E81D4B" w:rsidRDefault="00CE0A5F"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Dear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31F2389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C64426">
        <w:rPr>
          <w:rFonts w:ascii="Times New Roman" w:hAnsi="Times New Roman" w:cs="Times New Roman"/>
          <w:color w:val="0000FF"/>
        </w:rPr>
        <w:t>,</w:t>
      </w:r>
      <w:r w:rsidR="00BC2B82">
        <w:rPr>
          <w:rFonts w:ascii="Times New Roman" w:hAnsi="Times New Roman" w:cs="Times New Roman"/>
          <w:color w:val="0000FF"/>
        </w:rPr>
        <w:t xml:space="preserve"> and for the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w:t>
      </w:r>
      <w:r w:rsidR="00BC2B82">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70B8BEAD" w14:textId="46965FB5" w:rsidR="00BC2B82" w:rsidRDefault="00BC2B82" w:rsidP="00447767">
      <w:pPr>
        <w:pStyle w:val="ListParagraph"/>
        <w:numPr>
          <w:ilvl w:val="0"/>
          <w:numId w:val="3"/>
        </w:numPr>
        <w:spacing w:after="0" w:line="240" w:lineRule="auto"/>
        <w:jc w:val="both"/>
        <w:rPr>
          <w:rFonts w:ascii="Times New Roman" w:hAnsi="Times New Roman" w:cs="Times New Roman"/>
          <w:color w:val="0000FF"/>
        </w:rPr>
      </w:pPr>
      <w:r w:rsidRPr="000A0CD9">
        <w:rPr>
          <w:rFonts w:ascii="Times New Roman" w:hAnsi="Times New Roman" w:cs="Times New Roman"/>
          <w:color w:val="0000FF"/>
        </w:rPr>
        <w:t xml:space="preserve">The </w:t>
      </w:r>
      <w:r w:rsidR="009C18E9" w:rsidRPr="000A0CD9">
        <w:rPr>
          <w:rFonts w:ascii="Times New Roman" w:hAnsi="Times New Roman" w:cs="Times New Roman"/>
          <w:b/>
          <w:bCs/>
          <w:color w:val="0000FF"/>
        </w:rPr>
        <w:t xml:space="preserve">revised introduction </w:t>
      </w:r>
      <w:r w:rsidR="000A0CD9" w:rsidRPr="000A0CD9">
        <w:rPr>
          <w:rFonts w:ascii="Times New Roman" w:hAnsi="Times New Roman" w:cs="Times New Roman"/>
          <w:b/>
          <w:bCs/>
          <w:color w:val="0000FF"/>
        </w:rPr>
        <w:t xml:space="preserve">states clearly the key </w:t>
      </w:r>
      <w:r w:rsidR="00C64426">
        <w:rPr>
          <w:rFonts w:ascii="Times New Roman" w:hAnsi="Times New Roman" w:cs="Times New Roman"/>
          <w:b/>
          <w:bCs/>
          <w:color w:val="0000FF"/>
        </w:rPr>
        <w:t>contribution</w:t>
      </w:r>
      <w:r w:rsidR="000A0CD9" w:rsidRPr="000A0CD9">
        <w:rPr>
          <w:rFonts w:ascii="Times New Roman" w:hAnsi="Times New Roman" w:cs="Times New Roman"/>
          <w:b/>
          <w:bCs/>
          <w:color w:val="0000FF"/>
        </w:rPr>
        <w:t xml:space="preserve"> that sets this paper apart</w:t>
      </w:r>
      <w:r w:rsidR="000A0CD9" w:rsidRPr="000A0CD9">
        <w:rPr>
          <w:rFonts w:ascii="Times New Roman" w:hAnsi="Times New Roman" w:cs="Times New Roman"/>
          <w:color w:val="0000FF"/>
        </w:rPr>
        <w:t xml:space="preserve"> from my own prior work and the broader literature on changing bond-stock comovements. I</w:t>
      </w:r>
      <w:r w:rsidR="00552C91">
        <w:rPr>
          <w:rFonts w:ascii="Times New Roman" w:hAnsi="Times New Roman" w:cs="Times New Roman"/>
          <w:color w:val="0000FF"/>
        </w:rPr>
        <w:t>n</w:t>
      </w:r>
      <w:r w:rsidR="000A0CD9" w:rsidRPr="000A0CD9">
        <w:rPr>
          <w:rFonts w:ascii="Times New Roman" w:hAnsi="Times New Roman" w:cs="Times New Roman"/>
          <w:color w:val="0000FF"/>
        </w:rPr>
        <w:t xml:space="preserve"> short, m</w:t>
      </w:r>
      <w:r w:rsidR="008151F0" w:rsidRPr="000A0CD9">
        <w:rPr>
          <w:rFonts w:ascii="Times New Roman" w:hAnsi="Times New Roman" w:cs="Times New Roman"/>
          <w:color w:val="0000FF"/>
        </w:rPr>
        <w:t xml:space="preserve">acroeconomic dynamics have changed so much over the past </w:t>
      </w:r>
      <w:r w:rsidR="008F357D">
        <w:rPr>
          <w:rFonts w:ascii="Times New Roman" w:hAnsi="Times New Roman" w:cs="Times New Roman"/>
          <w:color w:val="0000FF"/>
        </w:rPr>
        <w:t>3</w:t>
      </w:r>
      <w:r w:rsidR="008151F0" w:rsidRPr="000A0CD9">
        <w:rPr>
          <w:rFonts w:ascii="Times New Roman" w:hAnsi="Times New Roman" w:cs="Times New Roman"/>
          <w:color w:val="0000FF"/>
        </w:rPr>
        <w:t xml:space="preserve">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w:t>
      </w:r>
    </w:p>
    <w:p w14:paraId="7C8D86E4" w14:textId="77777777" w:rsidR="000A0CD9" w:rsidRPr="000A0CD9" w:rsidRDefault="000A0CD9" w:rsidP="000A0CD9">
      <w:pPr>
        <w:pStyle w:val="ListParagraph"/>
        <w:spacing w:after="0" w:line="240" w:lineRule="auto"/>
        <w:jc w:val="both"/>
        <w:rPr>
          <w:rFonts w:ascii="Times New Roman" w:hAnsi="Times New Roman" w:cs="Times New Roman"/>
          <w:color w:val="0000FF"/>
        </w:rPr>
      </w:pPr>
    </w:p>
    <w:p w14:paraId="6535D6B3" w14:textId="62F912BF" w:rsidR="0050199A" w:rsidRDefault="00045F40" w:rsidP="0050199A">
      <w:pPr>
        <w:pStyle w:val="ListParagraph"/>
        <w:numPr>
          <w:ilvl w:val="0"/>
          <w:numId w:val="3"/>
        </w:numPr>
        <w:spacing w:after="0" w:line="240" w:lineRule="auto"/>
        <w:jc w:val="both"/>
        <w:rPr>
          <w:rFonts w:ascii="Times New Roman" w:hAnsi="Times New Roman" w:cs="Times New Roman"/>
          <w:color w:val="0000FF"/>
        </w:rPr>
      </w:pPr>
      <w:r w:rsidRPr="00980B93">
        <w:rPr>
          <w:rFonts w:ascii="Times New Roman" w:hAnsi="Times New Roman" w:cs="Times New Roman"/>
          <w:color w:val="0000FF"/>
        </w:rPr>
        <w:t xml:space="preserve">The revised paper </w:t>
      </w:r>
      <w:r w:rsidR="00506236" w:rsidRPr="00980B93">
        <w:rPr>
          <w:rFonts w:ascii="Times New Roman" w:hAnsi="Times New Roman" w:cs="Times New Roman"/>
          <w:color w:val="0000FF"/>
        </w:rPr>
        <w:t xml:space="preserve">provides additional </w:t>
      </w:r>
      <w:r w:rsidR="00980B93" w:rsidRPr="00980B93">
        <w:rPr>
          <w:rFonts w:ascii="Times New Roman" w:hAnsi="Times New Roman" w:cs="Times New Roman"/>
          <w:color w:val="0000FF"/>
        </w:rPr>
        <w:t>discussion and results</w:t>
      </w:r>
      <w:r w:rsidR="00506236" w:rsidRPr="00980B93">
        <w:rPr>
          <w:rFonts w:ascii="Times New Roman" w:hAnsi="Times New Roman" w:cs="Times New Roman"/>
          <w:color w:val="0000FF"/>
        </w:rPr>
        <w:t xml:space="preserve"> </w:t>
      </w:r>
      <w:r w:rsidR="002E6C39">
        <w:rPr>
          <w:rFonts w:ascii="Times New Roman" w:hAnsi="Times New Roman" w:cs="Times New Roman"/>
          <w:color w:val="0000FF"/>
        </w:rPr>
        <w:t>supporting</w:t>
      </w:r>
      <w:r w:rsidR="00506236" w:rsidRPr="00980B93">
        <w:rPr>
          <w:rFonts w:ascii="Times New Roman" w:hAnsi="Times New Roman" w:cs="Times New Roman"/>
          <w:color w:val="0000FF"/>
        </w:rPr>
        <w:t xml:space="preserve"> the calibration for the first subperiod.</w:t>
      </w:r>
      <w:r w:rsidR="00596C4F">
        <w:rPr>
          <w:rFonts w:ascii="Times New Roman" w:hAnsi="Times New Roman" w:cs="Times New Roman"/>
          <w:color w:val="0000FF"/>
        </w:rPr>
        <w:t xml:space="preserve"> </w:t>
      </w:r>
      <w:r w:rsidR="00980B93">
        <w:rPr>
          <w:rFonts w:ascii="Times New Roman" w:hAnsi="Times New Roman" w:cs="Times New Roman"/>
          <w:color w:val="0000FF"/>
        </w:rPr>
        <w:t>Following the AE’s suggestion, the paper includes</w:t>
      </w:r>
      <w:r w:rsidR="00461B63">
        <w:rPr>
          <w:rFonts w:ascii="Times New Roman" w:hAnsi="Times New Roman" w:cs="Times New Roman"/>
          <w:color w:val="0000FF"/>
        </w:rPr>
        <w:t xml:space="preserve"> the </w:t>
      </w:r>
      <w:r w:rsidR="00461B63" w:rsidRPr="00461B63">
        <w:rPr>
          <w:rFonts w:ascii="Times New Roman" w:hAnsi="Times New Roman" w:cs="Times New Roman"/>
          <w:b/>
          <w:bCs/>
          <w:color w:val="0000FF"/>
        </w:rPr>
        <w:t>new Figure 8</w:t>
      </w:r>
      <w:r w:rsidR="00461B63">
        <w:rPr>
          <w:rFonts w:ascii="Times New Roman" w:hAnsi="Times New Roman" w:cs="Times New Roman"/>
          <w:color w:val="0000FF"/>
        </w:rPr>
        <w:t xml:space="preserve"> </w:t>
      </w:r>
      <w:r w:rsidR="00980B93" w:rsidRPr="00461B63">
        <w:rPr>
          <w:rFonts w:ascii="Times New Roman" w:hAnsi="Times New Roman" w:cs="Times New Roman"/>
          <w:color w:val="0000FF"/>
        </w:rPr>
        <w:t>showing that a</w:t>
      </w:r>
      <w:r w:rsidR="00980B93" w:rsidRPr="00980B93">
        <w:rPr>
          <w:rFonts w:ascii="Times New Roman" w:hAnsi="Times New Roman" w:cs="Times New Roman"/>
          <w:b/>
          <w:bCs/>
          <w:color w:val="0000FF"/>
        </w:rPr>
        <w:t xml:space="preserve"> high volatility of supply shocks is needed to replicate the bond-stock betas </w:t>
      </w:r>
      <w:r w:rsidR="009164FA">
        <w:rPr>
          <w:rFonts w:ascii="Times New Roman" w:hAnsi="Times New Roman" w:cs="Times New Roman"/>
          <w:b/>
          <w:bCs/>
          <w:color w:val="0000FF"/>
        </w:rPr>
        <w:t>of</w:t>
      </w:r>
      <w:r w:rsidR="00980B93" w:rsidRPr="00980B93">
        <w:rPr>
          <w:rFonts w:ascii="Times New Roman" w:hAnsi="Times New Roman" w:cs="Times New Roman"/>
          <w:b/>
          <w:bCs/>
          <w:color w:val="0000FF"/>
        </w:rPr>
        <w:t xml:space="preserve"> the first subperiod starting from the second subperiod</w:t>
      </w:r>
      <w:r w:rsidR="00980B93">
        <w:rPr>
          <w:rFonts w:ascii="Times New Roman" w:hAnsi="Times New Roman" w:cs="Times New Roman"/>
          <w:color w:val="0000FF"/>
        </w:rPr>
        <w:t xml:space="preserve">. The revised paper also includes new examples and references for supply shocks </w:t>
      </w:r>
      <w:r w:rsidR="00596C4F">
        <w:rPr>
          <w:rFonts w:ascii="Times New Roman" w:hAnsi="Times New Roman" w:cs="Times New Roman"/>
          <w:color w:val="0000FF"/>
        </w:rPr>
        <w:t xml:space="preserve">during the 1980s and 1990s, such as the sudden drop in oil prices </w:t>
      </w:r>
      <w:r w:rsidR="00F14379">
        <w:rPr>
          <w:rFonts w:ascii="Times New Roman" w:hAnsi="Times New Roman" w:cs="Times New Roman"/>
          <w:color w:val="0000FF"/>
        </w:rPr>
        <w:t>in 1986</w:t>
      </w:r>
      <w:r w:rsidR="00980B93">
        <w:rPr>
          <w:rFonts w:ascii="Times New Roman" w:hAnsi="Times New Roman" w:cs="Times New Roman"/>
          <w:color w:val="0000FF"/>
        </w:rPr>
        <w:t xml:space="preserve">. I also added a newspaper count exercise </w:t>
      </w:r>
      <w:r w:rsidR="00C64426">
        <w:rPr>
          <w:rFonts w:ascii="Times New Roman" w:hAnsi="Times New Roman" w:cs="Times New Roman"/>
          <w:color w:val="0000FF"/>
        </w:rPr>
        <w:t xml:space="preserve">in the </w:t>
      </w:r>
      <w:r w:rsidR="00C64426" w:rsidRPr="00C64426">
        <w:rPr>
          <w:rFonts w:ascii="Times New Roman" w:hAnsi="Times New Roman" w:cs="Times New Roman"/>
          <w:b/>
          <w:bCs/>
          <w:color w:val="0000FF"/>
        </w:rPr>
        <w:t>new Appendix Figure A1</w:t>
      </w:r>
      <w:r w:rsidR="00C64426">
        <w:rPr>
          <w:rFonts w:ascii="Times New Roman" w:hAnsi="Times New Roman" w:cs="Times New Roman"/>
          <w:color w:val="0000FF"/>
        </w:rPr>
        <w:t xml:space="preserve"> showing that</w:t>
      </w:r>
      <w:r w:rsidR="00980B93">
        <w:rPr>
          <w:rFonts w:ascii="Times New Roman" w:hAnsi="Times New Roman" w:cs="Times New Roman"/>
          <w:color w:val="0000FF"/>
        </w:rPr>
        <w:t xml:space="preserve"> supply shocks were a substantial concern during the 1980s and 1990s. </w:t>
      </w:r>
    </w:p>
    <w:p w14:paraId="5D7A731C" w14:textId="77777777" w:rsidR="0050199A" w:rsidRPr="0050199A" w:rsidRDefault="0050199A" w:rsidP="0050199A">
      <w:pPr>
        <w:pStyle w:val="ListParagraph"/>
        <w:rPr>
          <w:rFonts w:ascii="Times New Roman" w:hAnsi="Times New Roman" w:cs="Times New Roman"/>
          <w:color w:val="0000FF"/>
        </w:rPr>
      </w:pPr>
    </w:p>
    <w:p w14:paraId="427ADF2F" w14:textId="16450016" w:rsidR="0050199A" w:rsidRDefault="00877DC7" w:rsidP="00BE460C">
      <w:pPr>
        <w:pStyle w:val="ListParagraph"/>
        <w:numPr>
          <w:ilvl w:val="0"/>
          <w:numId w:val="3"/>
        </w:numPr>
        <w:spacing w:after="0" w:line="240" w:lineRule="auto"/>
        <w:jc w:val="both"/>
        <w:rPr>
          <w:rFonts w:ascii="Times New Roman" w:hAnsi="Times New Roman" w:cs="Times New Roman"/>
          <w:color w:val="0000FF"/>
        </w:rPr>
      </w:pPr>
      <w:r w:rsidRPr="00461B63">
        <w:rPr>
          <w:rFonts w:ascii="Times New Roman" w:hAnsi="Times New Roman" w:cs="Times New Roman"/>
          <w:color w:val="0000FF"/>
        </w:rPr>
        <w:t>The revised paper provides a</w:t>
      </w:r>
      <w:r w:rsidR="00FA683E" w:rsidRPr="00461B63">
        <w:rPr>
          <w:rFonts w:ascii="Times New Roman" w:hAnsi="Times New Roman" w:cs="Times New Roman"/>
          <w:color w:val="0000FF"/>
        </w:rPr>
        <w:t xml:space="preserve">n </w:t>
      </w:r>
      <w:r w:rsidR="00FA683E" w:rsidRPr="00461B63">
        <w:rPr>
          <w:rFonts w:ascii="Times New Roman" w:hAnsi="Times New Roman" w:cs="Times New Roman"/>
          <w:b/>
          <w:bCs/>
          <w:color w:val="0000FF"/>
        </w:rPr>
        <w:t xml:space="preserve">updated discussion </w:t>
      </w:r>
      <w:r w:rsidR="00257AB3" w:rsidRPr="00461B63">
        <w:rPr>
          <w:rFonts w:ascii="Times New Roman" w:hAnsi="Times New Roman" w:cs="Times New Roman"/>
          <w:b/>
          <w:bCs/>
          <w:color w:val="0000FF"/>
        </w:rPr>
        <w:t>of recent</w:t>
      </w:r>
      <w:r w:rsidR="0050199A" w:rsidRPr="00461B63">
        <w:rPr>
          <w:rFonts w:ascii="Times New Roman" w:hAnsi="Times New Roman" w:cs="Times New Roman"/>
          <w:b/>
          <w:bCs/>
          <w:color w:val="0000FF"/>
        </w:rPr>
        <w:t xml:space="preserve"> events</w:t>
      </w:r>
      <w:r w:rsidR="000C4A8D">
        <w:rPr>
          <w:rFonts w:ascii="Times New Roman" w:hAnsi="Times New Roman" w:cs="Times New Roman"/>
          <w:color w:val="0000FF"/>
        </w:rPr>
        <w:t xml:space="preserve">. The </w:t>
      </w:r>
      <w:r w:rsidR="000C4A8D" w:rsidRPr="000C4A8D">
        <w:rPr>
          <w:rFonts w:ascii="Times New Roman" w:hAnsi="Times New Roman" w:cs="Times New Roman"/>
          <w:b/>
          <w:bCs/>
          <w:color w:val="0000FF"/>
        </w:rPr>
        <w:t>new Section 5</w:t>
      </w:r>
      <w:r w:rsidR="000C4A8D">
        <w:rPr>
          <w:rFonts w:ascii="Times New Roman" w:hAnsi="Times New Roman" w:cs="Times New Roman"/>
          <w:color w:val="0000FF"/>
        </w:rPr>
        <w:t xml:space="preserve"> emphasizes the difference between an initially weak Fed inflation response and a later much stronger Fed inflation response during the post-pandemic period, thereby reconciling my interpretation of events with the interpretation suggested by the referee</w:t>
      </w:r>
      <w:r w:rsidR="00461B63" w:rsidRPr="00461B63">
        <w:rPr>
          <w:rFonts w:ascii="Times New Roman" w:hAnsi="Times New Roman" w:cs="Times New Roman"/>
          <w:b/>
          <w:bCs/>
          <w:color w:val="0000FF"/>
        </w:rPr>
        <w:t xml:space="preserve">. </w:t>
      </w:r>
      <w:r w:rsidR="00126AA8">
        <w:rPr>
          <w:rFonts w:ascii="Times New Roman" w:hAnsi="Times New Roman" w:cs="Times New Roman"/>
          <w:color w:val="0000FF"/>
        </w:rPr>
        <w:t>This</w:t>
      </w:r>
      <w:r w:rsidR="00461B63" w:rsidRPr="00461B63">
        <w:rPr>
          <w:rFonts w:ascii="Times New Roman" w:hAnsi="Times New Roman" w:cs="Times New Roman"/>
          <w:color w:val="0000FF"/>
        </w:rPr>
        <w:t xml:space="preserve"> interpretation of events </w:t>
      </w:r>
      <w:r w:rsidR="000C4A8D">
        <w:rPr>
          <w:rFonts w:ascii="Times New Roman" w:hAnsi="Times New Roman" w:cs="Times New Roman"/>
          <w:color w:val="0000FF"/>
        </w:rPr>
        <w:t xml:space="preserve">through the lens of the model </w:t>
      </w:r>
      <w:r w:rsidR="00461B63">
        <w:rPr>
          <w:rFonts w:ascii="Times New Roman" w:hAnsi="Times New Roman" w:cs="Times New Roman"/>
          <w:color w:val="0000FF"/>
        </w:rPr>
        <w:t xml:space="preserve">is consistent with </w:t>
      </w:r>
      <w:r w:rsidR="007E42F1">
        <w:rPr>
          <w:rFonts w:ascii="Times New Roman" w:hAnsi="Times New Roman" w:cs="Times New Roman"/>
          <w:color w:val="0000FF"/>
        </w:rPr>
        <w:t xml:space="preserve">the </w:t>
      </w:r>
      <w:r w:rsidR="00BB5129">
        <w:rPr>
          <w:rFonts w:ascii="Times New Roman" w:hAnsi="Times New Roman" w:cs="Times New Roman"/>
          <w:color w:val="0000FF"/>
        </w:rPr>
        <w:t>fact that inflation rose in 2021</w:t>
      </w:r>
      <w:r w:rsidR="006E5142">
        <w:rPr>
          <w:rFonts w:ascii="Times New Roman" w:hAnsi="Times New Roman" w:cs="Times New Roman"/>
          <w:color w:val="0000FF"/>
        </w:rPr>
        <w:t>,</w:t>
      </w:r>
      <w:r w:rsidR="00BB5129">
        <w:rPr>
          <w:rFonts w:ascii="Times New Roman" w:hAnsi="Times New Roman" w:cs="Times New Roman"/>
          <w:color w:val="0000FF"/>
        </w:rPr>
        <w:t xml:space="preserve"> but the policy rate </w:t>
      </w:r>
      <w:r w:rsidR="008111C7">
        <w:rPr>
          <w:rFonts w:ascii="Times New Roman" w:hAnsi="Times New Roman" w:cs="Times New Roman"/>
          <w:color w:val="0000FF"/>
        </w:rPr>
        <w:t xml:space="preserve">remained at zero until 2022 and </w:t>
      </w:r>
      <w:r w:rsidR="00BB5129">
        <w:rPr>
          <w:rFonts w:ascii="Times New Roman" w:hAnsi="Times New Roman" w:cs="Times New Roman"/>
          <w:color w:val="0000FF"/>
        </w:rPr>
        <w:t xml:space="preserve">reached its new level only in the second half of 2023, as </w:t>
      </w:r>
      <w:r w:rsidR="00461B63">
        <w:rPr>
          <w:rFonts w:ascii="Times New Roman" w:hAnsi="Times New Roman" w:cs="Times New Roman"/>
          <w:color w:val="0000FF"/>
        </w:rPr>
        <w:t xml:space="preserve">shown in the </w:t>
      </w:r>
      <w:r w:rsidR="00461B63" w:rsidRPr="00461B63">
        <w:rPr>
          <w:rFonts w:ascii="Times New Roman" w:hAnsi="Times New Roman" w:cs="Times New Roman"/>
          <w:b/>
          <w:bCs/>
          <w:color w:val="0000FF"/>
        </w:rPr>
        <w:t>new Figure 9</w:t>
      </w:r>
      <w:r w:rsidR="00461B63" w:rsidRPr="00461B63">
        <w:rPr>
          <w:rFonts w:ascii="Times New Roman" w:hAnsi="Times New Roman" w:cs="Times New Roman"/>
          <w:color w:val="0000FF"/>
        </w:rPr>
        <w:t xml:space="preserve">. </w:t>
      </w:r>
    </w:p>
    <w:p w14:paraId="4A051588" w14:textId="77777777" w:rsidR="00461B63" w:rsidRPr="00461B63" w:rsidRDefault="00461B63" w:rsidP="00461B63">
      <w:pPr>
        <w:spacing w:after="0" w:line="240" w:lineRule="auto"/>
        <w:jc w:val="both"/>
        <w:rPr>
          <w:rFonts w:ascii="Times New Roman" w:hAnsi="Times New Roman" w:cs="Times New Roman"/>
          <w:color w:val="0000FF"/>
        </w:rPr>
      </w:pPr>
    </w:p>
    <w:p w14:paraId="7F61AFBA" w14:textId="1D4230D9" w:rsidR="00E81D4B" w:rsidRDefault="00E81D4B" w:rsidP="00E81D4B">
      <w:pPr>
        <w:pStyle w:val="Heading1"/>
        <w:spacing w:before="0" w:line="240" w:lineRule="auto"/>
        <w:jc w:val="both"/>
        <w:rPr>
          <w:rFonts w:ascii="Times New Roman" w:hAnsi="Times New Roman" w:cs="Times New Roman"/>
          <w:iCs/>
          <w:color w:val="0000FF"/>
          <w:sz w:val="22"/>
          <w:szCs w:val="22"/>
        </w:rPr>
      </w:pPr>
      <w:r w:rsidRPr="00E81D4B">
        <w:rPr>
          <w:rFonts w:ascii="Times New Roman" w:hAnsi="Times New Roman" w:cs="Times New Roman"/>
          <w:color w:val="0000FF"/>
          <w:sz w:val="22"/>
          <w:szCs w:val="22"/>
        </w:rPr>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C45B01">
        <w:rPr>
          <w:rFonts w:ascii="Times New Roman" w:hAnsi="Times New Roman" w:cs="Times New Roman"/>
          <w:iCs/>
          <w:color w:val="0000FF"/>
          <w:sz w:val="22"/>
          <w:szCs w:val="22"/>
        </w:rPr>
        <w:t>. My apologies for taking slightly longer for this revision. I had a baby in September 2024</w:t>
      </w:r>
      <w:r w:rsidR="00BB5129">
        <w:rPr>
          <w:rFonts w:ascii="Times New Roman" w:hAnsi="Times New Roman" w:cs="Times New Roman"/>
          <w:iCs/>
          <w:color w:val="0000FF"/>
          <w:sz w:val="22"/>
          <w:szCs w:val="22"/>
        </w:rPr>
        <w:t>,</w:t>
      </w:r>
      <w:r w:rsidR="00C45B01">
        <w:rPr>
          <w:rFonts w:ascii="Times New Roman" w:hAnsi="Times New Roman" w:cs="Times New Roman"/>
          <w:iCs/>
          <w:color w:val="0000FF"/>
          <w:sz w:val="22"/>
          <w:szCs w:val="22"/>
        </w:rPr>
        <w:t xml:space="preserve"> and I believe this timeline enabled me to respond fully and carefully to the thoughtful comments by the AE and referees</w:t>
      </w:r>
      <w:r w:rsidR="00C64426">
        <w:rPr>
          <w:rFonts w:ascii="Times New Roman" w:hAnsi="Times New Roman" w:cs="Times New Roman"/>
          <w:iCs/>
          <w:color w:val="0000FF"/>
          <w:sz w:val="22"/>
          <w:szCs w:val="22"/>
        </w:rPr>
        <w:t>.</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51E46264" w14:textId="77777777" w:rsidR="00C64426" w:rsidRDefault="00C64426" w:rsidP="00C64426"/>
    <w:p w14:paraId="1C00DA69" w14:textId="77777777" w:rsidR="00C64426" w:rsidRDefault="00C64426" w:rsidP="00C64426"/>
    <w:p w14:paraId="6FF7C949" w14:textId="77777777" w:rsidR="00C64426" w:rsidRDefault="00C64426" w:rsidP="00C64426"/>
    <w:p w14:paraId="4E9800F5" w14:textId="77777777" w:rsidR="00C64426" w:rsidRDefault="00C64426" w:rsidP="00C64426"/>
    <w:p w14:paraId="47C37F2A" w14:textId="77777777" w:rsidR="00C64426" w:rsidRPr="00C64426" w:rsidRDefault="00C64426" w:rsidP="00C64426"/>
    <w:p w14:paraId="4DD77BDA" w14:textId="77777777" w:rsidR="006F21A4" w:rsidRDefault="006F21A4" w:rsidP="006F21A4"/>
    <w:p w14:paraId="1D385D4F" w14:textId="15E04D6E" w:rsidR="00FC7B24" w:rsidRDefault="00C10E55" w:rsidP="00C10E55">
      <w:pPr>
        <w:autoSpaceDE w:val="0"/>
        <w:autoSpaceDN w:val="0"/>
        <w:adjustRightInd w:val="0"/>
        <w:spacing w:after="0" w:line="240" w:lineRule="auto"/>
        <w:jc w:val="both"/>
        <w:rPr>
          <w:rFonts w:ascii="Times New Roman" w:hAnsi="Times New Roman" w:cs="Times New Roman"/>
          <w:b/>
          <w:bCs/>
          <w:u w:val="single"/>
        </w:rPr>
      </w:pPr>
      <w:r w:rsidRPr="00B84221">
        <w:rPr>
          <w:rFonts w:ascii="Times New Roman" w:hAnsi="Times New Roman" w:cs="Times New Roman"/>
          <w:b/>
          <w:bCs/>
          <w:u w:val="single"/>
        </w:rPr>
        <w:lastRenderedPageBreak/>
        <w:t>Responses to Associate Editor</w:t>
      </w:r>
    </w:p>
    <w:p w14:paraId="026D2786" w14:textId="77777777" w:rsidR="00767D60" w:rsidRDefault="00767D60" w:rsidP="00C10E55">
      <w:pPr>
        <w:autoSpaceDE w:val="0"/>
        <w:autoSpaceDN w:val="0"/>
        <w:adjustRightInd w:val="0"/>
        <w:spacing w:after="0" w:line="240" w:lineRule="auto"/>
        <w:jc w:val="both"/>
        <w:rPr>
          <w:rFonts w:ascii="Times New Roman" w:hAnsi="Times New Roman" w:cs="Times New Roman"/>
          <w:b/>
          <w:bCs/>
          <w:u w:val="single"/>
        </w:rPr>
      </w:pPr>
    </w:p>
    <w:p w14:paraId="6AB13120" w14:textId="15609D43" w:rsidR="00767D60" w:rsidRPr="00B84221" w:rsidRDefault="00767D60" w:rsidP="00C10E55">
      <w:pPr>
        <w:autoSpaceDE w:val="0"/>
        <w:autoSpaceDN w:val="0"/>
        <w:adjustRightInd w:val="0"/>
        <w:spacing w:after="0" w:line="240" w:lineRule="auto"/>
        <w:jc w:val="both"/>
        <w:rPr>
          <w:rFonts w:ascii="Times New Roman" w:hAnsi="Times New Roman" w:cs="Times New Roman"/>
          <w:b/>
          <w:bCs/>
          <w:u w:val="single"/>
        </w:rPr>
      </w:pPr>
      <w:r>
        <w:rPr>
          <w:rFonts w:ascii="Times New Roman" w:hAnsi="Times New Roman" w:cs="Times New Roman"/>
          <w:color w:val="0000FF"/>
        </w:rPr>
        <w:t xml:space="preserve">I would like to thank you for the opportunity to revise and resubmit this manuscript, and especially for your constructive and highly detailed feedback. These comments have enabled me to produce a revised version of the manuscript that I believe makes a much clearer contribution. </w:t>
      </w:r>
      <w:r w:rsidR="00AC103D">
        <w:rPr>
          <w:rFonts w:ascii="Times New Roman" w:hAnsi="Times New Roman" w:cs="Times New Roman"/>
          <w:iCs/>
          <w:color w:val="0000FF"/>
        </w:rPr>
        <w:t xml:space="preserve">My apologies for taking slightly longer for this revision. I had a baby in September 2024, and I believe this timeline enabled me to respond fully and carefully to your and the referees’ thoughtful comments. </w:t>
      </w:r>
    </w:p>
    <w:p w14:paraId="0CC45CAD" w14:textId="77777777" w:rsidR="009E10F4" w:rsidRPr="00C10E55" w:rsidRDefault="009E10F4" w:rsidP="00C10E55">
      <w:pPr>
        <w:autoSpaceDE w:val="0"/>
        <w:autoSpaceDN w:val="0"/>
        <w:adjustRightInd w:val="0"/>
        <w:spacing w:after="0" w:line="240" w:lineRule="auto"/>
        <w:jc w:val="both"/>
        <w:rPr>
          <w:rFonts w:ascii="Times New Roman" w:hAnsi="Times New Roman" w:cs="Times New Roman"/>
        </w:rPr>
      </w:pPr>
    </w:p>
    <w:p w14:paraId="106616A8" w14:textId="77777777"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It’s useful to start with the common threads from both reports. Both referees want to see:</w:t>
      </w:r>
    </w:p>
    <w:p w14:paraId="5D76C2F3" w14:textId="77777777" w:rsidR="00C10E55" w:rsidRPr="00C10E55" w:rsidRDefault="00C10E55" w:rsidP="00C10E55">
      <w:pPr>
        <w:adjustRightInd w:val="0"/>
        <w:spacing w:after="0" w:line="240" w:lineRule="auto"/>
        <w:rPr>
          <w:rFonts w:ascii="Times New Roman" w:hAnsi="Times New Roman" w:cs="Times New Roman"/>
        </w:rPr>
      </w:pPr>
    </w:p>
    <w:p w14:paraId="377FDAE9" w14:textId="77777777" w:rsidR="009E10F4" w:rsidRDefault="009E10F4" w:rsidP="00C10E55">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55E24DBB"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8469D34" w14:textId="27B3311C" w:rsidR="00555A5B" w:rsidRDefault="00555A5B"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767D60">
        <w:rPr>
          <w:rFonts w:ascii="Times New Roman" w:hAnsi="Times New Roman" w:cs="Times New Roman"/>
          <w:color w:val="0000FF"/>
        </w:rPr>
        <w:t xml:space="preserve">I substantially re-wrote the introduction. The revised </w:t>
      </w:r>
      <w:r w:rsidRPr="00C10E55">
        <w:rPr>
          <w:rFonts w:ascii="Times New Roman" w:hAnsi="Times New Roman" w:cs="Times New Roman"/>
          <w:color w:val="0000FF"/>
        </w:rPr>
        <w:t xml:space="preserve">introduction now contains an updated discussion of how the manuscript relates to the literature, both in terms of my own prior work and other authors’ contributions. </w:t>
      </w:r>
      <w:r w:rsidR="00767D60">
        <w:rPr>
          <w:rFonts w:ascii="Times New Roman" w:hAnsi="Times New Roman" w:cs="Times New Roman"/>
          <w:color w:val="0000FF"/>
        </w:rPr>
        <w:t xml:space="preserve">See the </w:t>
      </w:r>
      <w:r w:rsidR="00767D60" w:rsidRPr="00767D60">
        <w:rPr>
          <w:rFonts w:ascii="Times New Roman" w:hAnsi="Times New Roman" w:cs="Times New Roman"/>
          <w:b/>
          <w:bCs/>
          <w:color w:val="0000FF"/>
        </w:rPr>
        <w:t>third paragraph on p.1</w:t>
      </w:r>
      <w:r w:rsidR="00767D60">
        <w:rPr>
          <w:rFonts w:ascii="Times New Roman" w:hAnsi="Times New Roman" w:cs="Times New Roman"/>
          <w:color w:val="0000FF"/>
        </w:rPr>
        <w:t xml:space="preserve"> and the broader literature discussion starting at the bottom of p.4 (</w:t>
      </w:r>
      <w:r w:rsidR="00767D60" w:rsidRPr="00767D60">
        <w:rPr>
          <w:rFonts w:ascii="Times New Roman" w:hAnsi="Times New Roman" w:cs="Times New Roman"/>
          <w:b/>
          <w:bCs/>
          <w:color w:val="0000FF"/>
        </w:rPr>
        <w:t>“This paper contains distinct contributions over the broader literature (…)”</w:t>
      </w:r>
      <w:r w:rsidR="00767D60" w:rsidRPr="00767D60">
        <w:rPr>
          <w:rFonts w:ascii="Times New Roman" w:hAnsi="Times New Roman" w:cs="Times New Roman"/>
          <w:color w:val="0000FF"/>
        </w:rPr>
        <w:t>).</w:t>
      </w:r>
      <w:r w:rsidR="00DD1854">
        <w:rPr>
          <w:rFonts w:ascii="Times New Roman" w:hAnsi="Times New Roman" w:cs="Times New Roman"/>
          <w:color w:val="0000FF"/>
        </w:rPr>
        <w:t xml:space="preserve"> For a more detailed response, see my reply to your comment 1. </w:t>
      </w:r>
      <w:r w:rsidR="008568FD">
        <w:rPr>
          <w:rFonts w:ascii="Times New Roman" w:hAnsi="Times New Roman" w:cs="Times New Roman"/>
          <w:color w:val="0000FF"/>
        </w:rPr>
        <w:t>b</w:t>
      </w:r>
      <w:r w:rsidR="00DD1854">
        <w:rPr>
          <w:rFonts w:ascii="Times New Roman" w:hAnsi="Times New Roman" w:cs="Times New Roman"/>
          <w:color w:val="0000FF"/>
        </w:rPr>
        <w:t xml:space="preserve">elow. </w:t>
      </w:r>
    </w:p>
    <w:p w14:paraId="76814516" w14:textId="77777777" w:rsidR="00555A5B" w:rsidRPr="00C10E55" w:rsidRDefault="00555A5B" w:rsidP="003045B9">
      <w:pPr>
        <w:autoSpaceDE w:val="0"/>
        <w:autoSpaceDN w:val="0"/>
        <w:adjustRightInd w:val="0"/>
        <w:spacing w:after="0" w:line="240" w:lineRule="auto"/>
        <w:rPr>
          <w:rFonts w:ascii="Times New Roman" w:hAnsi="Times New Roman" w:cs="Times New Roman"/>
          <w:color w:val="0000FF"/>
        </w:rPr>
      </w:pPr>
    </w:p>
    <w:p w14:paraId="28B7552D" w14:textId="1791CAB4" w:rsidR="003904DA" w:rsidRDefault="009E10F4" w:rsidP="003904DA">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5CA6B8C" w14:textId="77777777" w:rsidR="003904DA" w:rsidRDefault="003904DA" w:rsidP="003904DA">
      <w:pPr>
        <w:widowControl w:val="0"/>
        <w:autoSpaceDE w:val="0"/>
        <w:autoSpaceDN w:val="0"/>
        <w:adjustRightInd w:val="0"/>
        <w:spacing w:after="0" w:line="240" w:lineRule="auto"/>
        <w:rPr>
          <w:rFonts w:ascii="Times New Roman" w:hAnsi="Times New Roman" w:cs="Times New Roman"/>
        </w:rPr>
      </w:pPr>
    </w:p>
    <w:p w14:paraId="5FC9597F" w14:textId="6BB26F94" w:rsidR="003904DA" w:rsidRPr="003904DA" w:rsidRDefault="003904DA" w:rsidP="003904DA">
      <w:pPr>
        <w:widowControl w:val="0"/>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E52FDD">
        <w:rPr>
          <w:rFonts w:ascii="Times New Roman" w:hAnsi="Times New Roman" w:cs="Times New Roman"/>
          <w:color w:val="0000FF"/>
        </w:rPr>
        <w:t xml:space="preserve">Following your suggestion, I added the </w:t>
      </w:r>
      <w:r w:rsidR="00E52FDD" w:rsidRPr="00461B63">
        <w:rPr>
          <w:rFonts w:ascii="Times New Roman" w:hAnsi="Times New Roman" w:cs="Times New Roman"/>
          <w:b/>
          <w:bCs/>
          <w:color w:val="0000FF"/>
        </w:rPr>
        <w:t>new Figure 8</w:t>
      </w:r>
      <w:r w:rsidR="00E52FDD">
        <w:rPr>
          <w:rFonts w:ascii="Times New Roman" w:hAnsi="Times New Roman" w:cs="Times New Roman"/>
          <w:color w:val="0000FF"/>
        </w:rPr>
        <w:t xml:space="preserve"> </w:t>
      </w:r>
      <w:r w:rsidR="00E52FDD" w:rsidRPr="00461B63">
        <w:rPr>
          <w:rFonts w:ascii="Times New Roman" w:hAnsi="Times New Roman" w:cs="Times New Roman"/>
          <w:color w:val="0000FF"/>
        </w:rPr>
        <w:t>showing that a</w:t>
      </w:r>
      <w:r w:rsidR="00E52FDD" w:rsidRPr="00980B93">
        <w:rPr>
          <w:rFonts w:ascii="Times New Roman" w:hAnsi="Times New Roman" w:cs="Times New Roman"/>
          <w:b/>
          <w:bCs/>
          <w:color w:val="0000FF"/>
        </w:rPr>
        <w:t xml:space="preserve"> high volatility of supply shocks is needed to replicate the bond-stock betas </w:t>
      </w:r>
      <w:r w:rsidR="00E52FDD">
        <w:rPr>
          <w:rFonts w:ascii="Times New Roman" w:hAnsi="Times New Roman" w:cs="Times New Roman"/>
          <w:b/>
          <w:bCs/>
          <w:color w:val="0000FF"/>
        </w:rPr>
        <w:t>of</w:t>
      </w:r>
      <w:r w:rsidR="00E52FDD" w:rsidRPr="00980B93">
        <w:rPr>
          <w:rFonts w:ascii="Times New Roman" w:hAnsi="Times New Roman" w:cs="Times New Roman"/>
          <w:b/>
          <w:bCs/>
          <w:color w:val="0000FF"/>
        </w:rPr>
        <w:t xml:space="preserve"> the first subperiod starting from the second subperiod</w:t>
      </w:r>
      <w:r w:rsidR="00E52FDD">
        <w:rPr>
          <w:rFonts w:ascii="Times New Roman" w:hAnsi="Times New Roman" w:cs="Times New Roman"/>
          <w:color w:val="0000FF"/>
        </w:rPr>
        <w:t xml:space="preserve">. The revised paper also includes new examples and references for supply shocks during the 1980s and 1990s, such as the sudden drop in oil prices in 1986. I also added a newspaper count exercise in the </w:t>
      </w:r>
      <w:r w:rsidR="00E52FDD" w:rsidRPr="00C64426">
        <w:rPr>
          <w:rFonts w:ascii="Times New Roman" w:hAnsi="Times New Roman" w:cs="Times New Roman"/>
          <w:b/>
          <w:bCs/>
          <w:color w:val="0000FF"/>
        </w:rPr>
        <w:t>new Appendix Figure A1</w:t>
      </w:r>
      <w:r w:rsidR="00E52FDD">
        <w:rPr>
          <w:rFonts w:ascii="Times New Roman" w:hAnsi="Times New Roman" w:cs="Times New Roman"/>
          <w:color w:val="0000FF"/>
        </w:rPr>
        <w:t xml:space="preserve"> showing that supply shocks were a substantial concern during the 1980s and 1990s. </w:t>
      </w:r>
      <w:r w:rsidR="00AC5099">
        <w:rPr>
          <w:rFonts w:ascii="Times New Roman" w:hAnsi="Times New Roman" w:cs="Times New Roman"/>
          <w:color w:val="0000FF"/>
        </w:rPr>
        <w:t>For a more detailed response, see my reply to your comment 3. below.</w:t>
      </w:r>
    </w:p>
    <w:p w14:paraId="015C964F"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0591A68" w14:textId="2B4745F0"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sidRPr="00C10E55">
        <w:rPr>
          <w:rFonts w:ascii="Times New Roman" w:hAnsi="Times New Roman" w:cs="Times New Roman"/>
        </w:rPr>
        <w:t xml:space="preserve"> </w:t>
      </w:r>
      <w:r w:rsidRPr="00C10E55">
        <w:rPr>
          <w:rFonts w:ascii="Times New Roman" w:hAnsi="Times New Roman" w:cs="Times New Roman"/>
        </w:rPr>
        <w:t>The more negative referee raises several additional relevant points that the author should carefully address:</w:t>
      </w:r>
    </w:p>
    <w:p w14:paraId="6DDDF889" w14:textId="77777777" w:rsidR="00C10E55" w:rsidRPr="00C10E55" w:rsidRDefault="00C10E55" w:rsidP="00C10E55">
      <w:pPr>
        <w:adjustRightInd w:val="0"/>
        <w:spacing w:after="0" w:line="240" w:lineRule="auto"/>
        <w:rPr>
          <w:rFonts w:ascii="Times New Roman" w:hAnsi="Times New Roman" w:cs="Times New Roman"/>
        </w:rPr>
      </w:pPr>
    </w:p>
    <w:p w14:paraId="6556E31E" w14:textId="2467E40E" w:rsidR="009E10F4" w:rsidRPr="00C10E55"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B31974">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w:t>
      </w:r>
      <w:r w:rsidRPr="00C10E55">
        <w:rPr>
          <w:rFonts w:ascii="Times New Roman" w:hAnsi="Times New Roman" w:cs="Times New Roman"/>
        </w:rPr>
        <w:t xml:space="preserv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w:t>
      </w:r>
      <w:r w:rsidRPr="00C10E55">
        <w:rPr>
          <w:rFonts w:ascii="Times New Roman" w:hAnsi="Times New Roman" w:cs="Times New Roman"/>
        </w:rPr>
        <w:lastRenderedPageBreak/>
        <w:t>provides a compelling argument about why the previous papers aren’t enough to fully examine this empirical fact in both the response and the next draft.</w:t>
      </w:r>
    </w:p>
    <w:p w14:paraId="2EEF60B2" w14:textId="77777777" w:rsidR="001965F2" w:rsidRPr="00C10E55" w:rsidRDefault="001965F2"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69408B6C" w14:textId="62161962" w:rsidR="00EC7692" w:rsidRDefault="000141B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Thank you for th</w:t>
      </w:r>
      <w:r w:rsidR="00825167">
        <w:rPr>
          <w:rFonts w:ascii="Times New Roman" w:hAnsi="Times New Roman" w:cs="Times New Roman"/>
          <w:color w:val="0000FF"/>
        </w:rPr>
        <w:t>ese</w:t>
      </w:r>
      <w:r w:rsidRPr="00C10E55">
        <w:rPr>
          <w:rFonts w:ascii="Times New Roman" w:hAnsi="Times New Roman" w:cs="Times New Roman"/>
          <w:color w:val="0000FF"/>
        </w:rPr>
        <w:t xml:space="preserve"> fantastic suggestion</w:t>
      </w:r>
      <w:r w:rsidR="00825167">
        <w:rPr>
          <w:rFonts w:ascii="Times New Roman" w:hAnsi="Times New Roman" w:cs="Times New Roman"/>
          <w:color w:val="0000FF"/>
        </w:rPr>
        <w:t>s</w:t>
      </w:r>
      <w:r w:rsidRPr="00C10E55">
        <w:rPr>
          <w:rFonts w:ascii="Times New Roman" w:hAnsi="Times New Roman" w:cs="Times New Roman"/>
          <w:color w:val="0000FF"/>
        </w:rPr>
        <w:t xml:space="preserve">. </w:t>
      </w:r>
      <w:r w:rsidR="00B562AD" w:rsidRPr="00C10E55">
        <w:rPr>
          <w:rFonts w:ascii="Times New Roman" w:hAnsi="Times New Roman" w:cs="Times New Roman"/>
          <w:color w:val="0000FF"/>
        </w:rPr>
        <w:t xml:space="preserve">I </w:t>
      </w:r>
      <w:r w:rsidR="00184BF9">
        <w:rPr>
          <w:rFonts w:ascii="Times New Roman" w:hAnsi="Times New Roman" w:cs="Times New Roman"/>
          <w:color w:val="0000FF"/>
        </w:rPr>
        <w:t>substantially re-wrote the introduction to clarify the contribution of this paper relative to my own prior work and the broader literature on bond-stock comovements.</w:t>
      </w:r>
      <w:r w:rsidR="001420AE">
        <w:rPr>
          <w:rFonts w:ascii="Times New Roman" w:hAnsi="Times New Roman" w:cs="Times New Roman"/>
          <w:color w:val="0000FF"/>
        </w:rPr>
        <w:t xml:space="preserve"> </w:t>
      </w:r>
      <w:r w:rsidR="00EC7692">
        <w:rPr>
          <w:rFonts w:ascii="Times New Roman" w:hAnsi="Times New Roman" w:cs="Times New Roman"/>
          <w:color w:val="0000FF"/>
        </w:rPr>
        <w:t xml:space="preserve">The main changes can be found in the following </w:t>
      </w:r>
      <w:r w:rsidR="00C8674B">
        <w:rPr>
          <w:rFonts w:ascii="Times New Roman" w:hAnsi="Times New Roman" w:cs="Times New Roman"/>
          <w:color w:val="0000FF"/>
        </w:rPr>
        <w:t>locations</w:t>
      </w:r>
      <w:r w:rsidR="00EC7692">
        <w:rPr>
          <w:rFonts w:ascii="Times New Roman" w:hAnsi="Times New Roman" w:cs="Times New Roman"/>
          <w:color w:val="0000FF"/>
        </w:rPr>
        <w:t xml:space="preserve">: </w:t>
      </w:r>
    </w:p>
    <w:p w14:paraId="54C66A96" w14:textId="77777777" w:rsidR="006D7E54" w:rsidRDefault="006D7E54"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AEA70B2" w14:textId="77777777" w:rsidR="00B31974" w:rsidRDefault="00B31974" w:rsidP="00B31974">
      <w:pPr>
        <w:pStyle w:val="ListParagraph"/>
        <w:widowControl w:val="0"/>
        <w:numPr>
          <w:ilvl w:val="0"/>
          <w:numId w:val="28"/>
        </w:numPr>
        <w:autoSpaceDE w:val="0"/>
        <w:autoSpaceDN w:val="0"/>
        <w:adjustRightInd w:val="0"/>
        <w:spacing w:before="240" w:after="0" w:line="240" w:lineRule="auto"/>
        <w:jc w:val="both"/>
        <w:rPr>
          <w:rFonts w:ascii="Times New Roman" w:hAnsi="Times New Roman" w:cs="Times New Roman"/>
          <w:color w:val="0000FF"/>
        </w:rPr>
      </w:pPr>
      <w:r w:rsidRPr="00B31974">
        <w:rPr>
          <w:rFonts w:ascii="Times New Roman" w:hAnsi="Times New Roman" w:cs="Times New Roman"/>
          <w:color w:val="0000FF"/>
        </w:rPr>
        <w:t xml:space="preserve">I revised the </w:t>
      </w:r>
      <w:r w:rsidRPr="00B31974">
        <w:rPr>
          <w:rFonts w:ascii="Times New Roman" w:hAnsi="Times New Roman" w:cs="Times New Roman"/>
          <w:b/>
          <w:bCs/>
          <w:color w:val="0000FF"/>
        </w:rPr>
        <w:t>first paragraph of the introduction</w:t>
      </w:r>
      <w:r w:rsidRPr="00B31974">
        <w:rPr>
          <w:rFonts w:ascii="Times New Roman" w:hAnsi="Times New Roman" w:cs="Times New Roman"/>
          <w:color w:val="0000FF"/>
        </w:rPr>
        <w:t xml:space="preserve"> to state the new empirical puzzle up-front, following your suggestion. Here, I say </w:t>
      </w:r>
    </w:p>
    <w:p w14:paraId="59E7D03A" w14:textId="77777777" w:rsidR="006D7E54" w:rsidRDefault="006D7E54" w:rsidP="006D7E54">
      <w:pPr>
        <w:pStyle w:val="ListParagraph"/>
        <w:widowControl w:val="0"/>
        <w:autoSpaceDE w:val="0"/>
        <w:autoSpaceDN w:val="0"/>
        <w:adjustRightInd w:val="0"/>
        <w:spacing w:before="240" w:after="0" w:line="240" w:lineRule="auto"/>
        <w:ind w:left="1080"/>
        <w:jc w:val="both"/>
        <w:rPr>
          <w:rFonts w:ascii="Times New Roman" w:hAnsi="Times New Roman" w:cs="Times New Roman"/>
          <w:color w:val="0000FF"/>
        </w:rPr>
      </w:pPr>
    </w:p>
    <w:p w14:paraId="0F918E42" w14:textId="726940DE" w:rsidR="00B31974" w:rsidRDefault="00B3197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r w:rsidRPr="00B31974">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12BA6FAB" w14:textId="77777777" w:rsidR="006D7E54" w:rsidRPr="00B31974" w:rsidRDefault="006D7E5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p>
    <w:p w14:paraId="0902FC1A" w14:textId="30322A67" w:rsidR="00EC7692" w:rsidRDefault="00184BF9"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The paper’s </w:t>
      </w:r>
      <w:r w:rsidR="00B562AD" w:rsidRPr="00C10E55">
        <w:rPr>
          <w:rFonts w:ascii="Times New Roman" w:hAnsi="Times New Roman" w:cs="Times New Roman"/>
          <w:color w:val="0000FF"/>
        </w:rPr>
        <w:t xml:space="preserve">main </w:t>
      </w:r>
      <w:r w:rsidR="009413BE" w:rsidRPr="00C10E55">
        <w:rPr>
          <w:rFonts w:ascii="Times New Roman" w:hAnsi="Times New Roman" w:cs="Times New Roman"/>
          <w:color w:val="0000FF"/>
        </w:rPr>
        <w:t>conclusion that a “perfect storm” is needed</w:t>
      </w:r>
      <w:r w:rsidR="00B562AD" w:rsidRPr="00C10E55">
        <w:rPr>
          <w:rFonts w:ascii="Times New Roman" w:hAnsi="Times New Roman" w:cs="Times New Roman"/>
          <w:color w:val="0000FF"/>
        </w:rPr>
        <w:t xml:space="preserve"> is now </w:t>
      </w:r>
      <w:r w:rsidR="009413BE" w:rsidRPr="00C10E55">
        <w:rPr>
          <w:rFonts w:ascii="Times New Roman" w:hAnsi="Times New Roman" w:cs="Times New Roman"/>
          <w:color w:val="0000FF"/>
        </w:rPr>
        <w:t xml:space="preserve">stated up-front </w:t>
      </w:r>
      <w:r w:rsidR="00B562AD" w:rsidRPr="00C10E55">
        <w:rPr>
          <w:rFonts w:ascii="Times New Roman" w:hAnsi="Times New Roman" w:cs="Times New Roman"/>
          <w:color w:val="0000FF"/>
        </w:rPr>
        <w:t xml:space="preserve">at the beginning of the introduction </w:t>
      </w:r>
      <w:r w:rsidR="006C7784" w:rsidRPr="001420AE">
        <w:rPr>
          <w:rFonts w:ascii="Times New Roman" w:hAnsi="Times New Roman" w:cs="Times New Roman"/>
          <w:color w:val="0000FF"/>
        </w:rPr>
        <w:t>(</w:t>
      </w:r>
      <w:r w:rsidR="00193958" w:rsidRPr="00193958">
        <w:rPr>
          <w:rFonts w:ascii="Times New Roman" w:hAnsi="Times New Roman" w:cs="Times New Roman"/>
          <w:b/>
          <w:bCs/>
          <w:color w:val="0000FF"/>
        </w:rPr>
        <w:t>see</w:t>
      </w:r>
      <w:r w:rsidR="00193958">
        <w:rPr>
          <w:rFonts w:ascii="Times New Roman" w:hAnsi="Times New Roman" w:cs="Times New Roman"/>
          <w:color w:val="0000FF"/>
        </w:rPr>
        <w:t xml:space="preserve"> </w:t>
      </w:r>
      <w:r w:rsidR="006C7784" w:rsidRPr="00C10E55">
        <w:rPr>
          <w:rFonts w:ascii="Times New Roman" w:hAnsi="Times New Roman" w:cs="Times New Roman"/>
          <w:b/>
          <w:bCs/>
          <w:color w:val="0000FF"/>
        </w:rPr>
        <w:t>p.1, paragraph starting “</w:t>
      </w:r>
      <w:r w:rsidRPr="00184BF9">
        <w:rPr>
          <w:rFonts w:ascii="Times New Roman" w:hAnsi="Times New Roman" w:cs="Times New Roman"/>
          <w:b/>
          <w:bCs/>
          <w:color w:val="0000FF"/>
        </w:rPr>
        <w:t>Calibrating a New Keynesian equilibrium model</w:t>
      </w:r>
      <w:r w:rsidRPr="00C10E55">
        <w:rPr>
          <w:rFonts w:ascii="Times New Roman" w:hAnsi="Times New Roman" w:cs="Times New Roman"/>
          <w:b/>
          <w:bCs/>
          <w:color w:val="0000FF"/>
        </w:rPr>
        <w:t xml:space="preserve"> </w:t>
      </w:r>
      <w:r w:rsidR="006C7784" w:rsidRPr="00C10E55">
        <w:rPr>
          <w:rFonts w:ascii="Times New Roman" w:hAnsi="Times New Roman" w:cs="Times New Roman"/>
          <w:b/>
          <w:bCs/>
          <w:color w:val="0000FF"/>
        </w:rPr>
        <w:t>(…)”</w:t>
      </w:r>
      <w:r w:rsidR="006C7784" w:rsidRPr="00C10E55">
        <w:rPr>
          <w:rFonts w:ascii="Times New Roman" w:hAnsi="Times New Roman" w:cs="Times New Roman"/>
          <w:color w:val="0000FF"/>
        </w:rPr>
        <w:t xml:space="preserve">). </w:t>
      </w:r>
    </w:p>
    <w:p w14:paraId="54C10A35" w14:textId="77777777" w:rsidR="006D7E54" w:rsidRDefault="006D7E54" w:rsidP="006D7E54">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35FD33C9" w14:textId="0EE846E1"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O</w:t>
      </w:r>
      <w:r w:rsidR="001420AE" w:rsidRPr="00EC7692">
        <w:rPr>
          <w:rFonts w:ascii="Times New Roman" w:hAnsi="Times New Roman" w:cs="Times New Roman"/>
          <w:color w:val="0000FF"/>
        </w:rPr>
        <w:t xml:space="preserve">n </w:t>
      </w:r>
      <w:r w:rsidR="001420AE" w:rsidRPr="00EC7692">
        <w:rPr>
          <w:rFonts w:ascii="Times New Roman" w:hAnsi="Times New Roman" w:cs="Times New Roman"/>
          <w:b/>
          <w:bCs/>
          <w:color w:val="0000FF"/>
        </w:rPr>
        <w:t>p.1</w:t>
      </w:r>
      <w:r w:rsidR="001420AE" w:rsidRPr="00EC7692">
        <w:rPr>
          <w:rFonts w:ascii="Times New Roman" w:hAnsi="Times New Roman" w:cs="Times New Roman"/>
          <w:color w:val="0000FF"/>
        </w:rPr>
        <w:t xml:space="preserve"> of the introduction, I now </w:t>
      </w:r>
      <w:r w:rsidR="00C27D1D" w:rsidRPr="00EC7692">
        <w:rPr>
          <w:rFonts w:ascii="Times New Roman" w:hAnsi="Times New Roman" w:cs="Times New Roman"/>
          <w:color w:val="0000FF"/>
        </w:rPr>
        <w:t xml:space="preserve">state </w:t>
      </w:r>
      <w:r w:rsidR="001420AE" w:rsidRPr="00EC7692">
        <w:rPr>
          <w:rFonts w:ascii="Times New Roman" w:hAnsi="Times New Roman" w:cs="Times New Roman"/>
          <w:color w:val="0000FF"/>
        </w:rPr>
        <w:t>how the model in this paper is different from the literature</w:t>
      </w:r>
      <w:proofErr w:type="gramStart"/>
      <w:r w:rsidR="00B60F5D">
        <w:rPr>
          <w:rFonts w:ascii="Times New Roman" w:hAnsi="Times New Roman" w:cs="Times New Roman"/>
          <w:color w:val="0000FF"/>
        </w:rPr>
        <w:t>,</w:t>
      </w:r>
      <w:r w:rsidR="001420AE" w:rsidRPr="00EC7692">
        <w:rPr>
          <w:rFonts w:ascii="Times New Roman" w:hAnsi="Times New Roman" w:cs="Times New Roman"/>
          <w:color w:val="0000FF"/>
        </w:rPr>
        <w:t xml:space="preserve"> and in particular</w:t>
      </w:r>
      <w:proofErr w:type="gramEnd"/>
      <w:r w:rsidR="001420AE" w:rsidRPr="00EC7692">
        <w:rPr>
          <w:rFonts w:ascii="Times New Roman" w:hAnsi="Times New Roman" w:cs="Times New Roman"/>
          <w:color w:val="0000FF"/>
        </w:rPr>
        <w:t xml:space="preserve"> my own prior work </w:t>
      </w:r>
      <w:r w:rsidR="006C7784" w:rsidRPr="00EC7692">
        <w:rPr>
          <w:rFonts w:ascii="Times New Roman" w:hAnsi="Times New Roman" w:cs="Times New Roman"/>
          <w:color w:val="0000FF"/>
        </w:rPr>
        <w:t>(</w:t>
      </w:r>
      <w:r w:rsidR="00193958" w:rsidRPr="00EC7692">
        <w:rPr>
          <w:rFonts w:ascii="Times New Roman" w:hAnsi="Times New Roman" w:cs="Times New Roman"/>
          <w:b/>
          <w:bCs/>
          <w:color w:val="0000FF"/>
        </w:rPr>
        <w:t xml:space="preserve">see </w:t>
      </w:r>
      <w:r w:rsidR="006C7784" w:rsidRPr="00EC7692">
        <w:rPr>
          <w:rFonts w:ascii="Times New Roman" w:hAnsi="Times New Roman" w:cs="Times New Roman"/>
          <w:b/>
          <w:bCs/>
          <w:color w:val="0000FF"/>
        </w:rPr>
        <w:t>p.</w:t>
      </w:r>
      <w:r w:rsidR="00B562AD" w:rsidRPr="00EC7692">
        <w:rPr>
          <w:rFonts w:ascii="Times New Roman" w:hAnsi="Times New Roman" w:cs="Times New Roman"/>
          <w:b/>
          <w:bCs/>
          <w:color w:val="0000FF"/>
        </w:rPr>
        <w:t>1</w:t>
      </w:r>
      <w:r w:rsidR="006C7784" w:rsidRPr="00EC7692">
        <w:rPr>
          <w:rFonts w:ascii="Times New Roman" w:hAnsi="Times New Roman" w:cs="Times New Roman"/>
          <w:b/>
          <w:bCs/>
          <w:color w:val="0000FF"/>
        </w:rPr>
        <w:t xml:space="preserve">, paragraph starting </w:t>
      </w:r>
      <w:r w:rsidR="001420AE" w:rsidRPr="00EC7692">
        <w:rPr>
          <w:rFonts w:ascii="Times New Roman" w:hAnsi="Times New Roman" w:cs="Times New Roman"/>
          <w:b/>
          <w:bCs/>
          <w:color w:val="0000FF"/>
        </w:rPr>
        <w:t>“Despite the substantial literature studying historical bond-stock comovements (…)</w:t>
      </w:r>
      <w:r w:rsidR="006C7784" w:rsidRPr="00EC7692">
        <w:rPr>
          <w:rFonts w:ascii="Times New Roman" w:hAnsi="Times New Roman" w:cs="Times New Roman"/>
          <w:b/>
          <w:bCs/>
          <w:color w:val="0000FF"/>
        </w:rPr>
        <w:t>”</w:t>
      </w:r>
      <w:r w:rsidR="006C7784" w:rsidRPr="00EC7692">
        <w:rPr>
          <w:rFonts w:ascii="Times New Roman" w:hAnsi="Times New Roman" w:cs="Times New Roman"/>
          <w:color w:val="0000FF"/>
        </w:rPr>
        <w:t xml:space="preserve">). </w:t>
      </w:r>
      <w:r w:rsidR="00C27D1D" w:rsidRPr="00EC7692">
        <w:rPr>
          <w:rFonts w:ascii="Times New Roman" w:hAnsi="Times New Roman" w:cs="Times New Roman"/>
          <w:color w:val="0000FF"/>
        </w:rPr>
        <w:t xml:space="preserve"> </w:t>
      </w:r>
    </w:p>
    <w:p w14:paraId="0CFDEB8B" w14:textId="77777777" w:rsidR="006D7E54" w:rsidRPr="006D7E54" w:rsidRDefault="006D7E54" w:rsidP="006D7E54">
      <w:pPr>
        <w:widowControl w:val="0"/>
        <w:autoSpaceDE w:val="0"/>
        <w:autoSpaceDN w:val="0"/>
        <w:adjustRightInd w:val="0"/>
        <w:spacing w:after="0" w:line="240" w:lineRule="auto"/>
        <w:rPr>
          <w:rFonts w:ascii="Times New Roman" w:hAnsi="Times New Roman" w:cs="Times New Roman"/>
          <w:color w:val="0000FF"/>
        </w:rPr>
      </w:pPr>
    </w:p>
    <w:p w14:paraId="2820ACFD" w14:textId="1FD1BBC6"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A </w:t>
      </w:r>
      <w:r w:rsidR="00C27D1D" w:rsidRPr="00EC7692">
        <w:rPr>
          <w:rFonts w:ascii="Times New Roman" w:hAnsi="Times New Roman" w:cs="Times New Roman"/>
          <w:color w:val="0000FF"/>
        </w:rPr>
        <w:t xml:space="preserve">more detailed discussion of how this </w:t>
      </w:r>
      <w:r w:rsidR="00B60F5D">
        <w:rPr>
          <w:rFonts w:ascii="Times New Roman" w:hAnsi="Times New Roman" w:cs="Times New Roman"/>
          <w:color w:val="0000FF"/>
        </w:rPr>
        <w:t>manuscript</w:t>
      </w:r>
      <w:r w:rsidR="00C27D1D" w:rsidRPr="00EC7692">
        <w:rPr>
          <w:rFonts w:ascii="Times New Roman" w:hAnsi="Times New Roman" w:cs="Times New Roman"/>
          <w:color w:val="0000FF"/>
        </w:rPr>
        <w:t xml:space="preserve"> contributes over the existing literature follows on </w:t>
      </w:r>
      <w:r w:rsidR="00C27D1D" w:rsidRPr="00EC7692">
        <w:rPr>
          <w:rFonts w:ascii="Times New Roman" w:hAnsi="Times New Roman" w:cs="Times New Roman"/>
          <w:b/>
          <w:bCs/>
          <w:color w:val="0000FF"/>
        </w:rPr>
        <w:t>pp.4-6</w:t>
      </w:r>
      <w:r w:rsidR="00C27D1D" w:rsidRPr="00EC7692">
        <w:rPr>
          <w:rFonts w:ascii="Times New Roman" w:hAnsi="Times New Roman" w:cs="Times New Roman"/>
          <w:color w:val="0000FF"/>
        </w:rPr>
        <w:t xml:space="preserve"> of the re-written introduction (</w:t>
      </w:r>
      <w:r w:rsidR="00C27D1D" w:rsidRPr="00EC7692">
        <w:rPr>
          <w:rFonts w:ascii="Times New Roman" w:hAnsi="Times New Roman" w:cs="Times New Roman"/>
          <w:b/>
          <w:bCs/>
          <w:color w:val="0000FF"/>
        </w:rPr>
        <w:t>starting on p.4 “This paper contains distinct contributions (…)</w:t>
      </w:r>
      <w:r w:rsidR="00C27D1D" w:rsidRPr="00EC7692">
        <w:rPr>
          <w:rFonts w:ascii="Times New Roman" w:hAnsi="Times New Roman" w:cs="Times New Roman"/>
          <w:color w:val="0000FF"/>
        </w:rPr>
        <w:t xml:space="preserve">).  </w:t>
      </w:r>
    </w:p>
    <w:p w14:paraId="785AEF80" w14:textId="77777777" w:rsidR="00EC7692" w:rsidRDefault="00EC7692" w:rsidP="00EC7692">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452CD829" w14:textId="260CC7CD" w:rsidR="00CB106E" w:rsidRPr="00EC7692" w:rsidRDefault="006C7784" w:rsidP="00C163DA">
      <w:pPr>
        <w:widowControl w:val="0"/>
        <w:autoSpaceDE w:val="0"/>
        <w:autoSpaceDN w:val="0"/>
        <w:adjustRightInd w:val="0"/>
        <w:spacing w:after="0" w:line="240" w:lineRule="auto"/>
        <w:ind w:left="360"/>
        <w:rPr>
          <w:rFonts w:ascii="Times New Roman" w:hAnsi="Times New Roman" w:cs="Times New Roman"/>
          <w:color w:val="0000FF"/>
        </w:rPr>
      </w:pPr>
      <w:r w:rsidRPr="00EC7692">
        <w:rPr>
          <w:rFonts w:ascii="Times New Roman" w:hAnsi="Times New Roman" w:cs="Times New Roman"/>
          <w:color w:val="0000FF"/>
        </w:rPr>
        <w:t>In summary, while this paper builds on the previous literature, it</w:t>
      </w:r>
      <w:r w:rsidR="006D181A">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w:t>
      </w:r>
      <w:r w:rsidR="001302C0" w:rsidRPr="00EC7692">
        <w:rPr>
          <w:rFonts w:ascii="Times New Roman" w:hAnsi="Times New Roman" w:cs="Times New Roman"/>
          <w:color w:val="0000FF"/>
        </w:rPr>
        <w:t xml:space="preserve">Campbell, Pflueger, and </w:t>
      </w:r>
      <w:proofErr w:type="spellStart"/>
      <w:r w:rsidR="001302C0" w:rsidRPr="00EC7692">
        <w:rPr>
          <w:rFonts w:ascii="Times New Roman" w:hAnsi="Times New Roman" w:cs="Times New Roman"/>
          <w:color w:val="0000FF"/>
        </w:rPr>
        <w:t>Viceira</w:t>
      </w:r>
      <w:proofErr w:type="spellEnd"/>
      <w:r w:rsidR="001302C0" w:rsidRPr="00EC7692">
        <w:rPr>
          <w:rFonts w:ascii="Times New Roman" w:hAnsi="Times New Roman" w:cs="Times New Roman"/>
          <w:color w:val="0000FF"/>
        </w:rPr>
        <w:t xml:space="preserve"> (2020</w:t>
      </w:r>
      <w:r w:rsidR="00CB106E" w:rsidRPr="00EC7692">
        <w:rPr>
          <w:rFonts w:ascii="Times New Roman" w:hAnsi="Times New Roman" w:cs="Times New Roman"/>
          <w:color w:val="0000FF"/>
        </w:rPr>
        <w:t>, CPV</w:t>
      </w:r>
      <w:r w:rsidR="001302C0" w:rsidRPr="00EC7692">
        <w:rPr>
          <w:rFonts w:ascii="Times New Roman" w:hAnsi="Times New Roman" w:cs="Times New Roman"/>
          <w:color w:val="0000FF"/>
        </w:rPr>
        <w:t>)</w:t>
      </w:r>
      <w:r w:rsidRPr="00EC7692">
        <w:rPr>
          <w:rFonts w:ascii="Times New Roman" w:hAnsi="Times New Roman" w:cs="Times New Roman"/>
          <w:color w:val="0000FF"/>
        </w:rPr>
        <w:t>,</w:t>
      </w:r>
      <w:r w:rsidR="001302C0" w:rsidRPr="00EC7692">
        <w:rPr>
          <w:rFonts w:ascii="Times New Roman" w:hAnsi="Times New Roman" w:cs="Times New Roman"/>
          <w:color w:val="0000FF"/>
        </w:rPr>
        <w:t xml:space="preserve"> </w:t>
      </w:r>
      <w:r w:rsidR="004D5E67" w:rsidRPr="00EC7692">
        <w:rPr>
          <w:rFonts w:ascii="Times New Roman" w:hAnsi="Times New Roman" w:cs="Times New Roman"/>
          <w:color w:val="0000FF"/>
        </w:rPr>
        <w:t>contains</w:t>
      </w:r>
      <w:r w:rsidR="001302C0" w:rsidRPr="00EC7692">
        <w:rPr>
          <w:rFonts w:ascii="Times New Roman" w:hAnsi="Times New Roman" w:cs="Times New Roman"/>
          <w:color w:val="0000FF"/>
        </w:rPr>
        <w:t xml:space="preserve"> the same Euler equation, and </w:t>
      </w:r>
      <w:r w:rsidR="00172FE9" w:rsidRPr="00EC7692">
        <w:rPr>
          <w:rFonts w:ascii="Times New Roman" w:hAnsi="Times New Roman" w:cs="Times New Roman"/>
          <w:color w:val="0000FF"/>
        </w:rPr>
        <w:t xml:space="preserve"> </w:t>
      </w:r>
      <w:r w:rsidR="00CB106E" w:rsidRPr="00EC7692">
        <w:rPr>
          <w:rFonts w:ascii="Times New Roman" w:hAnsi="Times New Roman" w:cs="Times New Roman"/>
          <w:color w:val="0000FF"/>
        </w:rPr>
        <w:t xml:space="preserve"> </w:t>
      </w:r>
      <w:r w:rsidR="001302C0" w:rsidRPr="00EC7692">
        <w:rPr>
          <w:rFonts w:ascii="Times New Roman" w:hAnsi="Times New Roman" w:cs="Times New Roman"/>
          <w:color w:val="0000FF"/>
        </w:rPr>
        <w:t>price</w:t>
      </w:r>
      <w:r w:rsidR="0054647D" w:rsidRPr="00EC7692">
        <w:rPr>
          <w:rFonts w:ascii="Times New Roman" w:hAnsi="Times New Roman" w:cs="Times New Roman"/>
          <w:color w:val="0000FF"/>
        </w:rPr>
        <w:t>s</w:t>
      </w:r>
      <w:r w:rsidR="001302C0" w:rsidRPr="00EC7692">
        <w:rPr>
          <w:rFonts w:ascii="Times New Roman" w:hAnsi="Times New Roman" w:cs="Times New Roman"/>
          <w:color w:val="0000FF"/>
        </w:rPr>
        <w:t xml:space="preserve"> bonds and stocks using the </w:t>
      </w:r>
      <w:r w:rsidR="00172FE9" w:rsidRPr="00EC7692">
        <w:rPr>
          <w:rFonts w:ascii="Times New Roman" w:hAnsi="Times New Roman" w:cs="Times New Roman"/>
          <w:color w:val="0000FF"/>
        </w:rPr>
        <w:t xml:space="preserve">same </w:t>
      </w:r>
      <w:r w:rsidR="001302C0" w:rsidRPr="00EC7692">
        <w:rPr>
          <w:rFonts w:ascii="Times New Roman" w:hAnsi="Times New Roman" w:cs="Times New Roman"/>
          <w:color w:val="0000FF"/>
        </w:rPr>
        <w:t>habit-formation preferences with countercyclical risk premia.</w:t>
      </w:r>
      <w:r w:rsidR="00CB106E" w:rsidRPr="00EC7692">
        <w:rPr>
          <w:rFonts w:ascii="Times New Roman" w:hAnsi="Times New Roman" w:cs="Times New Roman"/>
          <w:color w:val="0000FF"/>
        </w:rPr>
        <w:t xml:space="preserve"> However, CPV is not as </w:t>
      </w:r>
      <w:proofErr w:type="spellStart"/>
      <w:r w:rsidR="00CB106E" w:rsidRPr="00EC7692">
        <w:rPr>
          <w:rFonts w:ascii="Times New Roman" w:hAnsi="Times New Roman" w:cs="Times New Roman"/>
          <w:color w:val="0000FF"/>
        </w:rPr>
        <w:t>microfounded</w:t>
      </w:r>
      <w:proofErr w:type="spellEnd"/>
      <w:r w:rsidR="00CB106E" w:rsidRPr="00EC7692">
        <w:rPr>
          <w:rFonts w:ascii="Times New Roman" w:hAnsi="Times New Roman" w:cs="Times New Roman"/>
          <w:color w:val="0000FF"/>
        </w:rPr>
        <w:t xml:space="preserve"> as the current manuscript</w:t>
      </w:r>
      <w:r w:rsidR="00172FE9" w:rsidRPr="00EC7692">
        <w:rPr>
          <w:rFonts w:ascii="Times New Roman" w:hAnsi="Times New Roman" w:cs="Times New Roman"/>
          <w:color w:val="0000FF"/>
        </w:rPr>
        <w:t>, limiting its ability to conduct counterfactual exercises</w:t>
      </w:r>
      <w:r w:rsidR="00CB106E" w:rsidRPr="00EC7692">
        <w:rPr>
          <w:rFonts w:ascii="Times New Roman" w:hAnsi="Times New Roman" w:cs="Times New Roman"/>
          <w:color w:val="0000FF"/>
        </w:rPr>
        <w:t xml:space="preserve">. While CPV contains reduced-form equations </w:t>
      </w:r>
      <w:r w:rsidR="004D5E67" w:rsidRPr="00EC7692">
        <w:rPr>
          <w:rFonts w:ascii="Times New Roman" w:hAnsi="Times New Roman" w:cs="Times New Roman"/>
          <w:color w:val="0000FF"/>
        </w:rPr>
        <w:t>describing inflation and interest rate dynamics that bear some resemblance to a Phillips curve and Taylor rule</w:t>
      </w:r>
      <w:r w:rsidR="00CB106E" w:rsidRPr="00EC7692">
        <w:rPr>
          <w:rFonts w:ascii="Times New Roman" w:hAnsi="Times New Roman" w:cs="Times New Roman"/>
          <w:color w:val="0000FF"/>
        </w:rPr>
        <w:t xml:space="preserve">, in CPV </w:t>
      </w:r>
      <w:r w:rsidR="004D5E67" w:rsidRPr="00EC7692">
        <w:rPr>
          <w:rFonts w:ascii="Times New Roman" w:hAnsi="Times New Roman" w:cs="Times New Roman"/>
          <w:color w:val="0000FF"/>
        </w:rPr>
        <w:t xml:space="preserve">these are equilibrium dynamics and not structural equations. Concretely, </w:t>
      </w:r>
      <w:r w:rsidR="00CB106E" w:rsidRPr="00EC7692">
        <w:rPr>
          <w:rFonts w:ascii="Times New Roman" w:hAnsi="Times New Roman" w:cs="Times New Roman"/>
          <w:color w:val="0000FF"/>
        </w:rPr>
        <w:t xml:space="preserve">the coefficients in </w:t>
      </w:r>
      <w:r w:rsidR="004D5E67" w:rsidRPr="00EC7692">
        <w:rPr>
          <w:rFonts w:ascii="Times New Roman" w:hAnsi="Times New Roman" w:cs="Times New Roman"/>
          <w:color w:val="0000FF"/>
        </w:rPr>
        <w:t>CPV’s</w:t>
      </w:r>
      <w:r w:rsidR="00CB106E" w:rsidRPr="00EC7692">
        <w:rPr>
          <w:rFonts w:ascii="Times New Roman" w:hAnsi="Times New Roman" w:cs="Times New Roman"/>
          <w:color w:val="0000FF"/>
        </w:rPr>
        <w:t xml:space="preserve"> reduced-form </w:t>
      </w:r>
      <w:r w:rsidR="0054647D" w:rsidRPr="00EC7692">
        <w:rPr>
          <w:rFonts w:ascii="Times New Roman" w:hAnsi="Times New Roman" w:cs="Times New Roman"/>
          <w:color w:val="0000FF"/>
        </w:rPr>
        <w:t xml:space="preserve">inflation and interest rate dynamics </w:t>
      </w:r>
      <w:r w:rsidR="00C163DA">
        <w:rPr>
          <w:rFonts w:ascii="Times New Roman" w:hAnsi="Times New Roman" w:cs="Times New Roman"/>
          <w:color w:val="0000FF"/>
        </w:rPr>
        <w:t>often do not even have the signs that one would expect in structural equations</w:t>
      </w:r>
      <w:r w:rsidR="00BF4140" w:rsidRPr="00EC7692">
        <w:rPr>
          <w:rFonts w:ascii="Times New Roman" w:hAnsi="Times New Roman" w:cs="Times New Roman"/>
          <w:color w:val="0000FF"/>
        </w:rPr>
        <w:t xml:space="preserve"> and their shocks are correlated</w:t>
      </w:r>
      <w:r w:rsidR="0054647D" w:rsidRPr="00EC7692">
        <w:rPr>
          <w:rFonts w:ascii="Times New Roman" w:hAnsi="Times New Roman" w:cs="Times New Roman"/>
          <w:color w:val="0000FF"/>
        </w:rPr>
        <w:t xml:space="preserve">, so any change </w:t>
      </w:r>
      <w:r w:rsidR="004D5E67" w:rsidRPr="00EC7692">
        <w:rPr>
          <w:rFonts w:ascii="Times New Roman" w:hAnsi="Times New Roman" w:cs="Times New Roman"/>
          <w:color w:val="0000FF"/>
        </w:rPr>
        <w:t xml:space="preserve">in these </w:t>
      </w:r>
      <w:r w:rsidR="0054647D" w:rsidRPr="00EC7692">
        <w:rPr>
          <w:rFonts w:ascii="Times New Roman" w:hAnsi="Times New Roman" w:cs="Times New Roman"/>
          <w:color w:val="0000FF"/>
        </w:rPr>
        <w:t xml:space="preserve">reduced-form dynamics </w:t>
      </w:r>
      <w:r w:rsidR="00BA7B56" w:rsidRPr="00EC7692">
        <w:rPr>
          <w:rFonts w:ascii="Times New Roman" w:hAnsi="Times New Roman" w:cs="Times New Roman"/>
          <w:color w:val="0000FF"/>
        </w:rPr>
        <w:t xml:space="preserve">in CPV </w:t>
      </w:r>
      <w:r w:rsidR="004D5E67" w:rsidRPr="00EC7692">
        <w:rPr>
          <w:rFonts w:ascii="Times New Roman" w:hAnsi="Times New Roman" w:cs="Times New Roman"/>
          <w:color w:val="0000FF"/>
        </w:rPr>
        <w:t xml:space="preserve">must be interpreted as a combination of changes </w:t>
      </w:r>
      <w:r w:rsidR="0054647D" w:rsidRPr="00EC7692">
        <w:rPr>
          <w:rFonts w:ascii="Times New Roman" w:hAnsi="Times New Roman" w:cs="Times New Roman"/>
          <w:color w:val="0000FF"/>
        </w:rPr>
        <w:t xml:space="preserve">to </w:t>
      </w:r>
      <w:r w:rsidR="004D5E67" w:rsidRPr="00EC7692">
        <w:rPr>
          <w:rFonts w:ascii="Times New Roman" w:hAnsi="Times New Roman" w:cs="Times New Roman"/>
          <w:color w:val="0000FF"/>
        </w:rPr>
        <w:t>monetary policy and the macroeconomic environment</w:t>
      </w:r>
      <w:r w:rsidR="00CB106E" w:rsidRPr="00EC7692">
        <w:rPr>
          <w:rFonts w:ascii="Times New Roman" w:hAnsi="Times New Roman" w:cs="Times New Roman"/>
          <w:color w:val="0000FF"/>
        </w:rPr>
        <w:t xml:space="preserve">. By contrast, the current manuscript </w:t>
      </w:r>
      <w:r w:rsidR="00515149" w:rsidRPr="00EC7692">
        <w:rPr>
          <w:rFonts w:ascii="Times New Roman" w:hAnsi="Times New Roman" w:cs="Times New Roman"/>
          <w:color w:val="0000FF"/>
        </w:rPr>
        <w:t xml:space="preserve">requires that the </w:t>
      </w:r>
      <w:r w:rsidR="00CB106E" w:rsidRPr="00EC7692">
        <w:rPr>
          <w:rFonts w:ascii="Times New Roman" w:hAnsi="Times New Roman" w:cs="Times New Roman"/>
          <w:color w:val="0000FF"/>
        </w:rPr>
        <w:t xml:space="preserve">Phillips curve (20) and Taylor rule (24) have coefficients in line with the prior </w:t>
      </w:r>
      <w:r w:rsidR="004D5E67" w:rsidRPr="00EC7692">
        <w:rPr>
          <w:rFonts w:ascii="Times New Roman" w:hAnsi="Times New Roman" w:cs="Times New Roman"/>
          <w:color w:val="0000FF"/>
        </w:rPr>
        <w:t xml:space="preserve">structural </w:t>
      </w:r>
      <w:r w:rsidR="00CB106E" w:rsidRPr="00EC7692">
        <w:rPr>
          <w:rFonts w:ascii="Times New Roman" w:hAnsi="Times New Roman" w:cs="Times New Roman"/>
          <w:color w:val="0000FF"/>
        </w:rPr>
        <w:t xml:space="preserve">literature, and that </w:t>
      </w:r>
      <w:r w:rsidR="00172FE9" w:rsidRPr="00EC7692">
        <w:rPr>
          <w:rFonts w:ascii="Times New Roman" w:hAnsi="Times New Roman" w:cs="Times New Roman"/>
          <w:color w:val="0000FF"/>
        </w:rPr>
        <w:t>their</w:t>
      </w:r>
      <w:r w:rsidR="004D5E67" w:rsidRPr="00EC7692">
        <w:rPr>
          <w:rFonts w:ascii="Times New Roman" w:hAnsi="Times New Roman" w:cs="Times New Roman"/>
          <w:color w:val="0000FF"/>
        </w:rPr>
        <w:t xml:space="preserve"> shocks </w:t>
      </w:r>
      <w:r w:rsidR="00CB106E" w:rsidRPr="00EC7692">
        <w:rPr>
          <w:rFonts w:ascii="Times New Roman" w:hAnsi="Times New Roman" w:cs="Times New Roman"/>
          <w:color w:val="0000FF"/>
        </w:rPr>
        <w:t>are uncorrelated</w:t>
      </w:r>
      <w:r w:rsidRPr="00EC7692">
        <w:rPr>
          <w:rFonts w:ascii="Times New Roman" w:hAnsi="Times New Roman" w:cs="Times New Roman"/>
          <w:color w:val="0000FF"/>
        </w:rPr>
        <w:t>,</w:t>
      </w:r>
      <w:r w:rsidR="00172FE9" w:rsidRPr="00EC7692">
        <w:rPr>
          <w:rFonts w:ascii="Times New Roman" w:hAnsi="Times New Roman" w:cs="Times New Roman"/>
          <w:color w:val="0000FF"/>
        </w:rPr>
        <w:t xml:space="preserve"> as is standard for structural shocks</w:t>
      </w:r>
      <w:r w:rsidR="00CB106E" w:rsidRPr="00EC7692">
        <w:rPr>
          <w:rFonts w:ascii="Times New Roman" w:hAnsi="Times New Roman" w:cs="Times New Roman"/>
          <w:color w:val="0000FF"/>
        </w:rPr>
        <w:t xml:space="preserve">. </w:t>
      </w:r>
      <w:r w:rsidR="00172FE9" w:rsidRPr="00EC7692">
        <w:rPr>
          <w:rFonts w:ascii="Times New Roman" w:hAnsi="Times New Roman" w:cs="Times New Roman"/>
          <w:color w:val="0000FF"/>
        </w:rPr>
        <w:t>The model</w:t>
      </w:r>
      <w:r w:rsidR="0054647D" w:rsidRPr="00EC7692">
        <w:rPr>
          <w:rFonts w:ascii="Times New Roman" w:hAnsi="Times New Roman" w:cs="Times New Roman"/>
          <w:color w:val="0000FF"/>
        </w:rPr>
        <w:t xml:space="preserve"> in CPV </w:t>
      </w:r>
      <w:r w:rsidR="00172FE9" w:rsidRPr="00EC7692">
        <w:rPr>
          <w:rFonts w:ascii="Times New Roman" w:hAnsi="Times New Roman" w:cs="Times New Roman"/>
          <w:color w:val="0000FF"/>
        </w:rPr>
        <w:t xml:space="preserve">is therefore not sufficient to understand how counterfactual changes in </w:t>
      </w:r>
      <w:r w:rsidR="00BA7B56" w:rsidRPr="00EC7692">
        <w:rPr>
          <w:rFonts w:ascii="Times New Roman" w:hAnsi="Times New Roman" w:cs="Times New Roman"/>
          <w:color w:val="0000FF"/>
        </w:rPr>
        <w:t xml:space="preserve">macroeconomic volatilities </w:t>
      </w:r>
      <w:r w:rsidR="00172FE9" w:rsidRPr="00EC7692">
        <w:rPr>
          <w:rFonts w:ascii="Times New Roman" w:hAnsi="Times New Roman" w:cs="Times New Roman"/>
          <w:color w:val="0000FF"/>
        </w:rPr>
        <w:t>and</w:t>
      </w:r>
      <w:r w:rsidR="00BA7B56" w:rsidRPr="00EC7692">
        <w:rPr>
          <w:rFonts w:ascii="Times New Roman" w:hAnsi="Times New Roman" w:cs="Times New Roman"/>
          <w:color w:val="0000FF"/>
        </w:rPr>
        <w:t xml:space="preserve"> Taylor rule coefficients </w:t>
      </w:r>
      <w:r w:rsidR="00172FE9" w:rsidRPr="00EC7692">
        <w:rPr>
          <w:rFonts w:ascii="Times New Roman" w:hAnsi="Times New Roman" w:cs="Times New Roman"/>
          <w:color w:val="0000FF"/>
        </w:rPr>
        <w:t xml:space="preserve">impact bond-stock betas. </w:t>
      </w:r>
      <w:r w:rsidR="00515149" w:rsidRPr="00EC7692">
        <w:rPr>
          <w:rFonts w:ascii="Times New Roman" w:hAnsi="Times New Roman" w:cs="Times New Roman"/>
          <w:color w:val="0000FF"/>
        </w:rPr>
        <w:t xml:space="preserve"> </w:t>
      </w:r>
    </w:p>
    <w:p w14:paraId="4959E729" w14:textId="7777777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0A8DFC0" w14:textId="5359B90C"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The model in Pflueger and Rinaldi (2022, PR) is more </w:t>
      </w:r>
      <w:proofErr w:type="gramStart"/>
      <w:r w:rsidRPr="00C10E55">
        <w:rPr>
          <w:rFonts w:ascii="Times New Roman" w:hAnsi="Times New Roman" w:cs="Times New Roman"/>
          <w:color w:val="0000FF"/>
        </w:rPr>
        <w:t>similar to</w:t>
      </w:r>
      <w:proofErr w:type="gramEnd"/>
      <w:r w:rsidRPr="00C10E55">
        <w:rPr>
          <w:rFonts w:ascii="Times New Roman" w:hAnsi="Times New Roman" w:cs="Times New Roman"/>
          <w:color w:val="0000FF"/>
        </w:rPr>
        <w:t xml:space="preserve"> the current one, containing a structural Phillips curve and a Taylor-type monetary policy rule</w:t>
      </w:r>
      <w:r w:rsidR="006C7784" w:rsidRPr="00C10E55">
        <w:rPr>
          <w:rFonts w:ascii="Times New Roman" w:hAnsi="Times New Roman" w:cs="Times New Roman"/>
          <w:color w:val="0000FF"/>
        </w:rPr>
        <w:t xml:space="preserve">. However, </w:t>
      </w:r>
      <w:r w:rsidR="00172FE9" w:rsidRPr="00C10E55">
        <w:rPr>
          <w:rFonts w:ascii="Times New Roman" w:hAnsi="Times New Roman" w:cs="Times New Roman"/>
          <w:color w:val="0000FF"/>
        </w:rPr>
        <w:t xml:space="preserve">PR do not </w:t>
      </w:r>
      <w:r w:rsidR="006C7784" w:rsidRPr="00C10E55">
        <w:rPr>
          <w:rFonts w:ascii="Times New Roman" w:hAnsi="Times New Roman" w:cs="Times New Roman"/>
          <w:color w:val="0000FF"/>
        </w:rPr>
        <w:t xml:space="preserve">study the </w:t>
      </w:r>
      <w:r w:rsidR="006C7784" w:rsidRPr="00C10E55">
        <w:rPr>
          <w:rFonts w:ascii="Times New Roman" w:hAnsi="Times New Roman" w:cs="Times New Roman"/>
          <w:color w:val="0000FF"/>
        </w:rPr>
        <w:lastRenderedPageBreak/>
        <w:t xml:space="preserve">implications for bond-stock betas </w:t>
      </w:r>
      <w:r w:rsidR="00490D4F" w:rsidRPr="00C10E55">
        <w:rPr>
          <w:rFonts w:ascii="Times New Roman" w:hAnsi="Times New Roman" w:cs="Times New Roman"/>
          <w:color w:val="0000FF"/>
        </w:rPr>
        <w:t xml:space="preserve">and </w:t>
      </w:r>
      <w:r w:rsidR="006C7784" w:rsidRPr="00C10E55">
        <w:rPr>
          <w:rFonts w:ascii="Times New Roman" w:hAnsi="Times New Roman" w:cs="Times New Roman"/>
          <w:color w:val="0000FF"/>
        </w:rPr>
        <w:t>the PR</w:t>
      </w:r>
      <w:r w:rsidR="00490D4F" w:rsidRPr="00C10E55">
        <w:rPr>
          <w:rFonts w:ascii="Times New Roman" w:hAnsi="Times New Roman" w:cs="Times New Roman"/>
          <w:color w:val="0000FF"/>
        </w:rPr>
        <w:t xml:space="preserve"> model </w:t>
      </w:r>
      <w:r w:rsidR="005325D4" w:rsidRPr="00C10E55">
        <w:rPr>
          <w:rFonts w:ascii="Times New Roman" w:hAnsi="Times New Roman" w:cs="Times New Roman"/>
          <w:color w:val="0000FF"/>
        </w:rPr>
        <w:t>is</w:t>
      </w:r>
      <w:r w:rsidR="00490D4F" w:rsidRPr="00C10E55">
        <w:rPr>
          <w:rFonts w:ascii="Times New Roman" w:hAnsi="Times New Roman" w:cs="Times New Roman"/>
          <w:color w:val="0000FF"/>
        </w:rPr>
        <w:t xml:space="preserve"> insufficient to reach the central conclusion of this manuscript. </w:t>
      </w:r>
      <w:r w:rsidR="00172FE9" w:rsidRPr="00C10E55">
        <w:rPr>
          <w:rFonts w:ascii="Times New Roman" w:hAnsi="Times New Roman" w:cs="Times New Roman"/>
          <w:color w:val="0000FF"/>
        </w:rPr>
        <w:t>The</w:t>
      </w:r>
      <w:r w:rsidRPr="00C10E55">
        <w:rPr>
          <w:rFonts w:ascii="Times New Roman" w:hAnsi="Times New Roman" w:cs="Times New Roman"/>
          <w:color w:val="0000FF"/>
        </w:rPr>
        <w:t xml:space="preserve"> current model contains some important changes compared to PR, in particular both demand and supply shocks (PR </w:t>
      </w:r>
      <w:r w:rsidR="006C7784" w:rsidRPr="00C10E55">
        <w:rPr>
          <w:rFonts w:ascii="Times New Roman" w:hAnsi="Times New Roman" w:cs="Times New Roman"/>
          <w:color w:val="0000FF"/>
        </w:rPr>
        <w:t>has neither</w:t>
      </w:r>
      <w:r w:rsidRPr="00C10E55">
        <w:rPr>
          <w:rFonts w:ascii="Times New Roman" w:hAnsi="Times New Roman" w:cs="Times New Roman"/>
          <w:color w:val="0000FF"/>
        </w:rPr>
        <w:t xml:space="preserve">), </w:t>
      </w:r>
      <w:proofErr w:type="gramStart"/>
      <w:r w:rsidRPr="00C10E55">
        <w:rPr>
          <w:rFonts w:ascii="Times New Roman" w:hAnsi="Times New Roman" w:cs="Times New Roman"/>
          <w:color w:val="0000FF"/>
        </w:rPr>
        <w:t>and</w:t>
      </w:r>
      <w:proofErr w:type="gramEnd"/>
      <w:r w:rsidRPr="00C10E55">
        <w:rPr>
          <w:rFonts w:ascii="Times New Roman" w:hAnsi="Times New Roman" w:cs="Times New Roman"/>
          <w:color w:val="0000FF"/>
        </w:rPr>
        <w:t xml:space="preserve"> adaptive inflation expectations. </w:t>
      </w:r>
      <w:r w:rsidR="000C4316" w:rsidRPr="00C10E55">
        <w:rPr>
          <w:rFonts w:ascii="Times New Roman" w:hAnsi="Times New Roman" w:cs="Times New Roman"/>
          <w:color w:val="0000FF"/>
        </w:rPr>
        <w:t xml:space="preserve">The ability to perform counterfactual exercises to assess the </w:t>
      </w:r>
      <w:r w:rsidR="00477650" w:rsidRPr="00C10E55">
        <w:rPr>
          <w:rFonts w:ascii="Times New Roman" w:hAnsi="Times New Roman" w:cs="Times New Roman"/>
          <w:color w:val="0000FF"/>
        </w:rPr>
        <w:t>impact</w:t>
      </w:r>
      <w:r w:rsidR="000C4316" w:rsidRPr="00C10E55">
        <w:rPr>
          <w:rFonts w:ascii="Times New Roman" w:hAnsi="Times New Roman" w:cs="Times New Roman"/>
          <w:color w:val="0000FF"/>
        </w:rPr>
        <w:t xml:space="preserve"> of changes in the macroeconomic shock volatilities </w:t>
      </w:r>
      <w:r w:rsidR="00477650" w:rsidRPr="00C10E55">
        <w:rPr>
          <w:rFonts w:ascii="Times New Roman" w:hAnsi="Times New Roman" w:cs="Times New Roman"/>
          <w:color w:val="0000FF"/>
        </w:rPr>
        <w:t xml:space="preserve">and Taylor rule coefficients on bond-stock betas </w:t>
      </w:r>
      <w:r w:rsidR="000C4316" w:rsidRPr="00C10E55">
        <w:rPr>
          <w:rFonts w:ascii="Times New Roman" w:hAnsi="Times New Roman" w:cs="Times New Roman"/>
          <w:color w:val="0000FF"/>
        </w:rPr>
        <w:t xml:space="preserve">therefore sets this paper apart from </w:t>
      </w:r>
      <w:r w:rsidR="00490D4F" w:rsidRPr="00C10E55">
        <w:rPr>
          <w:rFonts w:ascii="Times New Roman" w:hAnsi="Times New Roman" w:cs="Times New Roman"/>
          <w:color w:val="0000FF"/>
        </w:rPr>
        <w:t xml:space="preserve">CPV and </w:t>
      </w:r>
      <w:r w:rsidR="000C4316" w:rsidRPr="00C10E55">
        <w:rPr>
          <w:rFonts w:ascii="Times New Roman" w:hAnsi="Times New Roman" w:cs="Times New Roman"/>
          <w:color w:val="0000FF"/>
        </w:rPr>
        <w:t xml:space="preserve">PR. </w:t>
      </w:r>
    </w:p>
    <w:p w14:paraId="2539DC6E" w14:textId="77777777" w:rsidR="000077A2" w:rsidRPr="00C10E55" w:rsidRDefault="000077A2"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2A5566DE" w14:textId="44FE94E7" w:rsidR="002F1B72" w:rsidRPr="00C10E55" w:rsidRDefault="000077A2"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Regarding the broader literature on changing bond-stock comovements, there are several features that set the current manuscript apart.</w:t>
      </w:r>
      <w:r w:rsidR="002F1B72" w:rsidRPr="00C10E55">
        <w:rPr>
          <w:rFonts w:ascii="Times New Roman" w:hAnsi="Times New Roman" w:cs="Times New Roman"/>
          <w:color w:val="0000FF"/>
        </w:rPr>
        <w:t xml:space="preserve"> As discussed by </w:t>
      </w:r>
      <w:r w:rsidR="00F771D3">
        <w:rPr>
          <w:rFonts w:ascii="Times New Roman" w:hAnsi="Times New Roman" w:cs="Times New Roman"/>
          <w:color w:val="0000FF"/>
        </w:rPr>
        <w:t>r</w:t>
      </w:r>
      <w:r w:rsidR="002F1B72"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proofErr w:type="spellStart"/>
      <w:r w:rsidR="006D4542" w:rsidRPr="00C10E55">
        <w:rPr>
          <w:rFonts w:ascii="Times New Roman" w:hAnsi="Times New Roman" w:cs="Times New Roman"/>
          <w:color w:val="0000FF"/>
        </w:rPr>
        <w:t>Piazzesi</w:t>
      </w:r>
      <w:proofErr w:type="spellEnd"/>
      <w:r w:rsidR="006D4542" w:rsidRPr="00C10E55">
        <w:rPr>
          <w:rFonts w:ascii="Times New Roman" w:hAnsi="Times New Roman" w:cs="Times New Roman"/>
          <w:color w:val="0000FF"/>
        </w:rPr>
        <w:t xml:space="preserve"> and Schneider (2006), </w:t>
      </w:r>
      <w:r w:rsidR="002F1B72" w:rsidRPr="00C10E55">
        <w:rPr>
          <w:rFonts w:ascii="Times New Roman" w:hAnsi="Times New Roman" w:cs="Times New Roman"/>
          <w:color w:val="0000FF"/>
        </w:rPr>
        <w:t xml:space="preserve">David and Veronesi (2013), Song (2017), </w:t>
      </w:r>
      <w:r w:rsidR="00A6172C" w:rsidRPr="00C10E55">
        <w:rPr>
          <w:rFonts w:ascii="Times New Roman" w:hAnsi="Times New Roman" w:cs="Times New Roman"/>
          <w:color w:val="0000FF"/>
        </w:rPr>
        <w:t xml:space="preserve">Bekaert and Engstrom (2017), </w:t>
      </w:r>
      <w:r w:rsidR="002F1B72" w:rsidRPr="00C10E55">
        <w:rPr>
          <w:rFonts w:ascii="Times New Roman" w:hAnsi="Times New Roman" w:cs="Times New Roman"/>
          <w:color w:val="0000FF"/>
        </w:rPr>
        <w:t xml:space="preserve">Campbell, Pflueger, and </w:t>
      </w:r>
      <w:proofErr w:type="spellStart"/>
      <w:r w:rsidR="002F1B72" w:rsidRPr="00C10E55">
        <w:rPr>
          <w:rFonts w:ascii="Times New Roman" w:hAnsi="Times New Roman" w:cs="Times New Roman"/>
          <w:color w:val="0000FF"/>
        </w:rPr>
        <w:t>Viceira</w:t>
      </w:r>
      <w:proofErr w:type="spellEnd"/>
      <w:r w:rsidR="002F1B72" w:rsidRPr="00C10E55">
        <w:rPr>
          <w:rFonts w:ascii="Times New Roman" w:hAnsi="Times New Roman" w:cs="Times New Roman"/>
          <w:color w:val="0000FF"/>
        </w:rPr>
        <w:t xml:space="preserve"> (2020), </w:t>
      </w:r>
      <w:proofErr w:type="spellStart"/>
      <w:r w:rsidR="002F1B72" w:rsidRPr="00C10E55">
        <w:rPr>
          <w:rFonts w:ascii="Times New Roman" w:hAnsi="Times New Roman" w:cs="Times New Roman"/>
          <w:color w:val="0000FF"/>
        </w:rPr>
        <w:t>Gourio</w:t>
      </w:r>
      <w:proofErr w:type="spellEnd"/>
      <w:r w:rsidR="002F1B72" w:rsidRPr="00C10E55">
        <w:rPr>
          <w:rFonts w:ascii="Times New Roman" w:hAnsi="Times New Roman" w:cs="Times New Roman"/>
          <w:color w:val="0000FF"/>
        </w:rPr>
        <w:t xml:space="preserve"> and Ngo (2020), and Fang, Liu, and </w:t>
      </w:r>
      <w:proofErr w:type="spellStart"/>
      <w:r w:rsidR="002F1B72" w:rsidRPr="00C10E55">
        <w:rPr>
          <w:rFonts w:ascii="Times New Roman" w:hAnsi="Times New Roman" w:cs="Times New Roman"/>
          <w:color w:val="0000FF"/>
        </w:rPr>
        <w:t>Roussanov</w:t>
      </w:r>
      <w:proofErr w:type="spellEnd"/>
      <w:r w:rsidR="002F1B72" w:rsidRPr="00C10E55">
        <w:rPr>
          <w:rFonts w:ascii="Times New Roman" w:hAnsi="Times New Roman" w:cs="Times New Roman"/>
          <w:color w:val="0000FF"/>
        </w:rPr>
        <w:t xml:space="preserve"> (2022)); liquidity, flight-to-safety, and time-varying risk aversion  (Baele, Bekaert, and </w:t>
      </w:r>
      <w:proofErr w:type="spellStart"/>
      <w:r w:rsidR="002F1B72" w:rsidRPr="00C10E55">
        <w:rPr>
          <w:rFonts w:ascii="Times New Roman" w:hAnsi="Times New Roman" w:cs="Times New Roman"/>
          <w:color w:val="0000FF"/>
        </w:rPr>
        <w:t>Inghelbrecht</w:t>
      </w:r>
      <w:proofErr w:type="spellEnd"/>
      <w:r w:rsidR="002F1B72" w:rsidRPr="00C10E55">
        <w:rPr>
          <w:rFonts w:ascii="Times New Roman" w:hAnsi="Times New Roman" w:cs="Times New Roman"/>
          <w:color w:val="0000FF"/>
        </w:rPr>
        <w:t xml:space="preserve"> (2010), Kozak (2022), and </w:t>
      </w:r>
      <w:proofErr w:type="spellStart"/>
      <w:r w:rsidR="002F1B72" w:rsidRPr="00C10E55">
        <w:rPr>
          <w:rFonts w:ascii="Times New Roman" w:hAnsi="Times New Roman" w:cs="Times New Roman"/>
          <w:color w:val="0000FF"/>
        </w:rPr>
        <w:t>Laarits</w:t>
      </w:r>
      <w:proofErr w:type="spellEnd"/>
      <w:r w:rsidR="002F1B72" w:rsidRPr="00C10E55">
        <w:rPr>
          <w:rFonts w:ascii="Times New Roman" w:hAnsi="Times New Roman" w:cs="Times New Roman"/>
          <w:color w:val="0000FF"/>
        </w:rPr>
        <w:t xml:space="preserve"> (2022)); permanent-transitory compositional changes of consumption growth (Chernov, </w:t>
      </w:r>
      <w:proofErr w:type="spellStart"/>
      <w:r w:rsidR="002F1B72" w:rsidRPr="00C10E55">
        <w:rPr>
          <w:rFonts w:ascii="Times New Roman" w:hAnsi="Times New Roman" w:cs="Times New Roman"/>
          <w:color w:val="0000FF"/>
        </w:rPr>
        <w:t>Lochstoer</w:t>
      </w:r>
      <w:proofErr w:type="spellEnd"/>
      <w:r w:rsidR="002F1B72" w:rsidRPr="00C10E55">
        <w:rPr>
          <w:rFonts w:ascii="Times New Roman" w:hAnsi="Times New Roman" w:cs="Times New Roman"/>
          <w:color w:val="0000FF"/>
        </w:rPr>
        <w:t>,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w:t>
      </w:r>
      <w:r w:rsidR="00B33C77" w:rsidRPr="00C10E55">
        <w:rPr>
          <w:rFonts w:ascii="Times New Roman" w:hAnsi="Times New Roman" w:cs="Times New Roman"/>
          <w:color w:val="0000FF"/>
        </w:rPr>
        <w:t>ly to</w:t>
      </w:r>
      <w:r w:rsidR="002F1B72" w:rsidRPr="00C10E55">
        <w:rPr>
          <w:rFonts w:ascii="Times New Roman" w:hAnsi="Times New Roman" w:cs="Times New Roman"/>
          <w:color w:val="0000FF"/>
        </w:rPr>
        <w:t xml:space="preserve"> supply-type shock</w:t>
      </w:r>
      <w:r w:rsidR="00B33C77" w:rsidRPr="00C10E55">
        <w:rPr>
          <w:rFonts w:ascii="Times New Roman" w:hAnsi="Times New Roman" w:cs="Times New Roman"/>
          <w:color w:val="0000FF"/>
        </w:rPr>
        <w:t>s</w:t>
      </w:r>
      <w:r w:rsidR="002F1B72" w:rsidRPr="00C10E55">
        <w:rPr>
          <w:rFonts w:ascii="Times New Roman" w:hAnsi="Times New Roman" w:cs="Times New Roman"/>
          <w:color w:val="0000FF"/>
        </w:rPr>
        <w:t xml:space="preserve"> (Bianchi, Faccini, and </w:t>
      </w:r>
      <w:proofErr w:type="spellStart"/>
      <w:r w:rsidR="002F1B72" w:rsidRPr="00C10E55">
        <w:rPr>
          <w:rFonts w:ascii="Times New Roman" w:hAnsi="Times New Roman" w:cs="Times New Roman"/>
          <w:color w:val="0000FF"/>
        </w:rPr>
        <w:t>Melosi</w:t>
      </w:r>
      <w:proofErr w:type="spellEnd"/>
      <w:r w:rsidR="002F1B72" w:rsidRPr="00C10E55">
        <w:rPr>
          <w:rFonts w:ascii="Times New Roman" w:hAnsi="Times New Roman" w:cs="Times New Roman"/>
          <w:color w:val="0000FF"/>
        </w:rPr>
        <w:t xml:space="preserve"> (2023)).</w:t>
      </w:r>
    </w:p>
    <w:p w14:paraId="351FFB0F" w14:textId="77777777" w:rsidR="002F1B72" w:rsidRPr="00C10E55" w:rsidRDefault="002F1B72" w:rsidP="00C10E55">
      <w:pPr>
        <w:autoSpaceDE w:val="0"/>
        <w:autoSpaceDN w:val="0"/>
        <w:adjustRightInd w:val="0"/>
        <w:spacing w:after="0" w:line="240" w:lineRule="auto"/>
        <w:ind w:left="360"/>
        <w:rPr>
          <w:rFonts w:ascii="Times New Roman" w:hAnsi="Times New Roman" w:cs="Times New Roman"/>
          <w:color w:val="0000FF"/>
        </w:rPr>
      </w:pPr>
    </w:p>
    <w:p w14:paraId="262171E6" w14:textId="1CCD6C5A" w:rsidR="00FC1403"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w:t>
      </w:r>
      <w:r w:rsidR="00FC1403" w:rsidRPr="00C10E55">
        <w:rPr>
          <w:rFonts w:ascii="Times New Roman" w:hAnsi="Times New Roman" w:cs="Times New Roman"/>
          <w:color w:val="0000FF"/>
        </w:rPr>
        <w:t xml:space="preserve">particularly </w:t>
      </w:r>
      <w:r w:rsidRPr="00C10E55">
        <w:rPr>
          <w:rFonts w:ascii="Times New Roman" w:hAnsi="Times New Roman" w:cs="Times New Roman"/>
          <w:color w:val="0000FF"/>
        </w:rPr>
        <w:t xml:space="preserve">closely related paper is </w:t>
      </w:r>
      <w:r w:rsidR="002F1B72" w:rsidRPr="00C10E55">
        <w:rPr>
          <w:rFonts w:ascii="Times New Roman" w:hAnsi="Times New Roman" w:cs="Times New Roman"/>
          <w:color w:val="0000FF"/>
        </w:rPr>
        <w:t>Song (2017)</w:t>
      </w:r>
      <w:r w:rsidR="00FC1403" w:rsidRPr="00C10E55">
        <w:rPr>
          <w:rFonts w:ascii="Times New Roman" w:hAnsi="Times New Roman" w:cs="Times New Roman"/>
          <w:color w:val="0000FF"/>
        </w:rPr>
        <w:t xml:space="preserve">, which however </w:t>
      </w:r>
      <w:r w:rsidR="00C163DA">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sidR="00C163DA">
        <w:rPr>
          <w:rFonts w:ascii="Times New Roman" w:hAnsi="Times New Roman" w:cs="Times New Roman"/>
          <w:color w:val="0000FF"/>
        </w:rPr>
        <w:t xml:space="preserve">, limiting its ability to speak to </w:t>
      </w:r>
      <w:r w:rsidR="00974AFC">
        <w:rPr>
          <w:rFonts w:ascii="Times New Roman" w:hAnsi="Times New Roman" w:cs="Times New Roman"/>
          <w:color w:val="0000FF"/>
        </w:rPr>
        <w:t xml:space="preserve">the role of macroeconomic shocks vs. monetary policy for bond-stock betas. </w:t>
      </w:r>
    </w:p>
    <w:p w14:paraId="3363E768" w14:textId="33142021" w:rsidR="00AB2B45"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5739D2D1" w14:textId="636E6BA1" w:rsidR="000077A2" w:rsidRPr="00C10E55" w:rsidRDefault="00FF12BE" w:rsidP="00C10E55">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005950B5" w:rsidRPr="00C10E55">
        <w:rPr>
          <w:rFonts w:ascii="Times New Roman" w:hAnsi="Times New Roman" w:cs="Times New Roman"/>
          <w:color w:val="0000FF"/>
        </w:rPr>
        <w:t>Different from the current paper, t</w:t>
      </w:r>
      <w:r w:rsidR="003C397E" w:rsidRPr="00C10E55">
        <w:rPr>
          <w:rFonts w:ascii="Times New Roman" w:hAnsi="Times New Roman" w:cs="Times New Roman"/>
          <w:color w:val="0000FF"/>
        </w:rPr>
        <w:t>he production-based models of</w:t>
      </w:r>
      <w:r w:rsidR="00AB2B45" w:rsidRPr="00C10E55">
        <w:rPr>
          <w:rFonts w:ascii="Times New Roman" w:hAnsi="Times New Roman" w:cs="Times New Roman"/>
          <w:color w:val="0000FF"/>
        </w:rPr>
        <w:t xml:space="preserve"> Fang, Liu, and </w:t>
      </w:r>
      <w:proofErr w:type="spellStart"/>
      <w:r w:rsidR="00AB2B45" w:rsidRPr="00C10E55">
        <w:rPr>
          <w:rFonts w:ascii="Times New Roman" w:hAnsi="Times New Roman" w:cs="Times New Roman"/>
          <w:color w:val="0000FF"/>
        </w:rPr>
        <w:t>Roussanov</w:t>
      </w:r>
      <w:proofErr w:type="spellEnd"/>
      <w:r w:rsidR="00AB2B45" w:rsidRPr="00C10E55">
        <w:rPr>
          <w:rFonts w:ascii="Times New Roman" w:hAnsi="Times New Roman" w:cs="Times New Roman"/>
          <w:color w:val="0000FF"/>
        </w:rPr>
        <w:t xml:space="preserve"> (2022), and Kozak (2022) do not </w:t>
      </w:r>
      <w:r w:rsidR="006B4B24" w:rsidRPr="00C10E55">
        <w:rPr>
          <w:rFonts w:ascii="Times New Roman" w:hAnsi="Times New Roman" w:cs="Times New Roman"/>
          <w:color w:val="0000FF"/>
        </w:rPr>
        <w:t xml:space="preserve">incorporate </w:t>
      </w:r>
      <w:r w:rsidR="00AB2B45" w:rsidRPr="00C10E55">
        <w:rPr>
          <w:rFonts w:ascii="Times New Roman" w:hAnsi="Times New Roman" w:cs="Times New Roman"/>
          <w:color w:val="0000FF"/>
        </w:rPr>
        <w:t xml:space="preserve">changes in monetary policy. </w:t>
      </w:r>
      <w:r w:rsidR="00AB0CFA" w:rsidRPr="00C10E55">
        <w:rPr>
          <w:rFonts w:ascii="Times New Roman" w:hAnsi="Times New Roman" w:cs="Times New Roman"/>
          <w:color w:val="0000FF"/>
        </w:rPr>
        <w:t xml:space="preserve">Conversely, </w:t>
      </w:r>
      <w:proofErr w:type="spellStart"/>
      <w:r w:rsidR="00EF7188" w:rsidRPr="00C10E55">
        <w:rPr>
          <w:rFonts w:ascii="Times New Roman" w:hAnsi="Times New Roman" w:cs="Times New Roman"/>
          <w:color w:val="0000FF"/>
        </w:rPr>
        <w:t>Gourio</w:t>
      </w:r>
      <w:proofErr w:type="spellEnd"/>
      <w:r w:rsidR="00EF7188" w:rsidRPr="00C10E55">
        <w:rPr>
          <w:rFonts w:ascii="Times New Roman" w:hAnsi="Times New Roman" w:cs="Times New Roman"/>
          <w:color w:val="0000FF"/>
        </w:rPr>
        <w:t xml:space="preserve"> and Ngo (2020) and Li et al. (2022) </w:t>
      </w:r>
      <w:r w:rsidR="00340704" w:rsidRPr="00C10E55">
        <w:rPr>
          <w:rFonts w:ascii="Times New Roman" w:hAnsi="Times New Roman" w:cs="Times New Roman"/>
          <w:color w:val="0000FF"/>
        </w:rPr>
        <w:t xml:space="preserve">model changes in monetary </w:t>
      </w:r>
      <w:r w:rsidR="00AB0CFA" w:rsidRPr="00C10E55">
        <w:rPr>
          <w:rFonts w:ascii="Times New Roman" w:hAnsi="Times New Roman" w:cs="Times New Roman"/>
          <w:color w:val="0000FF"/>
        </w:rPr>
        <w:t xml:space="preserve">and/or fiscal </w:t>
      </w:r>
      <w:r w:rsidR="00340704" w:rsidRPr="00C10E55">
        <w:rPr>
          <w:rFonts w:ascii="Times New Roman" w:hAnsi="Times New Roman" w:cs="Times New Roman"/>
          <w:color w:val="0000FF"/>
        </w:rPr>
        <w:t xml:space="preserve">policy but do not </w:t>
      </w:r>
      <w:r w:rsidR="006B4B24" w:rsidRPr="00C10E55">
        <w:rPr>
          <w:rFonts w:ascii="Times New Roman" w:hAnsi="Times New Roman" w:cs="Times New Roman"/>
          <w:color w:val="0000FF"/>
        </w:rPr>
        <w:t>incorporate</w:t>
      </w:r>
      <w:r w:rsidR="00340704" w:rsidRPr="00C10E55">
        <w:rPr>
          <w:rFonts w:ascii="Times New Roman" w:hAnsi="Times New Roman" w:cs="Times New Roman"/>
          <w:color w:val="0000FF"/>
        </w:rPr>
        <w:t xml:space="preserve"> changes in the composition of macroeconomic shocks. </w:t>
      </w:r>
      <w:r w:rsidR="00AA4EDE" w:rsidRPr="00C10E55">
        <w:rPr>
          <w:rFonts w:ascii="Times New Roman" w:hAnsi="Times New Roman" w:cs="Times New Roman"/>
          <w:color w:val="0000FF"/>
        </w:rPr>
        <w:t>Those</w:t>
      </w:r>
      <w:r w:rsidR="00340704" w:rsidRPr="00C10E55">
        <w:rPr>
          <w:rFonts w:ascii="Times New Roman" w:hAnsi="Times New Roman" w:cs="Times New Roman"/>
          <w:color w:val="0000FF"/>
        </w:rPr>
        <w:t xml:space="preserve"> latter two </w:t>
      </w:r>
      <w:r w:rsidR="00AB0CFA" w:rsidRPr="00C10E55">
        <w:rPr>
          <w:rFonts w:ascii="Times New Roman" w:hAnsi="Times New Roman" w:cs="Times New Roman"/>
          <w:color w:val="0000FF"/>
        </w:rPr>
        <w:t>models</w:t>
      </w:r>
      <w:r w:rsidR="00340704"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also </w:t>
      </w:r>
      <w:r w:rsidR="00EF7188" w:rsidRPr="00C10E55">
        <w:rPr>
          <w:rFonts w:ascii="Times New Roman" w:hAnsi="Times New Roman" w:cs="Times New Roman"/>
          <w:color w:val="0000FF"/>
        </w:rPr>
        <w:t xml:space="preserve">acknowledge their limitations as models of asset prices, </w:t>
      </w:r>
      <w:r w:rsidR="006C7784" w:rsidRPr="00C10E55">
        <w:rPr>
          <w:rFonts w:ascii="Times New Roman" w:hAnsi="Times New Roman" w:cs="Times New Roman"/>
          <w:color w:val="0000FF"/>
        </w:rPr>
        <w:t>with</w:t>
      </w:r>
      <w:r w:rsidR="00EF7188" w:rsidRPr="00C10E55">
        <w:rPr>
          <w:rFonts w:ascii="Times New Roman" w:hAnsi="Times New Roman" w:cs="Times New Roman"/>
          <w:color w:val="0000FF"/>
        </w:rPr>
        <w:t xml:space="preserve"> basic moments such as the equity premium and equity return volatility either not reported or deviat</w:t>
      </w:r>
      <w:r w:rsidR="006C7784" w:rsidRPr="00C10E55">
        <w:rPr>
          <w:rFonts w:ascii="Times New Roman" w:hAnsi="Times New Roman" w:cs="Times New Roman"/>
          <w:color w:val="0000FF"/>
        </w:rPr>
        <w:t>ing</w:t>
      </w:r>
      <w:r w:rsidR="00EF7188" w:rsidRPr="00C10E55">
        <w:rPr>
          <w:rFonts w:ascii="Times New Roman" w:hAnsi="Times New Roman" w:cs="Times New Roman"/>
          <w:color w:val="0000FF"/>
        </w:rPr>
        <w:t xml:space="preserve"> substantially from the data. </w:t>
      </w:r>
      <w:r w:rsidR="00AB0CFA" w:rsidRPr="00C10E55">
        <w:rPr>
          <w:rFonts w:ascii="Times New Roman" w:hAnsi="Times New Roman" w:cs="Times New Roman"/>
          <w:color w:val="0000FF"/>
        </w:rPr>
        <w:t xml:space="preserve">Finally, </w:t>
      </w:r>
      <w:proofErr w:type="spellStart"/>
      <w:r w:rsidR="00AB0CFA" w:rsidRPr="00C10E55">
        <w:rPr>
          <w:rFonts w:ascii="Times New Roman" w:hAnsi="Times New Roman" w:cs="Times New Roman"/>
          <w:color w:val="0000FF"/>
        </w:rPr>
        <w:t>Gourio</w:t>
      </w:r>
      <w:proofErr w:type="spellEnd"/>
      <w:r w:rsidR="00AB0CFA" w:rsidRPr="00C10E55">
        <w:rPr>
          <w:rFonts w:ascii="Times New Roman" w:hAnsi="Times New Roman" w:cs="Times New Roman"/>
          <w:color w:val="0000FF"/>
        </w:rPr>
        <w:t xml:space="preserve"> and Ngo (2022) consider a model where bond-stock comovements are closely linked to </w:t>
      </w:r>
      <w:r w:rsidR="00B3630A" w:rsidRPr="00C10E55">
        <w:rPr>
          <w:rFonts w:ascii="Times New Roman" w:hAnsi="Times New Roman" w:cs="Times New Roman"/>
          <w:color w:val="0000FF"/>
        </w:rPr>
        <w:t xml:space="preserve">the level of </w:t>
      </w:r>
      <w:r w:rsidR="00AB0CFA" w:rsidRPr="00C10E55">
        <w:rPr>
          <w:rFonts w:ascii="Times New Roman" w:hAnsi="Times New Roman" w:cs="Times New Roman"/>
          <w:color w:val="0000FF"/>
        </w:rPr>
        <w:t xml:space="preserve">inflation, </w:t>
      </w:r>
      <w:r w:rsidR="00B3630A" w:rsidRPr="00C10E55">
        <w:rPr>
          <w:rFonts w:ascii="Times New Roman" w:hAnsi="Times New Roman" w:cs="Times New Roman"/>
          <w:color w:val="0000FF"/>
        </w:rPr>
        <w:t xml:space="preserve">assuming </w:t>
      </w:r>
      <w:r w:rsidR="00AA4EDE" w:rsidRPr="00C10E55">
        <w:rPr>
          <w:rFonts w:ascii="Times New Roman" w:hAnsi="Times New Roman" w:cs="Times New Roman"/>
          <w:color w:val="0000FF"/>
        </w:rPr>
        <w:t xml:space="preserve">a constant volatility of technology shocks and no other shocks. Because of the close link between the level of inflation and bond-stock comovements in </w:t>
      </w:r>
      <w:proofErr w:type="spellStart"/>
      <w:r w:rsidR="00B3630A" w:rsidRPr="00C10E55">
        <w:rPr>
          <w:rFonts w:ascii="Times New Roman" w:hAnsi="Times New Roman" w:cs="Times New Roman"/>
          <w:color w:val="0000FF"/>
        </w:rPr>
        <w:t>Gourio</w:t>
      </w:r>
      <w:proofErr w:type="spellEnd"/>
      <w:r w:rsidR="00B3630A" w:rsidRPr="00C10E55">
        <w:rPr>
          <w:rFonts w:ascii="Times New Roman" w:hAnsi="Times New Roman" w:cs="Times New Roman"/>
          <w:color w:val="0000FF"/>
        </w:rPr>
        <w:t xml:space="preserve"> and Ngo (2022)</w:t>
      </w:r>
      <w:r w:rsidR="00AA4EDE" w:rsidRPr="00C10E55">
        <w:rPr>
          <w:rFonts w:ascii="Times New Roman" w:hAnsi="Times New Roman" w:cs="Times New Roman"/>
          <w:color w:val="0000FF"/>
        </w:rPr>
        <w:t xml:space="preserve">, </w:t>
      </w:r>
      <w:r w:rsidR="00B3630A" w:rsidRPr="00C10E55">
        <w:rPr>
          <w:rFonts w:ascii="Times New Roman" w:hAnsi="Times New Roman" w:cs="Times New Roman"/>
          <w:color w:val="0000FF"/>
        </w:rPr>
        <w:t xml:space="preserve">their model </w:t>
      </w:r>
      <w:r w:rsidR="00AA4EDE" w:rsidRPr="00C10E55">
        <w:rPr>
          <w:rFonts w:ascii="Times New Roman" w:hAnsi="Times New Roman" w:cs="Times New Roman"/>
          <w:color w:val="0000FF"/>
        </w:rPr>
        <w:t>is</w:t>
      </w:r>
      <w:r w:rsidR="00AB0CFA" w:rsidRPr="00C10E55">
        <w:rPr>
          <w:rFonts w:ascii="Times New Roman" w:hAnsi="Times New Roman" w:cs="Times New Roman"/>
          <w:color w:val="0000FF"/>
        </w:rPr>
        <w:t xml:space="preserve"> not suited to understanding the key empirical finding in this paper, namely </w:t>
      </w:r>
      <w:r w:rsidR="00AA4EDE" w:rsidRPr="00C10E55">
        <w:rPr>
          <w:rFonts w:ascii="Times New Roman" w:hAnsi="Times New Roman" w:cs="Times New Roman"/>
          <w:color w:val="0000FF"/>
        </w:rPr>
        <w:t>that</w:t>
      </w:r>
      <w:r w:rsidR="00AB0CFA"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during 2021 </w:t>
      </w:r>
      <w:r w:rsidR="00AB0CFA" w:rsidRPr="00C10E55">
        <w:rPr>
          <w:rFonts w:ascii="Times New Roman" w:hAnsi="Times New Roman" w:cs="Times New Roman"/>
          <w:color w:val="0000FF"/>
        </w:rPr>
        <w:t xml:space="preserve">bond-stock betas remained negative even as inflation rose </w:t>
      </w:r>
      <w:r w:rsidR="00AA4EDE" w:rsidRPr="00C10E55">
        <w:rPr>
          <w:rFonts w:ascii="Times New Roman" w:hAnsi="Times New Roman" w:cs="Times New Roman"/>
          <w:color w:val="0000FF"/>
        </w:rPr>
        <w:t xml:space="preserve">to levels not seen in 40 years. </w:t>
      </w:r>
      <w:r w:rsidR="000528D6" w:rsidRPr="00C10E55">
        <w:rPr>
          <w:rFonts w:ascii="Times New Roman" w:hAnsi="Times New Roman" w:cs="Times New Roman"/>
          <w:color w:val="0000FF"/>
        </w:rPr>
        <w:t xml:space="preserve">Hence, different from the current manuscript, none of these previous papers </w:t>
      </w:r>
      <w:r>
        <w:rPr>
          <w:rFonts w:ascii="Times New Roman" w:hAnsi="Times New Roman" w:cs="Times New Roman"/>
          <w:color w:val="0000FF"/>
        </w:rPr>
        <w:t>are sufficient to reach</w:t>
      </w:r>
      <w:r w:rsidR="00F05343">
        <w:rPr>
          <w:rFonts w:ascii="Times New Roman" w:hAnsi="Times New Roman" w:cs="Times New Roman"/>
          <w:color w:val="0000FF"/>
        </w:rPr>
        <w:t xml:space="preserve"> th</w:t>
      </w:r>
      <w:r>
        <w:rPr>
          <w:rFonts w:ascii="Times New Roman" w:hAnsi="Times New Roman" w:cs="Times New Roman"/>
          <w:color w:val="0000FF"/>
        </w:rPr>
        <w:t xml:space="preserve">e conclusion in this paper, </w:t>
      </w:r>
      <w:r w:rsidR="00F05343">
        <w:rPr>
          <w:rFonts w:ascii="Times New Roman" w:hAnsi="Times New Roman" w:cs="Times New Roman"/>
          <w:color w:val="0000FF"/>
        </w:rPr>
        <w:t xml:space="preserve">namely </w:t>
      </w:r>
      <w:r>
        <w:rPr>
          <w:rFonts w:ascii="Times New Roman" w:hAnsi="Times New Roman" w:cs="Times New Roman"/>
          <w:color w:val="0000FF"/>
        </w:rPr>
        <w:t xml:space="preserve">that supply shocks and an inflation-centric monetary policy rule interact </w:t>
      </w:r>
      <w:r w:rsidR="00F05343">
        <w:rPr>
          <w:rFonts w:ascii="Times New Roman" w:hAnsi="Times New Roman" w:cs="Times New Roman"/>
          <w:color w:val="0000FF"/>
        </w:rPr>
        <w:t xml:space="preserve">and are both necessary to </w:t>
      </w:r>
      <w:r>
        <w:rPr>
          <w:rFonts w:ascii="Times New Roman" w:hAnsi="Times New Roman" w:cs="Times New Roman"/>
          <w:color w:val="0000FF"/>
        </w:rPr>
        <w:t xml:space="preserve">make nominal bonds risky. </w:t>
      </w:r>
    </w:p>
    <w:p w14:paraId="344BD82C" w14:textId="77777777" w:rsidR="00F761D5" w:rsidRPr="00C9732B" w:rsidRDefault="00F761D5" w:rsidP="00C9732B">
      <w:pPr>
        <w:widowControl w:val="0"/>
        <w:autoSpaceDE w:val="0"/>
        <w:autoSpaceDN w:val="0"/>
        <w:adjustRightInd w:val="0"/>
        <w:spacing w:after="0" w:line="240" w:lineRule="auto"/>
        <w:rPr>
          <w:rFonts w:ascii="Times New Roman" w:hAnsi="Times New Roman" w:cs="Times New Roman"/>
          <w:color w:val="0000FF"/>
        </w:rPr>
      </w:pPr>
    </w:p>
    <w:p w14:paraId="5153DFD9" w14:textId="190E78BB" w:rsidR="009E10F4"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F761D5">
        <w:rPr>
          <w:rFonts w:ascii="Times New Roman" w:hAnsi="Times New Roman" w:cs="Times New Roman"/>
        </w:rPr>
        <w:t xml:space="preserve">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w:t>
      </w:r>
      <w:r w:rsidRPr="00F761D5">
        <w:rPr>
          <w:rFonts w:ascii="Times New Roman" w:hAnsi="Times New Roman" w:cs="Times New Roman"/>
        </w:rPr>
        <w:lastRenderedPageBreak/>
        <w:t>latter (e.g., by introducing an additional shock to break the connection between the two inflation processes) and acknowledge some limitations in the modeling approaches.</w:t>
      </w:r>
    </w:p>
    <w:p w14:paraId="5553FD52" w14:textId="4CF9723D" w:rsidR="007B31A8" w:rsidRDefault="00F761D5"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007B31A8">
        <w:rPr>
          <w:rFonts w:ascii="Times New Roman" w:hAnsi="Times New Roman" w:cs="Times New Roman"/>
          <w:b/>
          <w:color w:val="0000FF"/>
        </w:rPr>
        <w:t xml:space="preserve"> </w:t>
      </w:r>
      <w:r w:rsidR="007B31A8">
        <w:rPr>
          <w:rFonts w:ascii="Times New Roman" w:hAnsi="Times New Roman" w:cs="Times New Roman"/>
          <w:bCs/>
          <w:color w:val="0000FF"/>
        </w:rPr>
        <w:t>T</w:t>
      </w:r>
      <w:r w:rsidR="007B31A8">
        <w:rPr>
          <w:rFonts w:ascii="Times New Roman" w:hAnsi="Times New Roman" w:cs="Times New Roman"/>
          <w:color w:val="0000FF"/>
        </w:rPr>
        <w:t xml:space="preserve">he revised manuscript now clearly acknowledges the limitations of the Taylor rule as a model of monetary policy. While a monetary policy rule is a standard feature of many models of monetary policy, in practice monetary policy clearly also contains a discretionary component as captured by the monetary policy shock in equation (24) of the revised manuscript. This is now discussed at the </w:t>
      </w:r>
      <w:r w:rsidR="007B31A8" w:rsidRPr="00552B46">
        <w:rPr>
          <w:rFonts w:ascii="Times New Roman" w:hAnsi="Times New Roman" w:cs="Times New Roman"/>
          <w:b/>
          <w:bCs/>
          <w:color w:val="0000FF"/>
        </w:rPr>
        <w:t>top of p.1</w:t>
      </w:r>
      <w:r w:rsidR="005F3896">
        <w:rPr>
          <w:rFonts w:ascii="Times New Roman" w:hAnsi="Times New Roman" w:cs="Times New Roman"/>
          <w:b/>
          <w:bCs/>
          <w:color w:val="0000FF"/>
        </w:rPr>
        <w:t>3</w:t>
      </w:r>
      <w:r w:rsidR="007B31A8" w:rsidRPr="00552B46">
        <w:rPr>
          <w:rFonts w:ascii="Times New Roman" w:hAnsi="Times New Roman" w:cs="Times New Roman"/>
          <w:b/>
          <w:bCs/>
          <w:color w:val="0000FF"/>
        </w:rPr>
        <w:t xml:space="preserve"> in the paragraph starting “While there is an active debate to what extent monetary policy can be described by rules versus discretion </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7B31A8">
        <w:rPr>
          <w:rFonts w:ascii="Times New Roman" w:hAnsi="Times New Roman" w:cs="Times New Roman"/>
          <w:color w:val="0000FF"/>
        </w:rPr>
        <w:t>.</w:t>
      </w:r>
    </w:p>
    <w:p w14:paraId="75D7AB9E" w14:textId="7A8A7D4E" w:rsidR="00A7749E" w:rsidRDefault="00C37257"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To address the issue of richer wage-price inflation dynamics</w:t>
      </w:r>
      <w:r w:rsidR="007E23C9">
        <w:rPr>
          <w:rFonts w:ascii="Times New Roman" w:hAnsi="Times New Roman" w:cs="Times New Roman"/>
          <w:color w:val="0000FF"/>
        </w:rPr>
        <w:t xml:space="preserve">, the </w:t>
      </w:r>
      <w:r w:rsidR="007E23C9" w:rsidRPr="007E23C9">
        <w:rPr>
          <w:rFonts w:ascii="Times New Roman" w:hAnsi="Times New Roman" w:cs="Times New Roman"/>
          <w:b/>
          <w:bCs/>
          <w:color w:val="0000FF"/>
        </w:rPr>
        <w:t xml:space="preserve">new Appendix Section </w:t>
      </w:r>
      <w:r w:rsidR="00725556">
        <w:rPr>
          <w:rFonts w:ascii="Times New Roman" w:hAnsi="Times New Roman" w:cs="Times New Roman"/>
          <w:b/>
          <w:bCs/>
          <w:color w:val="0000FF"/>
        </w:rPr>
        <w:t>G</w:t>
      </w:r>
      <w:r w:rsidR="007E23C9">
        <w:rPr>
          <w:rFonts w:ascii="Times New Roman" w:hAnsi="Times New Roman" w:cs="Times New Roman"/>
          <w:color w:val="0000FF"/>
        </w:rPr>
        <w:t xml:space="preserve"> </w:t>
      </w:r>
      <w:r w:rsidRPr="00C37257">
        <w:rPr>
          <w:rFonts w:ascii="Times New Roman" w:hAnsi="Times New Roman" w:cs="Times New Roman"/>
          <w:b/>
          <w:bCs/>
          <w:color w:val="0000FF"/>
        </w:rPr>
        <w:t>(online Appendix pp. 4</w:t>
      </w:r>
      <w:r w:rsidR="0038483C">
        <w:rPr>
          <w:rFonts w:ascii="Times New Roman" w:hAnsi="Times New Roman" w:cs="Times New Roman"/>
          <w:b/>
          <w:bCs/>
          <w:color w:val="0000FF"/>
        </w:rPr>
        <w:t>6</w:t>
      </w:r>
      <w:r w:rsidRPr="00C37257">
        <w:rPr>
          <w:rFonts w:ascii="Times New Roman" w:hAnsi="Times New Roman" w:cs="Times New Roman"/>
          <w:b/>
          <w:bCs/>
          <w:color w:val="0000FF"/>
        </w:rPr>
        <w:t>-</w:t>
      </w:r>
      <w:r w:rsidR="0038483C">
        <w:rPr>
          <w:rFonts w:ascii="Times New Roman" w:hAnsi="Times New Roman" w:cs="Times New Roman"/>
          <w:b/>
          <w:bCs/>
          <w:color w:val="0000FF"/>
        </w:rPr>
        <w:t>50</w:t>
      </w:r>
      <w:r w:rsidRPr="00C37257">
        <w:rPr>
          <w:rFonts w:ascii="Times New Roman" w:hAnsi="Times New Roman" w:cs="Times New Roman"/>
          <w:b/>
          <w:bCs/>
          <w:color w:val="0000FF"/>
        </w:rPr>
        <w:t>)</w:t>
      </w:r>
      <w:r>
        <w:rPr>
          <w:rFonts w:ascii="Times New Roman" w:hAnsi="Times New Roman" w:cs="Times New Roman"/>
          <w:color w:val="0000FF"/>
        </w:rPr>
        <w:t xml:space="preserve"> </w:t>
      </w:r>
      <w:r w:rsidR="0038483C">
        <w:rPr>
          <w:rFonts w:ascii="Times New Roman" w:hAnsi="Times New Roman" w:cs="Times New Roman"/>
          <w:color w:val="0000FF"/>
        </w:rPr>
        <w:t>shows</w:t>
      </w:r>
      <w:r w:rsidR="00AA73BC">
        <w:rPr>
          <w:rFonts w:ascii="Times New Roman" w:hAnsi="Times New Roman" w:cs="Times New Roman"/>
          <w:color w:val="0000FF"/>
        </w:rPr>
        <w:t xml:space="preserve"> results for </w:t>
      </w:r>
      <w:r>
        <w:rPr>
          <w:rFonts w:ascii="Times New Roman" w:hAnsi="Times New Roman" w:cs="Times New Roman"/>
          <w:color w:val="0000FF"/>
        </w:rPr>
        <w:t>a model extension</w:t>
      </w:r>
      <w:r w:rsidR="007E23C9">
        <w:rPr>
          <w:rFonts w:ascii="Times New Roman" w:hAnsi="Times New Roman" w:cs="Times New Roman"/>
          <w:color w:val="0000FF"/>
        </w:rPr>
        <w:t xml:space="preserve"> with richer price-wage dynamics</w:t>
      </w:r>
      <w:r w:rsidR="0038483C">
        <w:rPr>
          <w:rFonts w:ascii="Times New Roman" w:hAnsi="Times New Roman" w:cs="Times New Roman"/>
          <w:color w:val="0000FF"/>
        </w:rPr>
        <w:t>.</w:t>
      </w:r>
      <w:r w:rsidR="007E23C9">
        <w:rPr>
          <w:rFonts w:ascii="Times New Roman" w:hAnsi="Times New Roman" w:cs="Times New Roman"/>
          <w:color w:val="0000FF"/>
        </w:rPr>
        <w:t xml:space="preserve"> </w:t>
      </w:r>
      <w:r w:rsidR="00725556">
        <w:rPr>
          <w:rFonts w:ascii="Times New Roman" w:hAnsi="Times New Roman" w:cs="Times New Roman"/>
          <w:color w:val="0000FF"/>
        </w:rPr>
        <w:t xml:space="preserve">This new appendix section first solves the model with richer price-wage dynamics and then </w:t>
      </w:r>
      <w:r w:rsidR="00487ADA">
        <w:rPr>
          <w:rFonts w:ascii="Times New Roman" w:hAnsi="Times New Roman" w:cs="Times New Roman"/>
          <w:color w:val="0000FF"/>
        </w:rPr>
        <w:t>re-</w:t>
      </w:r>
      <w:r w:rsidR="00AA73BC">
        <w:rPr>
          <w:rFonts w:ascii="Times New Roman" w:hAnsi="Times New Roman" w:cs="Times New Roman"/>
          <w:color w:val="0000FF"/>
        </w:rPr>
        <w:t xml:space="preserve">produces </w:t>
      </w:r>
      <w:r w:rsidR="00487ADA">
        <w:rPr>
          <w:rFonts w:ascii="Times New Roman" w:hAnsi="Times New Roman" w:cs="Times New Roman"/>
          <w:color w:val="0000FF"/>
        </w:rPr>
        <w:t xml:space="preserve">the paper’s main </w:t>
      </w:r>
      <w:r w:rsidR="00AA73BC">
        <w:rPr>
          <w:rFonts w:ascii="Times New Roman" w:hAnsi="Times New Roman" w:cs="Times New Roman"/>
          <w:color w:val="0000FF"/>
        </w:rPr>
        <w:t xml:space="preserve">results analogous to </w:t>
      </w:r>
      <w:r w:rsidR="00725556">
        <w:rPr>
          <w:rFonts w:ascii="Times New Roman" w:hAnsi="Times New Roman" w:cs="Times New Roman"/>
          <w:color w:val="0000FF"/>
        </w:rPr>
        <w:t>Table 2 and Figure 4</w:t>
      </w:r>
      <w:r w:rsidR="00487ADA">
        <w:rPr>
          <w:rFonts w:ascii="Times New Roman" w:hAnsi="Times New Roman" w:cs="Times New Roman"/>
          <w:color w:val="0000FF"/>
        </w:rPr>
        <w:t xml:space="preserve">. </w:t>
      </w:r>
      <w:r w:rsidR="00A7749E">
        <w:rPr>
          <w:rFonts w:ascii="Times New Roman" w:hAnsi="Times New Roman" w:cs="Times New Roman"/>
          <w:color w:val="0000FF"/>
        </w:rPr>
        <w:t xml:space="preserve">The version of Figure 4 with a richer price-wage dynamics is reproduced below for your convenience </w:t>
      </w:r>
      <w:r w:rsidR="00A7749E" w:rsidRPr="00A7749E">
        <w:rPr>
          <w:rFonts w:ascii="Times New Roman" w:hAnsi="Times New Roman" w:cs="Times New Roman"/>
          <w:b/>
          <w:bCs/>
          <w:color w:val="0000FF"/>
        </w:rPr>
        <w:t>(Appendix Figure A</w:t>
      </w:r>
      <w:r w:rsidR="00F63758">
        <w:rPr>
          <w:rFonts w:ascii="Times New Roman" w:hAnsi="Times New Roman" w:cs="Times New Roman"/>
          <w:b/>
          <w:bCs/>
          <w:color w:val="0000FF"/>
        </w:rPr>
        <w:t>9</w:t>
      </w:r>
      <w:r w:rsidR="00A7749E" w:rsidRPr="00A7749E">
        <w:rPr>
          <w:rFonts w:ascii="Times New Roman" w:hAnsi="Times New Roman" w:cs="Times New Roman"/>
          <w:b/>
          <w:bCs/>
          <w:color w:val="0000FF"/>
        </w:rPr>
        <w:t>)</w:t>
      </w:r>
      <w:r w:rsidR="00A7749E">
        <w:rPr>
          <w:rFonts w:ascii="Times New Roman" w:hAnsi="Times New Roman" w:cs="Times New Roman"/>
          <w:color w:val="0000FF"/>
        </w:rPr>
        <w:t xml:space="preserve">. </w:t>
      </w:r>
    </w:p>
    <w:p w14:paraId="44076965" w14:textId="4DF93527" w:rsidR="00487ADA" w:rsidRDefault="00487ADA"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F63758">
        <w:rPr>
          <w:rFonts w:ascii="Times New Roman" w:hAnsi="Times New Roman" w:cs="Times New Roman"/>
          <w:b/>
          <w:bCs/>
          <w:color w:val="0000FF"/>
        </w:rPr>
        <w:t>9</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sidR="003C5071">
        <w:rPr>
          <w:rFonts w:ascii="Times New Roman" w:hAnsi="Times New Roman" w:cs="Times New Roman"/>
          <w:b/>
          <w:bCs/>
          <w:color w:val="0000FF"/>
        </w:rPr>
        <w:t>2</w:t>
      </w:r>
      <w:r>
        <w:rPr>
          <w:rFonts w:ascii="Times New Roman" w:hAnsi="Times New Roman" w:cs="Times New Roman"/>
          <w:color w:val="0000FF"/>
        </w:rPr>
        <w:t xml:space="preserve"> in the paper.</w:t>
      </w:r>
    </w:p>
    <w:p w14:paraId="4E9C8377"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0DEF1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0062ED1"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1E0516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9E9B10A"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7866DF"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3CC9A5"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47513D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48879D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DE2CFE"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2FEB86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73D9808"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580867B"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28A47BC" w14:textId="60702850" w:rsidR="00A7749E" w:rsidRDefault="00A7749E" w:rsidP="00A7749E">
      <w:pPr>
        <w:widowControl w:val="0"/>
        <w:autoSpaceDE w:val="0"/>
        <w:autoSpaceDN w:val="0"/>
        <w:adjustRightInd w:val="0"/>
        <w:spacing w:before="240" w:after="0" w:line="240" w:lineRule="auto"/>
        <w:ind w:left="360"/>
        <w:jc w:val="center"/>
        <w:rPr>
          <w:rFonts w:ascii="Times New Roman" w:hAnsi="Times New Roman" w:cs="Times New Roman"/>
          <w:color w:val="0000FF"/>
        </w:rPr>
      </w:pPr>
      <w:r w:rsidRPr="00A7749E">
        <w:rPr>
          <w:rFonts w:ascii="Times New Roman" w:hAnsi="Times New Roman" w:cs="Times New Roman"/>
          <w:b/>
          <w:bCs/>
        </w:rPr>
        <w:t>Figure A</w:t>
      </w:r>
      <w:r w:rsidR="00997C36">
        <w:rPr>
          <w:rFonts w:ascii="Times New Roman" w:hAnsi="Times New Roman" w:cs="Times New Roman"/>
          <w:b/>
          <w:bCs/>
        </w:rPr>
        <w:t>9</w:t>
      </w:r>
      <w:r w:rsidRPr="00A7749E">
        <w:rPr>
          <w:rFonts w:ascii="Times New Roman" w:hAnsi="Times New Roman" w:cs="Times New Roman"/>
          <w:b/>
          <w:bCs/>
        </w:rPr>
        <w:t>: Counterfactual Bond-Stock Betas with Richer Price-Wage Dynamics</w:t>
      </w:r>
      <w:r w:rsidR="00997C36" w:rsidRPr="00997C36">
        <w:t xml:space="preserve"> </w:t>
      </w:r>
      <w:r w:rsidR="00997C36">
        <w:rPr>
          <w:noProof/>
        </w:rPr>
        <w:drawing>
          <wp:inline distT="0" distB="0" distL="0" distR="0" wp14:anchorId="0A8BA471" wp14:editId="6A6FEB16">
            <wp:extent cx="5241102" cy="7106285"/>
            <wp:effectExtent l="0" t="0" r="0" b="0"/>
            <wp:docPr id="187384059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0590" name="Picture 2"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063" cy="7111656"/>
                    </a:xfrm>
                    <a:prstGeom prst="rect">
                      <a:avLst/>
                    </a:prstGeom>
                    <a:noFill/>
                    <a:ln>
                      <a:noFill/>
                    </a:ln>
                  </pic:spPr>
                </pic:pic>
              </a:graphicData>
            </a:graphic>
          </wp:inline>
        </w:drawing>
      </w:r>
    </w:p>
    <w:p w14:paraId="77524682" w14:textId="77777777" w:rsidR="00F761D5" w:rsidRPr="001E20F4" w:rsidRDefault="00F761D5" w:rsidP="001E20F4">
      <w:pPr>
        <w:widowControl w:val="0"/>
        <w:autoSpaceDE w:val="0"/>
        <w:autoSpaceDN w:val="0"/>
        <w:adjustRightInd w:val="0"/>
        <w:spacing w:after="0" w:line="240" w:lineRule="auto"/>
        <w:rPr>
          <w:rFonts w:ascii="Times New Roman" w:hAnsi="Times New Roman" w:cs="Times New Roman"/>
        </w:rPr>
      </w:pPr>
    </w:p>
    <w:p w14:paraId="4A46929D"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365C4A9C"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5CBBD941"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05C10617" w14:textId="77777777" w:rsid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1EA64F8" w14:textId="77777777" w:rsidR="003C5071" w:rsidRP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9BF5B88" w14:textId="591361FE" w:rsidR="009E10F4" w:rsidRPr="003C5071" w:rsidRDefault="009E10F4" w:rsidP="003C5071">
      <w:pPr>
        <w:pStyle w:val="ListParagraph"/>
        <w:widowControl w:val="0"/>
        <w:numPr>
          <w:ilvl w:val="0"/>
          <w:numId w:val="18"/>
        </w:numPr>
        <w:autoSpaceDE w:val="0"/>
        <w:autoSpaceDN w:val="0"/>
        <w:adjustRightInd w:val="0"/>
        <w:spacing w:after="0" w:line="240" w:lineRule="auto"/>
        <w:ind w:left="360" w:hanging="720"/>
        <w:jc w:val="both"/>
        <w:rPr>
          <w:rFonts w:ascii="Times New Roman" w:hAnsi="Times New Roman" w:cs="Times New Roman"/>
        </w:rPr>
      </w:pPr>
      <w:r w:rsidRPr="003C5071">
        <w:rPr>
          <w:rFonts w:ascii="Times New Roman" w:hAnsi="Times New Roman" w:cs="Times New Roman"/>
        </w:rPr>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Pr="00C10E55"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 xml:space="preserve">Calculate the necessary changes in parameters to replicate the stock betas from the </w:t>
      </w:r>
      <w:r w:rsidRPr="002A387A">
        <w:rPr>
          <w:rFonts w:ascii="Times New Roman" w:hAnsi="Times New Roman" w:cs="Times New Roman"/>
        </w:rPr>
        <w:t>first half of the sample in the second half. For example, is there a degree of MP inertia that would make the betas as big as they were in the first half of the sample? How much bigger should the volatilities of the shocks be to engineer the same betas?</w:t>
      </w:r>
    </w:p>
    <w:p w14:paraId="549167FC" w14:textId="77777777" w:rsidR="00F761D5" w:rsidRPr="00C10E55" w:rsidRDefault="00F761D5" w:rsidP="00F761D5">
      <w:pPr>
        <w:pStyle w:val="ListParagraph"/>
        <w:widowControl w:val="0"/>
        <w:autoSpaceDE w:val="0"/>
        <w:autoSpaceDN w:val="0"/>
        <w:adjustRightInd w:val="0"/>
        <w:spacing w:after="0" w:line="240" w:lineRule="auto"/>
        <w:ind w:left="2040"/>
        <w:jc w:val="both"/>
        <w:rPr>
          <w:rFonts w:ascii="Times New Roman" w:hAnsi="Times New Roman" w:cs="Times New Roman"/>
        </w:rPr>
      </w:pPr>
    </w:p>
    <w:p w14:paraId="2CF33843" w14:textId="65CF6814" w:rsidR="00F5180B" w:rsidRDefault="001302C0" w:rsidP="00F5180B">
      <w:pPr>
        <w:autoSpaceDE w:val="0"/>
        <w:autoSpaceDN w:val="0"/>
        <w:adjustRightInd w:val="0"/>
        <w:spacing w:after="0" w:line="240" w:lineRule="auto"/>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3C5071">
        <w:rPr>
          <w:rFonts w:ascii="Times New Roman" w:hAnsi="Times New Roman" w:cs="Times New Roman"/>
          <w:color w:val="0000FF"/>
        </w:rPr>
        <w:t xml:space="preserve">I have addressed the issue twofold. First, I followed your suggestion to calculate the necessary changes in parameters to explain the nominal bond-stock betas during the 1980s from the second subperiod calibration (see the </w:t>
      </w:r>
      <w:r w:rsidR="003C5071" w:rsidRPr="003C5071">
        <w:rPr>
          <w:rFonts w:ascii="Times New Roman" w:hAnsi="Times New Roman" w:cs="Times New Roman"/>
          <w:b/>
          <w:bCs/>
          <w:color w:val="0000FF"/>
        </w:rPr>
        <w:t>new Figure 8</w:t>
      </w:r>
      <w:r w:rsidR="003C5071">
        <w:rPr>
          <w:rFonts w:ascii="Times New Roman" w:hAnsi="Times New Roman" w:cs="Times New Roman"/>
          <w:color w:val="0000FF"/>
        </w:rPr>
        <w:t xml:space="preserve">). This new figure clearly shows that volatile supply shocks are required to explain risky nominal Treasury bonds observed during the 1980s. </w:t>
      </w:r>
      <w:r w:rsidR="00F5180B">
        <w:rPr>
          <w:rFonts w:ascii="Times New Roman" w:hAnsi="Times New Roman" w:cs="Times New Roman"/>
          <w:color w:val="0000FF"/>
        </w:rPr>
        <w:t xml:space="preserve">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For a detailed discussion of this figure see the </w:t>
      </w:r>
      <w:r w:rsidR="00F5180B" w:rsidRPr="00C2376C">
        <w:rPr>
          <w:rFonts w:ascii="Times New Roman" w:hAnsi="Times New Roman" w:cs="Times New Roman"/>
          <w:b/>
          <w:bCs/>
          <w:color w:val="0000FF"/>
        </w:rPr>
        <w:t>new Section 4.4</w:t>
      </w:r>
      <w:r w:rsidR="00F5180B">
        <w:rPr>
          <w:rFonts w:ascii="Times New Roman" w:hAnsi="Times New Roman" w:cs="Times New Roman"/>
          <w:color w:val="0000FF"/>
        </w:rPr>
        <w:t xml:space="preserve"> </w:t>
      </w:r>
      <w:r w:rsidR="00F5180B" w:rsidRPr="00C2376C">
        <w:rPr>
          <w:rFonts w:ascii="Times New Roman" w:hAnsi="Times New Roman" w:cs="Times New Roman"/>
          <w:b/>
          <w:bCs/>
          <w:color w:val="0000FF"/>
        </w:rPr>
        <w:t>(pp.3</w:t>
      </w:r>
      <w:r w:rsidR="00F5180B">
        <w:rPr>
          <w:rFonts w:ascii="Times New Roman" w:hAnsi="Times New Roman" w:cs="Times New Roman"/>
          <w:b/>
          <w:bCs/>
          <w:color w:val="0000FF"/>
        </w:rPr>
        <w:t>0</w:t>
      </w:r>
      <w:r w:rsidR="00F5180B" w:rsidRPr="00C2376C">
        <w:rPr>
          <w:rFonts w:ascii="Times New Roman" w:hAnsi="Times New Roman" w:cs="Times New Roman"/>
          <w:b/>
          <w:bCs/>
          <w:color w:val="0000FF"/>
        </w:rPr>
        <w:t>-3</w:t>
      </w:r>
      <w:r w:rsidR="00F5180B">
        <w:rPr>
          <w:rFonts w:ascii="Times New Roman" w:hAnsi="Times New Roman" w:cs="Times New Roman"/>
          <w:b/>
          <w:bCs/>
          <w:color w:val="0000FF"/>
        </w:rPr>
        <w:t>3</w:t>
      </w:r>
      <w:r w:rsidR="00F5180B" w:rsidRPr="00C2376C">
        <w:rPr>
          <w:rFonts w:ascii="Times New Roman" w:hAnsi="Times New Roman" w:cs="Times New Roman"/>
          <w:b/>
          <w:bCs/>
          <w:color w:val="0000FF"/>
        </w:rPr>
        <w:t>)</w:t>
      </w:r>
      <w:r w:rsidR="00F5180B">
        <w:rPr>
          <w:rFonts w:ascii="Times New Roman" w:hAnsi="Times New Roman" w:cs="Times New Roman"/>
          <w:color w:val="0000FF"/>
        </w:rPr>
        <w:t xml:space="preserve"> in the manuscript.</w:t>
      </w:r>
    </w:p>
    <w:p w14:paraId="09C23A4F"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B43A59D" w14:textId="71488B1E" w:rsidR="00F5180B" w:rsidRDefault="00F5180B" w:rsidP="00F5180B">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w:t>
      </w:r>
      <w:proofErr w:type="gramStart"/>
      <w:r>
        <w:rPr>
          <w:rFonts w:ascii="Times New Roman" w:hAnsi="Times New Roman" w:cs="Times New Roman"/>
          <w:color w:val="0000FF"/>
        </w:rPr>
        <w:t>In particular, it</w:t>
      </w:r>
      <w:proofErr w:type="gramEnd"/>
      <w:r>
        <w:rPr>
          <w:rFonts w:ascii="Times New Roman" w:hAnsi="Times New Roman" w:cs="Times New Roman"/>
          <w:color w:val="0000FF"/>
        </w:rPr>
        <w:t xml:space="preserve"> has been argued that </w:t>
      </w:r>
      <w:r w:rsidR="0080068B">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w:t>
      </w:r>
      <w:r w:rsidR="00781C70">
        <w:rPr>
          <w:rFonts w:ascii="Times New Roman" w:hAnsi="Times New Roman" w:cs="Times New Roman"/>
          <w:color w:val="0000FF"/>
        </w:rPr>
        <w:t xml:space="preserve">I added a brief discussion to the introduction explaining </w:t>
      </w:r>
      <w:r w:rsidR="005C3C2D">
        <w:rPr>
          <w:rFonts w:ascii="Times New Roman" w:hAnsi="Times New Roman" w:cs="Times New Roman"/>
          <w:color w:val="0000FF"/>
        </w:rPr>
        <w:t xml:space="preserve">why I calibrate the model to the 1980s rather than the 1970s </w:t>
      </w:r>
      <w:r w:rsidR="005C3C2D" w:rsidRPr="005C3C2D">
        <w:rPr>
          <w:rFonts w:ascii="Times New Roman" w:hAnsi="Times New Roman" w:cs="Times New Roman"/>
          <w:color w:val="0000FF"/>
        </w:rPr>
        <w:t>(</w:t>
      </w:r>
      <w:r w:rsidR="005C3C2D">
        <w:rPr>
          <w:rFonts w:ascii="Times New Roman" w:hAnsi="Times New Roman" w:cs="Times New Roman"/>
          <w:b/>
          <w:bCs/>
          <w:color w:val="0000FF"/>
        </w:rPr>
        <w:t xml:space="preserve">p3, </w:t>
      </w:r>
      <w:r w:rsidR="005C3C2D" w:rsidRPr="005C3C2D">
        <w:rPr>
          <w:rFonts w:ascii="Times New Roman" w:hAnsi="Times New Roman" w:cs="Times New Roman"/>
          <w:b/>
          <w:bCs/>
          <w:color w:val="0000FF"/>
        </w:rPr>
        <w:t>paragraph starting “The calibrated changes…”</w:t>
      </w:r>
      <w:r w:rsidR="005C3C2D">
        <w:rPr>
          <w:rFonts w:ascii="Times New Roman" w:hAnsi="Times New Roman" w:cs="Times New Roman"/>
          <w:color w:val="0000FF"/>
        </w:rPr>
        <w:t>).</w:t>
      </w:r>
    </w:p>
    <w:p w14:paraId="6D356BB9"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383316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647C969"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D76622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51F92C8"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A8A01FD"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693A8A3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F469F89"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3572836E"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0528EA1B" w14:textId="77777777" w:rsidR="00F5180B" w:rsidRPr="00911C0D" w:rsidRDefault="00F5180B" w:rsidP="00F5180B">
      <w:pPr>
        <w:autoSpaceDE w:val="0"/>
        <w:autoSpaceDN w:val="0"/>
        <w:adjustRightInd w:val="0"/>
        <w:spacing w:after="0" w:line="240" w:lineRule="auto"/>
        <w:jc w:val="center"/>
        <w:rPr>
          <w:b/>
          <w:bCs/>
        </w:rPr>
      </w:pPr>
      <w:r w:rsidRPr="00911C0D">
        <w:rPr>
          <w:rFonts w:ascii="Times New Roman" w:hAnsi="Times New Roman" w:cs="Times New Roman"/>
          <w:b/>
          <w:bCs/>
        </w:rPr>
        <w:t xml:space="preserve">Figure 8: </w:t>
      </w:r>
      <w:r w:rsidRPr="00911C0D">
        <w:rPr>
          <w:b/>
          <w:bCs/>
        </w:rPr>
        <w:t>Model Nominal Bond-Stock Beta vs. 1980s Bond-Stock Beta</w:t>
      </w:r>
    </w:p>
    <w:p w14:paraId="0DA9CACE" w14:textId="77777777" w:rsidR="00F5180B" w:rsidRPr="00911C0D" w:rsidRDefault="00F5180B" w:rsidP="00F5180B">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45D5EEC4"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3B35BC4E" w14:textId="77777777" w:rsidR="00F5180B" w:rsidRDefault="00F5180B" w:rsidP="00F5180B">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041A5229" wp14:editId="00CEB2B5">
            <wp:extent cx="5334000" cy="4000500"/>
            <wp:effectExtent l="0" t="0" r="0" b="0"/>
            <wp:docPr id="731501127"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D13E042" w14:textId="1785D3C8"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37D6C58" w14:textId="77777777"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56D61383" w14:textId="661D323F" w:rsidR="00713C40"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Second</w:t>
      </w:r>
      <w:r w:rsidR="00AD3567">
        <w:rPr>
          <w:rFonts w:ascii="Times New Roman" w:hAnsi="Times New Roman" w:cs="Times New Roman"/>
          <w:color w:val="0000FF"/>
        </w:rPr>
        <w:t>,</w:t>
      </w:r>
      <w:r w:rsidR="002348CC">
        <w:rPr>
          <w:rFonts w:ascii="Times New Roman" w:hAnsi="Times New Roman" w:cs="Times New Roman"/>
          <w:color w:val="0000FF"/>
        </w:rPr>
        <w:t xml:space="preserve"> the revised manuscript includes </w:t>
      </w:r>
      <w:r w:rsidR="00805549">
        <w:rPr>
          <w:rFonts w:ascii="Times New Roman" w:hAnsi="Times New Roman" w:cs="Times New Roman"/>
          <w:color w:val="0000FF"/>
        </w:rPr>
        <w:t xml:space="preserve">new anecdotes and references for examples of supply shocks during the 1980s and 1990s. It is important to keep in mind that in my model bond-stock betas depend on the volatility of supply shocks, but the sign of these shocks can be either positive or negative. </w:t>
      </w:r>
      <w:r w:rsidR="00713C40">
        <w:rPr>
          <w:rFonts w:ascii="Times New Roman" w:hAnsi="Times New Roman" w:cs="Times New Roman"/>
          <w:color w:val="0000FF"/>
        </w:rPr>
        <w:t>While the 1970s were a period of dramatic adverse supply shocks, the 1980s and 1990s featured substantial supply shocks that tended to be positive, such as in 1986 when Saudi Arabia more than doubled its own oil output leading to</w:t>
      </w:r>
      <w:r w:rsidR="00BB0E92">
        <w:rPr>
          <w:rFonts w:ascii="Times New Roman" w:hAnsi="Times New Roman" w:cs="Times New Roman"/>
          <w:color w:val="0000FF"/>
        </w:rPr>
        <w:t xml:space="preserve"> </w:t>
      </w:r>
      <w:r w:rsidR="00713C40">
        <w:rPr>
          <w:rFonts w:ascii="Times New Roman" w:hAnsi="Times New Roman" w:cs="Times New Roman"/>
          <w:color w:val="0000FF"/>
        </w:rPr>
        <w:t xml:space="preserve">a </w:t>
      </w:r>
      <w:r w:rsidR="00417DAB">
        <w:rPr>
          <w:rFonts w:ascii="Times New Roman" w:hAnsi="Times New Roman" w:cs="Times New Roman"/>
          <w:color w:val="0000FF"/>
        </w:rPr>
        <w:t>dramatic</w:t>
      </w:r>
      <w:r w:rsidR="00713C40">
        <w:rPr>
          <w:rFonts w:ascii="Times New Roman" w:hAnsi="Times New Roman" w:cs="Times New Roman"/>
          <w:color w:val="0000FF"/>
        </w:rPr>
        <w:t xml:space="preserve"> drop in oil prices</w:t>
      </w:r>
      <w:r w:rsidR="00915876">
        <w:rPr>
          <w:rFonts w:ascii="Times New Roman" w:hAnsi="Times New Roman" w:cs="Times New Roman"/>
          <w:color w:val="0000FF"/>
        </w:rPr>
        <w:t xml:space="preserve"> (Gately, 1986)</w:t>
      </w:r>
      <w:r w:rsidR="00713C40">
        <w:rPr>
          <w:rFonts w:ascii="Times New Roman" w:hAnsi="Times New Roman" w:cs="Times New Roman"/>
          <w:color w:val="0000FF"/>
        </w:rPr>
        <w:t xml:space="preserve">. These shocks were viewed as highly relevant for monetary policy during </w:t>
      </w:r>
      <w:r w:rsidR="00417DAB">
        <w:rPr>
          <w:rFonts w:ascii="Times New Roman" w:hAnsi="Times New Roman" w:cs="Times New Roman"/>
          <w:color w:val="0000FF"/>
        </w:rPr>
        <w:t>1980s and 1990s</w:t>
      </w:r>
      <w:r w:rsidR="00713C40">
        <w:rPr>
          <w:rFonts w:ascii="Times New Roman" w:hAnsi="Times New Roman" w:cs="Times New Roman"/>
          <w:color w:val="0000FF"/>
        </w:rPr>
        <w:t xml:space="preserve">, as illustrated by the following quote from Greg Mankiw in a </w:t>
      </w:r>
      <w:r w:rsidR="00713C40" w:rsidRPr="00A4499C">
        <w:rPr>
          <w:rFonts w:ascii="Times New Roman" w:hAnsi="Times New Roman" w:cs="Times New Roman"/>
          <w:color w:val="0000FF"/>
        </w:rPr>
        <w:t>Fortune</w:t>
      </w:r>
      <w:r w:rsidR="00713C40">
        <w:rPr>
          <w:rFonts w:ascii="Times New Roman" w:hAnsi="Times New Roman" w:cs="Times New Roman"/>
          <w:color w:val="0000FF"/>
        </w:rPr>
        <w:t xml:space="preserve"> article from December 1997: </w:t>
      </w:r>
    </w:p>
    <w:p w14:paraId="3324BB25" w14:textId="77777777" w:rsidR="00713C40" w:rsidRDefault="00713C40"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76FC039B" w14:textId="77777777" w:rsidR="00713C40" w:rsidRPr="00A4499C" w:rsidRDefault="00713C40" w:rsidP="00713C40">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lastRenderedPageBreak/>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F75F130" w14:textId="6BFA28CC" w:rsidR="00AD3567" w:rsidRPr="00A4499C" w:rsidRDefault="00713C40" w:rsidP="00713C40">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3BD6A436" w14:textId="77777777" w:rsidR="003623A0" w:rsidRPr="00A4499C" w:rsidRDefault="003623A0" w:rsidP="00713C40">
      <w:pPr>
        <w:pStyle w:val="Default"/>
        <w:ind w:left="720" w:firstLine="720"/>
        <w:rPr>
          <w:rFonts w:ascii="Times New Roman" w:hAnsi="Times New Roman" w:cs="Times New Roman"/>
          <w:color w:val="0000FF"/>
          <w:sz w:val="22"/>
          <w:szCs w:val="22"/>
        </w:rPr>
      </w:pPr>
    </w:p>
    <w:p w14:paraId="27700372" w14:textId="76855810"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w:t>
      </w:r>
      <w:r w:rsidR="00A4499C">
        <w:rPr>
          <w:rFonts w:ascii="Times New Roman" w:hAnsi="Times New Roman" w:cs="Times New Roman"/>
          <w:color w:val="0000FF"/>
        </w:rPr>
        <w:t xml:space="preserve">my first subperiod, and </w:t>
      </w:r>
      <w:proofErr w:type="gramStart"/>
      <w:r w:rsidR="00A4499C">
        <w:rPr>
          <w:rFonts w:ascii="Times New Roman" w:hAnsi="Times New Roman" w:cs="Times New Roman"/>
          <w:color w:val="0000FF"/>
        </w:rPr>
        <w:t>in particular during</w:t>
      </w:r>
      <w:proofErr w:type="gramEnd"/>
      <w:r w:rsidR="00A4499C">
        <w:rPr>
          <w:rFonts w:ascii="Times New Roman" w:hAnsi="Times New Roman" w:cs="Times New Roman"/>
          <w:color w:val="0000FF"/>
        </w:rPr>
        <w:t xml:space="preserve"> the 1990s. </w:t>
      </w:r>
      <w:r>
        <w:rPr>
          <w:rFonts w:ascii="Times New Roman" w:hAnsi="Times New Roman" w:cs="Times New Roman"/>
          <w:color w:val="0000FF"/>
        </w:rPr>
        <w:t xml:space="preserve">The puzzle for economists and policy makers </w:t>
      </w:r>
      <w:r w:rsidR="00A4499C">
        <w:rPr>
          <w:rFonts w:ascii="Times New Roman" w:hAnsi="Times New Roman" w:cs="Times New Roman"/>
          <w:color w:val="0000FF"/>
        </w:rPr>
        <w:t xml:space="preserve">during the 1990s </w:t>
      </w:r>
      <w:r>
        <w:rPr>
          <w:rFonts w:ascii="Times New Roman" w:hAnsi="Times New Roman" w:cs="Times New Roman"/>
          <w:color w:val="0000FF"/>
        </w:rPr>
        <w:t xml:space="preserve">was how the US economy was able to perform so well while inflation remained low. </w:t>
      </w:r>
      <w:r w:rsidR="00F73FE3">
        <w:rPr>
          <w:rFonts w:ascii="Times New Roman" w:hAnsi="Times New Roman" w:cs="Times New Roman"/>
          <w:color w:val="0000FF"/>
        </w:rPr>
        <w:t xml:space="preserve">It is immediate that these empirical observations would contribute to the negative empirical inflation-output gap relationship displayed in the </w:t>
      </w:r>
      <w:r>
        <w:rPr>
          <w:rFonts w:ascii="Times New Roman" w:hAnsi="Times New Roman" w:cs="Times New Roman"/>
          <w:color w:val="0000FF"/>
        </w:rPr>
        <w:t>top-left panel of Figure 2</w:t>
      </w:r>
      <w:r w:rsidR="00F73FE3">
        <w:rPr>
          <w:rFonts w:ascii="Times New Roman" w:hAnsi="Times New Roman" w:cs="Times New Roman"/>
          <w:color w:val="0000FF"/>
        </w:rPr>
        <w:t xml:space="preserve">, and hence to the identification of volatile supply shocks during my first calibration period. Fed Chair </w:t>
      </w:r>
      <w:r>
        <w:rPr>
          <w:rFonts w:ascii="Times New Roman" w:hAnsi="Times New Roman" w:cs="Times New Roman"/>
          <w:color w:val="0000FF"/>
        </w:rPr>
        <w:t xml:space="preserve">Alan Greenspan </w:t>
      </w:r>
      <w:r w:rsidR="00F73FE3">
        <w:rPr>
          <w:rFonts w:ascii="Times New Roman" w:hAnsi="Times New Roman" w:cs="Times New Roman"/>
          <w:color w:val="0000FF"/>
        </w:rPr>
        <w:t xml:space="preserve">himself </w:t>
      </w:r>
      <w:r>
        <w:rPr>
          <w:rFonts w:ascii="Times New Roman" w:hAnsi="Times New Roman" w:cs="Times New Roman"/>
          <w:color w:val="0000FF"/>
        </w:rPr>
        <w:t>famously attributed th</w:t>
      </w:r>
      <w:r w:rsidR="00F73FE3">
        <w:rPr>
          <w:rFonts w:ascii="Times New Roman" w:hAnsi="Times New Roman" w:cs="Times New Roman"/>
          <w:color w:val="0000FF"/>
        </w:rPr>
        <w:t>e</w:t>
      </w:r>
      <w:r>
        <w:rPr>
          <w:rFonts w:ascii="Times New Roman" w:hAnsi="Times New Roman" w:cs="Times New Roman"/>
          <w:color w:val="0000FF"/>
        </w:rPr>
        <w:t xml:space="preserve"> performance of the US economy </w:t>
      </w:r>
      <w:r w:rsidR="00F73FE3">
        <w:rPr>
          <w:rFonts w:ascii="Times New Roman" w:hAnsi="Times New Roman" w:cs="Times New Roman"/>
          <w:color w:val="0000FF"/>
        </w:rPr>
        <w:t xml:space="preserve">with low inflation during this period </w:t>
      </w:r>
      <w:r>
        <w:rPr>
          <w:rFonts w:ascii="Times New Roman" w:hAnsi="Times New Roman" w:cs="Times New Roman"/>
          <w:color w:val="0000FF"/>
        </w:rPr>
        <w:t>to technology shocks and the “New Economy”</w:t>
      </w:r>
      <w:r w:rsidR="00F73FE3">
        <w:rPr>
          <w:rFonts w:ascii="Times New Roman" w:hAnsi="Times New Roman" w:cs="Times New Roman"/>
          <w:color w:val="0000FF"/>
        </w:rPr>
        <w:t xml:space="preserve"> in statements such as the following:</w:t>
      </w:r>
    </w:p>
    <w:p w14:paraId="1A5EA6B0"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36EA4F8E" w14:textId="3EA62FEA" w:rsidR="00417DAB" w:rsidRPr="00A4499C" w:rsidRDefault="00417DAB" w:rsidP="00417DAB">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w:t>
      </w:r>
      <w:r w:rsidR="00FD39E2" w:rsidRPr="00A4499C">
        <w:rPr>
          <w:rFonts w:ascii="Times New Roman" w:hAnsi="Times New Roman" w:cs="Times New Roman"/>
          <w:color w:val="0000FF"/>
        </w:rPr>
        <w:t xml:space="preserve"> </w:t>
      </w:r>
      <w:r w:rsidRPr="00A4499C">
        <w:rPr>
          <w:rFonts w:ascii="Times New Roman" w:hAnsi="Times New Roman" w:cs="Times New Roman"/>
          <w:color w:val="0000FF"/>
        </w:rPr>
        <w:t>contain inflationary tendencies. An ever-increasing share of our nation's workforce uses the tools of new technologies. Microchips embodied in physical capital make it work more efficiently, and sophisticated software adds to intellectual capital.”</w:t>
      </w:r>
    </w:p>
    <w:p w14:paraId="501446D3" w14:textId="34EDF5DA" w:rsidR="003623A0" w:rsidRPr="00A4499C" w:rsidRDefault="00EA4C67" w:rsidP="003623A0">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 xml:space="preserve">(Chairman Alan Greenspan, </w:t>
      </w:r>
      <w:r w:rsidR="00BF1FBE" w:rsidRPr="00A4499C">
        <w:rPr>
          <w:rFonts w:ascii="Times New Roman" w:hAnsi="Times New Roman" w:cs="Times New Roman"/>
          <w:color w:val="0000FF"/>
          <w:sz w:val="22"/>
          <w:szCs w:val="22"/>
        </w:rPr>
        <w:t>Semiannual</w:t>
      </w:r>
      <w:r w:rsidRPr="00A4499C">
        <w:rPr>
          <w:rFonts w:ascii="Times New Roman" w:hAnsi="Times New Roman" w:cs="Times New Roman"/>
          <w:color w:val="0000FF"/>
          <w:sz w:val="22"/>
          <w:szCs w:val="22"/>
        </w:rPr>
        <w:t xml:space="preserve"> monetary policy report</w:t>
      </w:r>
      <w:r w:rsidR="00BF1FBE" w:rsidRPr="00A4499C">
        <w:rPr>
          <w:rFonts w:ascii="Times New Roman" w:hAnsi="Times New Roman" w:cs="Times New Roman"/>
          <w:color w:val="0000FF"/>
          <w:sz w:val="22"/>
          <w:szCs w:val="22"/>
        </w:rPr>
        <w:t xml:space="preserve">, </w:t>
      </w:r>
      <w:r w:rsidRPr="00A4499C">
        <w:rPr>
          <w:rFonts w:ascii="Times New Roman" w:hAnsi="Times New Roman" w:cs="Times New Roman"/>
          <w:color w:val="0000FF"/>
          <w:sz w:val="22"/>
          <w:szCs w:val="22"/>
        </w:rPr>
        <w:t>U.S. Senate July 18, 1996)</w:t>
      </w:r>
    </w:p>
    <w:p w14:paraId="1E2D8913" w14:textId="77777777" w:rsidR="003623A0" w:rsidRDefault="003623A0" w:rsidP="003623A0">
      <w:pPr>
        <w:pStyle w:val="Default"/>
        <w:ind w:left="1080"/>
        <w:rPr>
          <w:rFonts w:ascii="Times New Roman" w:hAnsi="Times New Roman" w:cs="Times New Roman"/>
          <w:color w:val="0000FF"/>
        </w:rPr>
      </w:pPr>
    </w:p>
    <w:p w14:paraId="64E2C47B" w14:textId="217E2D47" w:rsidR="003623A0" w:rsidRPr="003623A0" w:rsidRDefault="003623A0" w:rsidP="003623A0">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 xml:space="preserve">Not all supply shocks during the 1980s and 1990s were positive, and as you mention Goodfriend (2007) </w:t>
      </w:r>
      <w:r w:rsidR="00C0361C">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Also consistent with my break date, Goodfriend (2007) argues that the late 1990s represented a significant break in monetary policy towards a “new consensus”. I therefore view </w:t>
      </w:r>
      <w:r w:rsidR="00A4499C">
        <w:rPr>
          <w:rFonts w:ascii="Times New Roman" w:hAnsi="Times New Roman" w:cs="Times New Roman"/>
          <w:color w:val="0000FF"/>
          <w:sz w:val="22"/>
          <w:szCs w:val="22"/>
        </w:rPr>
        <w:t xml:space="preserve">his </w:t>
      </w:r>
      <w:r w:rsidR="00A4499C" w:rsidRPr="003623A0">
        <w:rPr>
          <w:rFonts w:ascii="Times New Roman" w:hAnsi="Times New Roman" w:cs="Times New Roman"/>
          <w:color w:val="0000FF"/>
          <w:sz w:val="22"/>
          <w:szCs w:val="22"/>
        </w:rPr>
        <w:t>insightful</w:t>
      </w:r>
      <w:r w:rsidRPr="003623A0">
        <w:rPr>
          <w:rFonts w:ascii="Times New Roman" w:hAnsi="Times New Roman" w:cs="Times New Roman"/>
          <w:color w:val="0000FF"/>
          <w:sz w:val="22"/>
          <w:szCs w:val="22"/>
        </w:rPr>
        <w:t xml:space="preserve"> account of US monetary policy as </w:t>
      </w:r>
      <w:r w:rsidR="004F7184">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48C58963"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B59B5AE" w14:textId="51699AAF" w:rsidR="00FD39E2" w:rsidRDefault="00805549" w:rsidP="002C333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To quantify this anecdotal evidence, I added a</w:t>
      </w:r>
      <w:r w:rsidR="00A4499C">
        <w:rPr>
          <w:rFonts w:ascii="Times New Roman" w:hAnsi="Times New Roman" w:cs="Times New Roman"/>
          <w:color w:val="0000FF"/>
        </w:rPr>
        <w:t xml:space="preserve"> simple quantification for the perceived relevance of supply shocks across the decades using newspaper counts</w:t>
      </w:r>
      <w:r w:rsidR="002D604B">
        <w:rPr>
          <w:rFonts w:ascii="Times New Roman" w:hAnsi="Times New Roman" w:cs="Times New Roman"/>
          <w:color w:val="0000FF"/>
        </w:rPr>
        <w:t xml:space="preserve"> to the revised manuscript</w:t>
      </w:r>
      <w:r w:rsidR="00A4499C">
        <w:rPr>
          <w:rFonts w:ascii="Times New Roman" w:hAnsi="Times New Roman" w:cs="Times New Roman"/>
          <w:color w:val="0000FF"/>
        </w:rPr>
        <w:t xml:space="preserve">. The results are shown in the </w:t>
      </w:r>
      <w:r w:rsidR="00A21E01" w:rsidRPr="00911C0D">
        <w:rPr>
          <w:rFonts w:ascii="Times New Roman" w:hAnsi="Times New Roman" w:cs="Times New Roman"/>
          <w:b/>
          <w:bCs/>
          <w:color w:val="0000FF"/>
        </w:rPr>
        <w:t xml:space="preserve">new </w:t>
      </w:r>
      <w:r w:rsidR="00660085" w:rsidRPr="00911C0D">
        <w:rPr>
          <w:rFonts w:ascii="Times New Roman" w:hAnsi="Times New Roman" w:cs="Times New Roman"/>
          <w:b/>
          <w:bCs/>
          <w:color w:val="0000FF"/>
        </w:rPr>
        <w:t>Appendix Figure A1</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reproduced below for your convenience. </w:t>
      </w:r>
      <w:r w:rsidR="00A4499C">
        <w:rPr>
          <w:rFonts w:ascii="Times New Roman" w:hAnsi="Times New Roman" w:cs="Times New Roman"/>
          <w:color w:val="0000FF"/>
        </w:rPr>
        <w:t xml:space="preserve">This figure shows for each decade the number of Wall Street Journal articles mentioning both “supply” and “inflation”, scaled by the number of articles </w:t>
      </w:r>
      <w:r w:rsidR="002D604B">
        <w:rPr>
          <w:rFonts w:ascii="Times New Roman" w:hAnsi="Times New Roman" w:cs="Times New Roman"/>
          <w:color w:val="0000FF"/>
        </w:rPr>
        <w:t>mentioning</w:t>
      </w:r>
      <w:r w:rsidR="00A4499C">
        <w:rPr>
          <w:rFonts w:ascii="Times New Roman" w:hAnsi="Times New Roman" w:cs="Times New Roman"/>
          <w:color w:val="0000FF"/>
        </w:rPr>
        <w:t xml:space="preserve"> “inflation”</w:t>
      </w:r>
      <w:r w:rsidR="008B575F">
        <w:rPr>
          <w:rFonts w:ascii="Times New Roman" w:hAnsi="Times New Roman" w:cs="Times New Roman"/>
          <w:color w:val="0000FF"/>
        </w:rPr>
        <w:t xml:space="preserve"> from </w:t>
      </w:r>
      <w:proofErr w:type="spellStart"/>
      <w:r w:rsidR="008B575F">
        <w:rPr>
          <w:rFonts w:ascii="Times New Roman" w:hAnsi="Times New Roman" w:cs="Times New Roman"/>
          <w:color w:val="0000FF"/>
        </w:rPr>
        <w:t>Proquest</w:t>
      </w:r>
      <w:proofErr w:type="spellEnd"/>
      <w:r w:rsidR="009D700B">
        <w:rPr>
          <w:rFonts w:ascii="Times New Roman" w:hAnsi="Times New Roman" w:cs="Times New Roman"/>
          <w:color w:val="0000FF"/>
        </w:rPr>
        <w:t xml:space="preserve"> Historical Newspapers</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This new analysis shows that the </w:t>
      </w:r>
      <w:r w:rsidR="00A4499C">
        <w:rPr>
          <w:rFonts w:ascii="Times New Roman" w:hAnsi="Times New Roman" w:cs="Times New Roman"/>
          <w:color w:val="0000FF"/>
        </w:rPr>
        <w:t>share of supply mentions</w:t>
      </w:r>
      <w:r w:rsidR="00FD39E2">
        <w:rPr>
          <w:rFonts w:ascii="Times New Roman" w:hAnsi="Times New Roman" w:cs="Times New Roman"/>
          <w:color w:val="0000FF"/>
        </w:rPr>
        <w:t xml:space="preserve"> peaked in the 1980s. </w:t>
      </w:r>
      <w:r w:rsidR="00A4499C">
        <w:rPr>
          <w:rFonts w:ascii="Times New Roman" w:hAnsi="Times New Roman" w:cs="Times New Roman"/>
          <w:color w:val="0000FF"/>
        </w:rPr>
        <w:t xml:space="preserve">It </w:t>
      </w:r>
      <w:r w:rsidR="006314EB">
        <w:rPr>
          <w:rFonts w:ascii="Times New Roman" w:hAnsi="Times New Roman" w:cs="Times New Roman"/>
          <w:color w:val="0000FF"/>
        </w:rPr>
        <w:t xml:space="preserve">even slightly increased </w:t>
      </w:r>
      <w:r w:rsidR="002C3333">
        <w:rPr>
          <w:rFonts w:ascii="Times New Roman" w:hAnsi="Times New Roman" w:cs="Times New Roman"/>
          <w:color w:val="0000FF"/>
        </w:rPr>
        <w:t>from the 1970s to the 1980s</w:t>
      </w:r>
      <w:r w:rsidR="00A4499C">
        <w:rPr>
          <w:rFonts w:ascii="Times New Roman" w:hAnsi="Times New Roman" w:cs="Times New Roman"/>
          <w:color w:val="0000FF"/>
        </w:rPr>
        <w:t>. This seems plausible</w:t>
      </w:r>
      <w:r w:rsidR="002C3333">
        <w:rPr>
          <w:rFonts w:ascii="Times New Roman" w:hAnsi="Times New Roman" w:cs="Times New Roman"/>
          <w:color w:val="0000FF"/>
        </w:rPr>
        <w:t xml:space="preserve"> </w:t>
      </w:r>
      <w:r w:rsidR="006314EB">
        <w:rPr>
          <w:rFonts w:ascii="Times New Roman" w:hAnsi="Times New Roman" w:cs="Times New Roman"/>
          <w:color w:val="0000FF"/>
        </w:rPr>
        <w:t>because the</w:t>
      </w:r>
      <w:r w:rsidR="002C3333">
        <w:rPr>
          <w:rFonts w:ascii="Times New Roman" w:hAnsi="Times New Roman" w:cs="Times New Roman"/>
          <w:color w:val="0000FF"/>
        </w:rPr>
        <w:t xml:space="preserve"> dramatic supply shocks during the 1970s </w:t>
      </w:r>
      <w:r w:rsidR="006314EB">
        <w:rPr>
          <w:rFonts w:ascii="Times New Roman" w:hAnsi="Times New Roman" w:cs="Times New Roman"/>
          <w:color w:val="0000FF"/>
        </w:rPr>
        <w:t xml:space="preserve">arguably </w:t>
      </w:r>
      <w:r w:rsidR="002C3333">
        <w:rPr>
          <w:rFonts w:ascii="Times New Roman" w:hAnsi="Times New Roman" w:cs="Times New Roman"/>
          <w:color w:val="0000FF"/>
        </w:rPr>
        <w:t>struck as a surprise, whereas by the 1980s and 1990s economists, the public, and investors had learned to worry about supply shocks</w:t>
      </w:r>
      <w:r w:rsidR="006314EB">
        <w:rPr>
          <w:rFonts w:ascii="Times New Roman" w:hAnsi="Times New Roman" w:cs="Times New Roman"/>
          <w:color w:val="0000FF"/>
        </w:rPr>
        <w:t xml:space="preserve"> and these worries were </w:t>
      </w:r>
      <w:r w:rsidR="00A4499C">
        <w:rPr>
          <w:rFonts w:ascii="Times New Roman" w:hAnsi="Times New Roman" w:cs="Times New Roman"/>
          <w:color w:val="0000FF"/>
        </w:rPr>
        <w:t xml:space="preserve">plausibly </w:t>
      </w:r>
      <w:r w:rsidR="006314EB">
        <w:rPr>
          <w:rFonts w:ascii="Times New Roman" w:hAnsi="Times New Roman" w:cs="Times New Roman"/>
          <w:color w:val="0000FF"/>
        </w:rPr>
        <w:t>reflected in more frequent news mentions</w:t>
      </w:r>
      <w:r w:rsidR="002C3333">
        <w:rPr>
          <w:rFonts w:ascii="Times New Roman" w:hAnsi="Times New Roman" w:cs="Times New Roman"/>
          <w:color w:val="0000FF"/>
        </w:rPr>
        <w:t xml:space="preserve">. </w:t>
      </w:r>
      <w:r w:rsidR="00A4499C">
        <w:rPr>
          <w:rFonts w:ascii="Times New Roman" w:hAnsi="Times New Roman" w:cs="Times New Roman"/>
          <w:color w:val="0000FF"/>
        </w:rPr>
        <w:t xml:space="preserve">The figure also shows a spike in the concern about supply-driven inflation during the post-pandemic period starting in 2020, </w:t>
      </w:r>
      <w:proofErr w:type="gramStart"/>
      <w:r w:rsidR="00A4499C">
        <w:rPr>
          <w:rFonts w:ascii="Times New Roman" w:hAnsi="Times New Roman" w:cs="Times New Roman"/>
          <w:color w:val="0000FF"/>
        </w:rPr>
        <w:t>similar to</w:t>
      </w:r>
      <w:proofErr w:type="gramEnd"/>
      <w:r w:rsidR="00A4499C">
        <w:rPr>
          <w:rFonts w:ascii="Times New Roman" w:hAnsi="Times New Roman" w:cs="Times New Roman"/>
          <w:color w:val="0000FF"/>
        </w:rPr>
        <w:t xml:space="preserve"> the level last observed during the 1980s. </w:t>
      </w:r>
      <w:r w:rsidR="002C3333">
        <w:rPr>
          <w:rFonts w:ascii="Times New Roman" w:hAnsi="Times New Roman" w:cs="Times New Roman"/>
          <w:color w:val="0000FF"/>
        </w:rPr>
        <w:t xml:space="preserve">Overall, this analysis </w:t>
      </w:r>
      <w:r w:rsidR="0099367B">
        <w:rPr>
          <w:rFonts w:ascii="Times New Roman" w:hAnsi="Times New Roman" w:cs="Times New Roman"/>
          <w:color w:val="0000FF"/>
        </w:rPr>
        <w:t xml:space="preserve">based on newspaper counts </w:t>
      </w:r>
      <w:r w:rsidR="002C3333">
        <w:rPr>
          <w:rFonts w:ascii="Times New Roman" w:hAnsi="Times New Roman" w:cs="Times New Roman"/>
          <w:color w:val="0000FF"/>
        </w:rPr>
        <w:t xml:space="preserve">further supports the notion that the public and investors were highly attuned to macroeconomic supply shocks during the 1980s and </w:t>
      </w:r>
      <w:r>
        <w:rPr>
          <w:rFonts w:ascii="Times New Roman" w:hAnsi="Times New Roman" w:cs="Times New Roman"/>
          <w:color w:val="0000FF"/>
        </w:rPr>
        <w:t xml:space="preserve">again during </w:t>
      </w:r>
      <w:r w:rsidR="002C3333">
        <w:rPr>
          <w:rFonts w:ascii="Times New Roman" w:hAnsi="Times New Roman" w:cs="Times New Roman"/>
          <w:color w:val="0000FF"/>
        </w:rPr>
        <w:t xml:space="preserve">the post-pandemic period after 2020. </w:t>
      </w:r>
    </w:p>
    <w:p w14:paraId="1CC312C3"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3C05199F"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7503521E"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6EA648C"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492EDED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t>Figure A1: Relative Frequency of Supply and Inflation in WSJ Articles</w:t>
      </w:r>
    </w:p>
    <w:p w14:paraId="67AE883F" w14:textId="0A028CC8" w:rsidR="00FD39E2" w:rsidRDefault="008B575F"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1BF62D46" wp14:editId="543F0AB8">
            <wp:extent cx="5562161" cy="2990850"/>
            <wp:effectExtent l="0" t="0" r="635" b="0"/>
            <wp:docPr id="1000150900"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39A3DC7A" w14:textId="77777777" w:rsidR="009F3240" w:rsidRDefault="00D36292" w:rsidP="00217EE6">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The revised manuscript discusses</w:t>
      </w:r>
      <w:r w:rsidR="00A06F7B">
        <w:rPr>
          <w:rFonts w:ascii="Times New Roman" w:hAnsi="Times New Roman" w:cs="Times New Roman"/>
          <w:color w:val="0000FF"/>
        </w:rPr>
        <w:t xml:space="preserve"> </w:t>
      </w:r>
      <w:r w:rsidR="009F3240">
        <w:rPr>
          <w:rFonts w:ascii="Times New Roman" w:hAnsi="Times New Roman" w:cs="Times New Roman"/>
          <w:color w:val="0000FF"/>
        </w:rPr>
        <w:t xml:space="preserve">this news count evidence and prominent examples of supply shocks during my first subperiod </w:t>
      </w:r>
      <w:r w:rsidR="00A06F7B">
        <w:rPr>
          <w:rFonts w:ascii="Times New Roman" w:hAnsi="Times New Roman" w:cs="Times New Roman"/>
          <w:color w:val="0000FF"/>
        </w:rPr>
        <w:t>in</w:t>
      </w:r>
      <w:r w:rsidR="009F3240">
        <w:rPr>
          <w:rFonts w:ascii="Times New Roman" w:hAnsi="Times New Roman" w:cs="Times New Roman"/>
          <w:color w:val="0000FF"/>
        </w:rPr>
        <w:t xml:space="preserve"> the following locations:</w:t>
      </w:r>
    </w:p>
    <w:p w14:paraId="36DFE488" w14:textId="77777777" w:rsidR="009F3240" w:rsidRPr="009F3240" w:rsidRDefault="00A06F7B"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p.3, </w:t>
      </w:r>
      <w:r w:rsidR="00C81D32" w:rsidRPr="009F3240">
        <w:rPr>
          <w:rFonts w:ascii="Times New Roman" w:hAnsi="Times New Roman" w:cs="Times New Roman"/>
          <w:b/>
          <w:bCs/>
          <w:color w:val="0000FF"/>
        </w:rPr>
        <w:t xml:space="preserve">paragraph starting </w:t>
      </w:r>
      <w:r w:rsidRPr="009F3240">
        <w:rPr>
          <w:rFonts w:ascii="Times New Roman" w:hAnsi="Times New Roman" w:cs="Times New Roman"/>
          <w:b/>
          <w:bCs/>
          <w:color w:val="0000FF"/>
        </w:rPr>
        <w:t xml:space="preserve">“The calibrated changes in the monetary policy rule </w:t>
      </w:r>
      <w:r w:rsidR="00217EE6" w:rsidRPr="009F3240">
        <w:rPr>
          <w:rFonts w:ascii="Times New Roman" w:hAnsi="Times New Roman" w:cs="Times New Roman"/>
          <w:b/>
          <w:bCs/>
          <w:color w:val="0000FF"/>
        </w:rPr>
        <w:t>(…)</w:t>
      </w:r>
    </w:p>
    <w:p w14:paraId="1261A335" w14:textId="6BBB22A4"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sidR="009F3240">
        <w:rPr>
          <w:rFonts w:ascii="Times New Roman" w:hAnsi="Times New Roman" w:cs="Times New Roman"/>
          <w:b/>
          <w:bCs/>
          <w:color w:val="0000FF"/>
        </w:rPr>
        <w:t>4</w:t>
      </w:r>
      <w:r w:rsidR="00EB3E90" w:rsidRPr="009F3240">
        <w:rPr>
          <w:rFonts w:ascii="Times New Roman" w:hAnsi="Times New Roman" w:cs="Times New Roman"/>
          <w:b/>
          <w:bCs/>
          <w:color w:val="0000FF"/>
        </w:rPr>
        <w:t xml:space="preserve"> on p.3</w:t>
      </w:r>
    </w:p>
    <w:p w14:paraId="330CB9B2" w14:textId="77777777"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w:t>
      </w:r>
      <w:r w:rsidR="009F3240" w:rsidRPr="009F3240">
        <w:rPr>
          <w:rFonts w:ascii="Times New Roman" w:hAnsi="Times New Roman" w:cs="Times New Roman"/>
          <w:b/>
          <w:bCs/>
          <w:color w:val="0000FF"/>
        </w:rPr>
        <w:t xml:space="preserve">, </w:t>
      </w:r>
      <w:r w:rsidRPr="009F3240">
        <w:rPr>
          <w:rFonts w:ascii="Times New Roman" w:hAnsi="Times New Roman" w:cs="Times New Roman"/>
          <w:b/>
          <w:bCs/>
          <w:color w:val="0000FF"/>
        </w:rPr>
        <w:t>paragraph starting “A simple newspaper count exercise (…)”</w:t>
      </w:r>
    </w:p>
    <w:p w14:paraId="13FC3F4C" w14:textId="62C33E27" w:rsidR="00F45B94"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new footnote 14</w:t>
      </w:r>
      <w:r w:rsidR="00EB3E90" w:rsidRPr="009F3240">
        <w:rPr>
          <w:rFonts w:ascii="Times New Roman" w:hAnsi="Times New Roman" w:cs="Times New Roman"/>
          <w:b/>
          <w:bCs/>
          <w:color w:val="0000FF"/>
        </w:rPr>
        <w:t xml:space="preserve"> on p.18</w:t>
      </w:r>
    </w:p>
    <w:p w14:paraId="0DD90E12" w14:textId="77777777" w:rsidR="002A387A" w:rsidRP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5D8AD355"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jc w:val="both"/>
        <w:rPr>
          <w:rFonts w:ascii="Times New Roman" w:hAnsi="Times New Roman" w:cs="Times New Roman"/>
        </w:rPr>
      </w:pPr>
      <w:r w:rsidRPr="00C10E55">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w:t>
      </w:r>
      <w:proofErr w:type="gramStart"/>
      <w:r w:rsidRPr="00C10E55">
        <w:rPr>
          <w:rFonts w:ascii="Times New Roman" w:hAnsi="Times New Roman" w:cs="Times New Roman"/>
        </w:rPr>
        <w:t>similar to</w:t>
      </w:r>
      <w:proofErr w:type="gramEnd"/>
      <w:r w:rsidRPr="00C10E55">
        <w:rPr>
          <w:rFonts w:ascii="Times New Roman" w:hAnsi="Times New Roman" w:cs="Times New Roman"/>
        </w:rPr>
        <w:t xml:space="preserve"> the first part of the sample. There is a sense in which this aligns with what the author does in her counterfactuals. </w:t>
      </w:r>
    </w:p>
    <w:p w14:paraId="31DA43DD" w14:textId="77777777" w:rsidR="009E10F4" w:rsidRPr="00C10E55" w:rsidRDefault="009E10F4" w:rsidP="00C10E55">
      <w:pPr>
        <w:adjustRightInd w:val="0"/>
        <w:spacing w:after="0" w:line="240" w:lineRule="auto"/>
        <w:ind w:leftChars="200" w:left="440"/>
        <w:rPr>
          <w:rFonts w:ascii="Times New Roman" w:hAnsi="Times New Roman" w:cs="Times New Roman"/>
        </w:rPr>
      </w:pPr>
      <w:r w:rsidRPr="00C10E55">
        <w:rPr>
          <w:rFonts w:ascii="Times New Roman" w:hAnsi="Times New Roman" w:cs="Times New Roman"/>
        </w:rPr>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Pr="00C10E55" w:rsidRDefault="00726C32" w:rsidP="00C10E55">
      <w:pPr>
        <w:autoSpaceDE w:val="0"/>
        <w:autoSpaceDN w:val="0"/>
        <w:adjustRightInd w:val="0"/>
        <w:spacing w:after="0" w:line="240" w:lineRule="auto"/>
        <w:jc w:val="both"/>
        <w:rPr>
          <w:rFonts w:ascii="Times New Roman" w:hAnsi="Times New Roman" w:cs="Times New Roman"/>
        </w:rPr>
      </w:pPr>
    </w:p>
    <w:p w14:paraId="25E82E7E" w14:textId="3053EFA8" w:rsidR="00E96ED9" w:rsidRDefault="00726C32" w:rsidP="0043656B">
      <w:pPr>
        <w:shd w:val="clear" w:color="auto" w:fill="FFFFFF"/>
        <w:spacing w:line="240" w:lineRule="auto"/>
        <w:ind w:left="360"/>
        <w:rPr>
          <w:rFonts w:ascii="Times New Roman" w:hAnsi="Times New Roman" w:cs="Times New Roman"/>
          <w:color w:val="0000FF"/>
        </w:rPr>
      </w:pPr>
      <w:r w:rsidRPr="0043656B">
        <w:rPr>
          <w:rFonts w:ascii="Times New Roman" w:hAnsi="Times New Roman" w:cs="Times New Roman"/>
          <w:b/>
          <w:bCs/>
          <w:color w:val="0000FF"/>
        </w:rPr>
        <w:t>Reply:</w:t>
      </w:r>
      <w:r w:rsidRPr="00C10E55">
        <w:rPr>
          <w:rFonts w:ascii="Times New Roman" w:hAnsi="Times New Roman" w:cs="Times New Roman"/>
          <w:color w:val="0000FF"/>
        </w:rPr>
        <w:t xml:space="preserve"> </w:t>
      </w:r>
      <w:r w:rsidR="00E96ED9">
        <w:rPr>
          <w:rFonts w:ascii="Times New Roman" w:hAnsi="Times New Roman" w:cs="Times New Roman"/>
          <w:color w:val="0000FF"/>
        </w:rPr>
        <w:t xml:space="preserve">Thank you for these excellent suggestions. </w:t>
      </w:r>
      <w:r w:rsidR="000F566E">
        <w:rPr>
          <w:rFonts w:ascii="Times New Roman" w:hAnsi="Times New Roman" w:cs="Times New Roman"/>
          <w:color w:val="0000FF"/>
        </w:rPr>
        <w:t>The</w:t>
      </w:r>
      <w:r w:rsidR="009C109E">
        <w:rPr>
          <w:rFonts w:ascii="Times New Roman" w:hAnsi="Times New Roman" w:cs="Times New Roman"/>
          <w:color w:val="0000FF"/>
        </w:rPr>
        <w:t xml:space="preserve"> </w:t>
      </w:r>
      <w:r w:rsidR="00943965" w:rsidRPr="00943965">
        <w:rPr>
          <w:rFonts w:ascii="Times New Roman" w:hAnsi="Times New Roman" w:cs="Times New Roman"/>
          <w:b/>
          <w:bCs/>
          <w:color w:val="0000FF"/>
        </w:rPr>
        <w:t>new Section 5</w:t>
      </w:r>
      <w:r w:rsidR="000F566E">
        <w:rPr>
          <w:rFonts w:ascii="Times New Roman" w:hAnsi="Times New Roman" w:cs="Times New Roman"/>
          <w:color w:val="0000FF"/>
        </w:rPr>
        <w:t xml:space="preserve"> contains an updated discussion of recent events, dividing the analysis into an early post-pandemic </w:t>
      </w:r>
      <w:r w:rsidR="00230EA7">
        <w:rPr>
          <w:rFonts w:ascii="Times New Roman" w:hAnsi="Times New Roman" w:cs="Times New Roman"/>
          <w:color w:val="0000FF"/>
        </w:rPr>
        <w:t xml:space="preserve">(until 2023.Q2) </w:t>
      </w:r>
      <w:r w:rsidR="000F566E">
        <w:rPr>
          <w:rFonts w:ascii="Times New Roman" w:hAnsi="Times New Roman" w:cs="Times New Roman"/>
          <w:color w:val="0000FF"/>
        </w:rPr>
        <w:t>and a late post-pandemic period</w:t>
      </w:r>
      <w:r w:rsidR="00230EA7">
        <w:rPr>
          <w:rFonts w:ascii="Times New Roman" w:hAnsi="Times New Roman" w:cs="Times New Roman"/>
          <w:color w:val="0000FF"/>
        </w:rPr>
        <w:t xml:space="preserve"> (2023.Q3-Q4)</w:t>
      </w:r>
      <w:r w:rsidR="00943965" w:rsidRPr="00943965">
        <w:rPr>
          <w:rFonts w:ascii="Times New Roman" w:hAnsi="Times New Roman" w:cs="Times New Roman"/>
          <w:b/>
          <w:bCs/>
          <w:color w:val="0000FF"/>
        </w:rPr>
        <w:t>.</w:t>
      </w:r>
      <w:r w:rsidR="00943965">
        <w:rPr>
          <w:rFonts w:ascii="Times New Roman" w:hAnsi="Times New Roman" w:cs="Times New Roman"/>
          <w:color w:val="0000FF"/>
        </w:rPr>
        <w:t xml:space="preserve"> </w:t>
      </w:r>
      <w:r w:rsidR="00E96ED9">
        <w:rPr>
          <w:rFonts w:ascii="Times New Roman" w:hAnsi="Times New Roman" w:cs="Times New Roman"/>
          <w:color w:val="0000FF"/>
        </w:rPr>
        <w:t xml:space="preserve">I find that the model can explain nominal and real bond-stock betas during the early post-pandemic with a low inflation coefficient. However, the model requires a high inflation coefficient during the later post-pandemic. I hence find that in the late post-pandemic period, bond-stock betas indeed </w:t>
      </w:r>
      <w:r w:rsidR="0083208C">
        <w:rPr>
          <w:rFonts w:ascii="Times New Roman" w:hAnsi="Times New Roman" w:cs="Times New Roman"/>
          <w:color w:val="0000FF"/>
        </w:rPr>
        <w:t xml:space="preserve">require changing the </w:t>
      </w:r>
      <w:r w:rsidR="00E96ED9">
        <w:rPr>
          <w:rFonts w:ascii="Times New Roman" w:hAnsi="Times New Roman" w:cs="Times New Roman"/>
          <w:color w:val="0000FF"/>
        </w:rPr>
        <w:t xml:space="preserve">monetary policy rule </w:t>
      </w:r>
      <w:r w:rsidR="0083208C">
        <w:rPr>
          <w:rFonts w:ascii="Times New Roman" w:hAnsi="Times New Roman" w:cs="Times New Roman"/>
          <w:color w:val="0000FF"/>
        </w:rPr>
        <w:t xml:space="preserve">to parameters that are </w:t>
      </w:r>
      <w:r w:rsidR="00E96ED9">
        <w:rPr>
          <w:rFonts w:ascii="Times New Roman" w:hAnsi="Times New Roman" w:cs="Times New Roman"/>
          <w:color w:val="0000FF"/>
        </w:rPr>
        <w:t xml:space="preserve">more </w:t>
      </w:r>
      <w:proofErr w:type="gramStart"/>
      <w:r w:rsidR="00E96ED9">
        <w:rPr>
          <w:rFonts w:ascii="Times New Roman" w:hAnsi="Times New Roman" w:cs="Times New Roman"/>
          <w:color w:val="0000FF"/>
        </w:rPr>
        <w:t>similar to</w:t>
      </w:r>
      <w:proofErr w:type="gramEnd"/>
      <w:r w:rsidR="00E96ED9">
        <w:rPr>
          <w:rFonts w:ascii="Times New Roman" w:hAnsi="Times New Roman" w:cs="Times New Roman"/>
          <w:color w:val="0000FF"/>
        </w:rPr>
        <w:t xml:space="preserve"> the first part of the sample, just as you suggested. </w:t>
      </w:r>
    </w:p>
    <w:p w14:paraId="1F2C1CC4" w14:textId="508A1AFE" w:rsidR="009253A3" w:rsidRDefault="008D2916" w:rsidP="00E96ED9">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lastRenderedPageBreak/>
        <w:t xml:space="preserve">Following your suggestion, </w:t>
      </w:r>
      <w:r w:rsidR="00872BC2">
        <w:rPr>
          <w:rFonts w:ascii="Times New Roman" w:hAnsi="Times New Roman" w:cs="Times New Roman"/>
          <w:color w:val="0000FF"/>
        </w:rPr>
        <w:t xml:space="preserve">the new Section 5 puts </w:t>
      </w:r>
      <w:r>
        <w:rPr>
          <w:rFonts w:ascii="Times New Roman" w:hAnsi="Times New Roman" w:cs="Times New Roman"/>
          <w:color w:val="0000FF"/>
        </w:rPr>
        <w:t xml:space="preserve">the model-implied monetary policy rule in the context of the recent inflation </w:t>
      </w:r>
      <w:r w:rsidR="0083208C">
        <w:rPr>
          <w:rFonts w:ascii="Times New Roman" w:hAnsi="Times New Roman" w:cs="Times New Roman"/>
          <w:color w:val="0000FF"/>
        </w:rPr>
        <w:t xml:space="preserve">spike </w:t>
      </w:r>
      <w:r>
        <w:rPr>
          <w:rFonts w:ascii="Times New Roman" w:hAnsi="Times New Roman" w:cs="Times New Roman"/>
          <w:color w:val="0000FF"/>
        </w:rPr>
        <w:t xml:space="preserve">and </w:t>
      </w:r>
      <w:r w:rsidR="00D9068C">
        <w:rPr>
          <w:rFonts w:ascii="Times New Roman" w:hAnsi="Times New Roman" w:cs="Times New Roman"/>
          <w:color w:val="0000FF"/>
        </w:rPr>
        <w:t xml:space="preserve">the </w:t>
      </w:r>
      <w:r>
        <w:rPr>
          <w:rFonts w:ascii="Times New Roman" w:hAnsi="Times New Roman" w:cs="Times New Roman"/>
          <w:color w:val="0000FF"/>
        </w:rPr>
        <w:t xml:space="preserve">subsequent energetic </w:t>
      </w:r>
      <w:r w:rsidR="00872BC2">
        <w:rPr>
          <w:rFonts w:ascii="Times New Roman" w:hAnsi="Times New Roman" w:cs="Times New Roman"/>
          <w:color w:val="0000FF"/>
        </w:rPr>
        <w:t>policy</w:t>
      </w:r>
      <w:r>
        <w:rPr>
          <w:rFonts w:ascii="Times New Roman" w:hAnsi="Times New Roman" w:cs="Times New Roman"/>
          <w:color w:val="0000FF"/>
        </w:rPr>
        <w:t xml:space="preserve"> rate hikes. </w:t>
      </w:r>
      <w:r w:rsidR="00E96ED9">
        <w:rPr>
          <w:rFonts w:ascii="Times New Roman" w:hAnsi="Times New Roman" w:cs="Times New Roman"/>
          <w:color w:val="0000FF"/>
        </w:rPr>
        <w:t xml:space="preserve">The timeline of inflation and policy rates during the post-pandemic period are depicted in the </w:t>
      </w:r>
      <w:r w:rsidR="00E96ED9" w:rsidRPr="00E96ED9">
        <w:rPr>
          <w:rFonts w:ascii="Times New Roman" w:hAnsi="Times New Roman" w:cs="Times New Roman"/>
          <w:b/>
          <w:bCs/>
          <w:color w:val="0000FF"/>
        </w:rPr>
        <w:t>new Figure 9</w:t>
      </w:r>
      <w:r w:rsidR="00E96ED9">
        <w:rPr>
          <w:rFonts w:ascii="Times New Roman" w:hAnsi="Times New Roman" w:cs="Times New Roman"/>
          <w:color w:val="0000FF"/>
        </w:rPr>
        <w:t xml:space="preserve">. </w:t>
      </w:r>
      <w:r w:rsidR="000F566E">
        <w:rPr>
          <w:rFonts w:ascii="Times New Roman" w:hAnsi="Times New Roman" w:cs="Times New Roman"/>
          <w:color w:val="0000FF"/>
        </w:rPr>
        <w:t xml:space="preserve">The key takeaway </w:t>
      </w:r>
      <w:r w:rsidR="00230EA7">
        <w:rPr>
          <w:rFonts w:ascii="Times New Roman" w:hAnsi="Times New Roman" w:cs="Times New Roman"/>
          <w:color w:val="0000FF"/>
        </w:rPr>
        <w:t>from this figure</w:t>
      </w:r>
      <w:r w:rsidR="000F566E">
        <w:rPr>
          <w:rFonts w:ascii="Times New Roman" w:hAnsi="Times New Roman" w:cs="Times New Roman"/>
          <w:color w:val="0000FF"/>
        </w:rPr>
        <w:t xml:space="preserve"> is that inflation rose already in 2021, well before the Fed started lifting interest rate</w:t>
      </w:r>
      <w:r w:rsidR="00E96ED9">
        <w:rPr>
          <w:rFonts w:ascii="Times New Roman" w:hAnsi="Times New Roman" w:cs="Times New Roman"/>
          <w:color w:val="0000FF"/>
        </w:rPr>
        <w:t>s</w:t>
      </w:r>
      <w:r w:rsidR="000F566E">
        <w:rPr>
          <w:rFonts w:ascii="Times New Roman" w:hAnsi="Times New Roman" w:cs="Times New Roman"/>
          <w:color w:val="0000FF"/>
        </w:rPr>
        <w:t>. The policy rate initially remained constant, lifted off from zero in March 2022, and reached its new plateau in late 2023</w:t>
      </w:r>
      <w:r w:rsidR="005B01D7">
        <w:rPr>
          <w:rFonts w:ascii="Times New Roman" w:hAnsi="Times New Roman" w:cs="Times New Roman"/>
          <w:color w:val="0000FF"/>
        </w:rPr>
        <w:t>. This timeline suggests that supply shocks became salient in 2021, but a</w:t>
      </w:r>
      <w:r w:rsidR="00230EA7">
        <w:rPr>
          <w:rFonts w:ascii="Times New Roman" w:hAnsi="Times New Roman" w:cs="Times New Roman"/>
          <w:color w:val="0000FF"/>
        </w:rPr>
        <w:t xml:space="preserve"> change in the monetary policy stance </w:t>
      </w:r>
      <w:r w:rsidR="005B01D7">
        <w:rPr>
          <w:rFonts w:ascii="Times New Roman" w:hAnsi="Times New Roman" w:cs="Times New Roman"/>
          <w:color w:val="0000FF"/>
        </w:rPr>
        <w:t xml:space="preserve">only </w:t>
      </w:r>
      <w:r w:rsidR="00230EA7">
        <w:rPr>
          <w:rFonts w:ascii="Times New Roman" w:hAnsi="Times New Roman" w:cs="Times New Roman"/>
          <w:color w:val="0000FF"/>
        </w:rPr>
        <w:t xml:space="preserve">occurred </w:t>
      </w:r>
      <w:r w:rsidR="00E96ED9">
        <w:rPr>
          <w:rFonts w:ascii="Times New Roman" w:hAnsi="Times New Roman" w:cs="Times New Roman"/>
          <w:color w:val="0000FF"/>
        </w:rPr>
        <w:t>later</w:t>
      </w:r>
      <w:r w:rsidR="005B01D7">
        <w:rPr>
          <w:rFonts w:ascii="Times New Roman" w:hAnsi="Times New Roman" w:cs="Times New Roman"/>
          <w:color w:val="0000FF"/>
        </w:rPr>
        <w:t>.</w:t>
      </w:r>
      <w:r w:rsidR="00B82F85">
        <w:rPr>
          <w:rFonts w:ascii="Times New Roman" w:hAnsi="Times New Roman" w:cs="Times New Roman"/>
          <w:color w:val="0000FF"/>
        </w:rPr>
        <w:t xml:space="preserve"> </w:t>
      </w:r>
      <w:r w:rsidR="005B01D7">
        <w:rPr>
          <w:rFonts w:ascii="Times New Roman" w:hAnsi="Times New Roman" w:cs="Times New Roman"/>
          <w:color w:val="0000FF"/>
        </w:rPr>
        <w:t xml:space="preserve"> </w:t>
      </w:r>
    </w:p>
    <w:p w14:paraId="5B889531" w14:textId="1E972815" w:rsidR="00B82F85" w:rsidRDefault="0083208C"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To support this timeline of events, t</w:t>
      </w:r>
      <w:r w:rsidR="00B82F85">
        <w:rPr>
          <w:rFonts w:ascii="Times New Roman" w:hAnsi="Times New Roman" w:cs="Times New Roman"/>
          <w:color w:val="0000FF"/>
        </w:rPr>
        <w:t xml:space="preserve">he revised paper also references my recent complementary paper Bauer, Pflueger, and </w:t>
      </w:r>
      <w:proofErr w:type="spellStart"/>
      <w:r w:rsidR="00B82F85">
        <w:rPr>
          <w:rFonts w:ascii="Times New Roman" w:hAnsi="Times New Roman" w:cs="Times New Roman"/>
          <w:color w:val="0000FF"/>
        </w:rPr>
        <w:t>Sunderam</w:t>
      </w:r>
      <w:proofErr w:type="spellEnd"/>
      <w:r w:rsidR="00B82F85">
        <w:rPr>
          <w:rFonts w:ascii="Times New Roman" w:hAnsi="Times New Roman" w:cs="Times New Roman"/>
          <w:color w:val="0000FF"/>
        </w:rPr>
        <w:t xml:space="preserve">, (2024), which estimates the monetary policy inflation coefficient as perceived by professional forecasters from rich survey data, and links the change in the perceived monetary policy rule to policy rate surprises on FOMC dates. Table 2 of Bauer, Pflueger and </w:t>
      </w:r>
      <w:proofErr w:type="spellStart"/>
      <w:r w:rsidR="00B82F85">
        <w:rPr>
          <w:rFonts w:ascii="Times New Roman" w:hAnsi="Times New Roman" w:cs="Times New Roman"/>
          <w:color w:val="0000FF"/>
        </w:rPr>
        <w:t>Sunderam</w:t>
      </w:r>
      <w:proofErr w:type="spellEnd"/>
      <w:r w:rsidR="00B82F85">
        <w:rPr>
          <w:rFonts w:ascii="Times New Roman" w:hAnsi="Times New Roman" w:cs="Times New Roman"/>
          <w:color w:val="0000FF"/>
        </w:rPr>
        <w:t xml:space="preserve"> (2024) suggests that the perceived monetary policy inflation coefficient peaked during the second half of 2023. Even though the data and methodology in this complementary work are </w:t>
      </w:r>
      <w:proofErr w:type="gramStart"/>
      <w:r w:rsidR="00B82F85">
        <w:rPr>
          <w:rFonts w:ascii="Times New Roman" w:hAnsi="Times New Roman" w:cs="Times New Roman"/>
          <w:color w:val="0000FF"/>
        </w:rPr>
        <w:t>completely separate</w:t>
      </w:r>
      <w:proofErr w:type="gramEnd"/>
      <w:r w:rsidR="00B82F85">
        <w:rPr>
          <w:rFonts w:ascii="Times New Roman" w:hAnsi="Times New Roman" w:cs="Times New Roman"/>
          <w:color w:val="0000FF"/>
        </w:rPr>
        <w:t>, it is interesting that th</w:t>
      </w:r>
      <w:r w:rsidR="00D9068C">
        <w:rPr>
          <w:rFonts w:ascii="Times New Roman" w:hAnsi="Times New Roman" w:cs="Times New Roman"/>
          <w:color w:val="0000FF"/>
        </w:rPr>
        <w:t>e</w:t>
      </w:r>
      <w:r w:rsidR="00B82F85">
        <w:rPr>
          <w:rFonts w:ascii="Times New Roman" w:hAnsi="Times New Roman" w:cs="Times New Roman"/>
          <w:color w:val="0000FF"/>
        </w:rPr>
        <w:t xml:space="preserve"> timing lines up closely with </w:t>
      </w:r>
      <w:r>
        <w:rPr>
          <w:rFonts w:ascii="Times New Roman" w:hAnsi="Times New Roman" w:cs="Times New Roman"/>
          <w:color w:val="0000FF"/>
        </w:rPr>
        <w:t>the significant increases in</w:t>
      </w:r>
      <w:r w:rsidR="00B82F85">
        <w:rPr>
          <w:rFonts w:ascii="Times New Roman" w:hAnsi="Times New Roman" w:cs="Times New Roman"/>
          <w:color w:val="0000FF"/>
        </w:rPr>
        <w:t xml:space="preserve"> rolling nominal, real and breakeven betas in Figure 10 in </w:t>
      </w:r>
      <w:r w:rsidR="00C841B4">
        <w:rPr>
          <w:rFonts w:ascii="Times New Roman" w:hAnsi="Times New Roman" w:cs="Times New Roman"/>
          <w:color w:val="0000FF"/>
        </w:rPr>
        <w:t xml:space="preserve">the present manuscript. </w:t>
      </w:r>
      <w:r w:rsidR="00B82F85">
        <w:rPr>
          <w:rFonts w:ascii="Times New Roman" w:hAnsi="Times New Roman" w:cs="Times New Roman"/>
          <w:color w:val="0000FF"/>
        </w:rPr>
        <w:t xml:space="preserve"> </w:t>
      </w:r>
    </w:p>
    <w:p w14:paraId="371F7DBA" w14:textId="7FB20D6B" w:rsidR="0083208C" w:rsidRDefault="00B82F85" w:rsidP="001F3D85">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revised paper </w:t>
      </w:r>
      <w:r w:rsidR="001F3D85">
        <w:rPr>
          <w:rFonts w:ascii="Times New Roman" w:hAnsi="Times New Roman" w:cs="Times New Roman"/>
          <w:color w:val="0000FF"/>
        </w:rPr>
        <w:t xml:space="preserve">discusses the timeline of recent inflation and monetary policy </w:t>
      </w:r>
      <w:r>
        <w:rPr>
          <w:rFonts w:ascii="Times New Roman" w:hAnsi="Times New Roman" w:cs="Times New Roman"/>
          <w:color w:val="0000FF"/>
        </w:rPr>
        <w:t xml:space="preserve">on </w:t>
      </w:r>
      <w:r w:rsidRPr="008D2916">
        <w:rPr>
          <w:rFonts w:ascii="Times New Roman" w:hAnsi="Times New Roman" w:cs="Times New Roman"/>
          <w:b/>
          <w:bCs/>
          <w:color w:val="0000FF"/>
        </w:rPr>
        <w:t>p.4</w:t>
      </w:r>
      <w:r>
        <w:rPr>
          <w:rFonts w:ascii="Times New Roman" w:hAnsi="Times New Roman" w:cs="Times New Roman"/>
          <w:color w:val="0000FF"/>
        </w:rPr>
        <w:t xml:space="preserve"> of the introduction and in more detail on </w:t>
      </w:r>
      <w:r w:rsidRPr="008D2916">
        <w:rPr>
          <w:rFonts w:ascii="Times New Roman" w:hAnsi="Times New Roman" w:cs="Times New Roman"/>
          <w:b/>
          <w:bCs/>
          <w:color w:val="0000FF"/>
        </w:rPr>
        <w:t>p.33</w:t>
      </w:r>
      <w:r>
        <w:rPr>
          <w:rFonts w:ascii="Times New Roman" w:hAnsi="Times New Roman" w:cs="Times New Roman"/>
          <w:color w:val="0000FF"/>
        </w:rPr>
        <w:t xml:space="preserve">. The relative contribution of this paper over </w:t>
      </w:r>
      <w:r w:rsidR="001F3D85">
        <w:rPr>
          <w:rFonts w:ascii="Times New Roman" w:hAnsi="Times New Roman" w:cs="Times New Roman"/>
          <w:color w:val="0000FF"/>
        </w:rPr>
        <w:t xml:space="preserve">Bauer, Pflueger, and </w:t>
      </w:r>
      <w:proofErr w:type="spellStart"/>
      <w:r w:rsidR="001F3D85">
        <w:rPr>
          <w:rFonts w:ascii="Times New Roman" w:hAnsi="Times New Roman" w:cs="Times New Roman"/>
          <w:color w:val="0000FF"/>
        </w:rPr>
        <w:t>Sunderam</w:t>
      </w:r>
      <w:proofErr w:type="spellEnd"/>
      <w:r w:rsidR="001F3D85">
        <w:rPr>
          <w:rFonts w:ascii="Times New Roman" w:hAnsi="Times New Roman" w:cs="Times New Roman"/>
          <w:color w:val="0000FF"/>
        </w:rPr>
        <w:t>, (2024</w:t>
      </w:r>
      <w:proofErr w:type="gramStart"/>
      <w:r w:rsidR="001F3D85">
        <w:rPr>
          <w:rFonts w:ascii="Times New Roman" w:hAnsi="Times New Roman" w:cs="Times New Roman"/>
          <w:color w:val="0000FF"/>
        </w:rPr>
        <w:t>a,b</w:t>
      </w:r>
      <w:proofErr w:type="gramEnd"/>
      <w:r w:rsidR="001F3D85">
        <w:rPr>
          <w:rFonts w:ascii="Times New Roman" w:hAnsi="Times New Roman" w:cs="Times New Roman"/>
          <w:color w:val="0000FF"/>
        </w:rPr>
        <w:t xml:space="preserve">), </w:t>
      </w:r>
      <w:r>
        <w:rPr>
          <w:rFonts w:ascii="Times New Roman" w:hAnsi="Times New Roman" w:cs="Times New Roman"/>
          <w:color w:val="0000FF"/>
        </w:rPr>
        <w:t xml:space="preserve">is made clear in the literature review on </w:t>
      </w:r>
      <w:r w:rsidRPr="008D2916">
        <w:rPr>
          <w:rFonts w:ascii="Times New Roman" w:hAnsi="Times New Roman" w:cs="Times New Roman"/>
          <w:b/>
          <w:bCs/>
          <w:color w:val="0000FF"/>
        </w:rPr>
        <w:t>p.6</w:t>
      </w:r>
      <w:r>
        <w:rPr>
          <w:rFonts w:ascii="Times New Roman" w:hAnsi="Times New Roman" w:cs="Times New Roman"/>
          <w:color w:val="0000FF"/>
        </w:rPr>
        <w:t xml:space="preserve"> of the introduction (“</w:t>
      </w:r>
      <w:r w:rsidRPr="00E94707">
        <w:rPr>
          <w:rFonts w:ascii="Times New Roman" w:hAnsi="Times New Roman" w:cs="Times New Roman"/>
          <w:b/>
          <w:bCs/>
          <w:color w:val="0000FF"/>
        </w:rPr>
        <w:t>Complementary to this paper</w:t>
      </w:r>
      <w:r>
        <w:rPr>
          <w:rFonts w:ascii="Times New Roman" w:hAnsi="Times New Roman" w:cs="Times New Roman"/>
          <w:b/>
          <w:bCs/>
          <w:color w:val="0000FF"/>
        </w:rPr>
        <w:t>,</w:t>
      </w:r>
      <w:r w:rsidRPr="00E94707">
        <w:rPr>
          <w:rFonts w:ascii="Times New Roman" w:hAnsi="Times New Roman" w:cs="Times New Roman"/>
          <w:b/>
          <w:bCs/>
          <w:color w:val="0000FF"/>
        </w:rPr>
        <w:t xml:space="preserve"> Bauer,</w:t>
      </w:r>
      <w:r>
        <w:rPr>
          <w:rFonts w:ascii="Times New Roman" w:hAnsi="Times New Roman" w:cs="Times New Roman"/>
          <w:b/>
          <w:bCs/>
          <w:color w:val="0000FF"/>
        </w:rPr>
        <w:t xml:space="preserve"> </w:t>
      </w:r>
      <w:r w:rsidRPr="00E94707">
        <w:rPr>
          <w:rFonts w:ascii="Times New Roman" w:hAnsi="Times New Roman" w:cs="Times New Roman"/>
          <w:b/>
          <w:bCs/>
          <w:color w:val="0000FF"/>
        </w:rPr>
        <w:t>P</w:t>
      </w:r>
      <w:r>
        <w:rPr>
          <w:rFonts w:ascii="Times New Roman" w:hAnsi="Times New Roman" w:cs="Times New Roman"/>
          <w:b/>
          <w:bCs/>
          <w:color w:val="0000FF"/>
        </w:rPr>
        <w:t>fl</w:t>
      </w:r>
      <w:r w:rsidRPr="00E94707">
        <w:rPr>
          <w:rFonts w:ascii="Times New Roman" w:hAnsi="Times New Roman" w:cs="Times New Roman"/>
          <w:b/>
          <w:bCs/>
          <w:color w:val="0000FF"/>
        </w:rPr>
        <w:t xml:space="preserve">ueger, and </w:t>
      </w:r>
      <w:proofErr w:type="spellStart"/>
      <w:r w:rsidRPr="00E94707">
        <w:rPr>
          <w:rFonts w:ascii="Times New Roman" w:hAnsi="Times New Roman" w:cs="Times New Roman"/>
          <w:b/>
          <w:bCs/>
          <w:color w:val="0000FF"/>
        </w:rPr>
        <w:t>Sunderam</w:t>
      </w:r>
      <w:proofErr w:type="spellEnd"/>
      <w:r w:rsidRPr="00E94707">
        <w:rPr>
          <w:rFonts w:ascii="Times New Roman" w:hAnsi="Times New Roman" w:cs="Times New Roman"/>
          <w:b/>
          <w:bCs/>
          <w:color w:val="0000FF"/>
        </w:rPr>
        <w:t xml:space="preserve"> (2024a,b) (…)</w:t>
      </w:r>
      <w:r w:rsidRPr="00E94707">
        <w:rPr>
          <w:rFonts w:ascii="Times New Roman" w:hAnsi="Times New Roman" w:cs="Times New Roman"/>
          <w:color w:val="0000FF"/>
        </w:rPr>
        <w:t>”</w:t>
      </w:r>
      <w:r>
        <w:rPr>
          <w:rFonts w:ascii="Times New Roman" w:hAnsi="Times New Roman" w:cs="Times New Roman"/>
          <w:color w:val="0000FF"/>
        </w:rPr>
        <w:t xml:space="preserve">) . </w:t>
      </w:r>
    </w:p>
    <w:p w14:paraId="6DBBAB48" w14:textId="77777777" w:rsidR="001F3D85" w:rsidRDefault="001F3D85" w:rsidP="001F3D85">
      <w:pPr>
        <w:autoSpaceDE w:val="0"/>
        <w:autoSpaceDN w:val="0"/>
        <w:adjustRightInd w:val="0"/>
        <w:spacing w:after="0" w:line="240" w:lineRule="auto"/>
        <w:ind w:left="360"/>
        <w:rPr>
          <w:rFonts w:ascii="Times New Roman" w:hAnsi="Times New Roman" w:cs="Times New Roman"/>
          <w:color w:val="0000FF"/>
        </w:rPr>
      </w:pPr>
    </w:p>
    <w:p w14:paraId="15300DAA" w14:textId="21BC5AF2" w:rsidR="009253A3" w:rsidRDefault="009253A3"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Figure 10 </w:t>
      </w:r>
      <w:r w:rsidR="005B01D7">
        <w:rPr>
          <w:rFonts w:ascii="Times New Roman" w:hAnsi="Times New Roman" w:cs="Times New Roman"/>
          <w:color w:val="0000FF"/>
        </w:rPr>
        <w:t xml:space="preserve">in </w:t>
      </w:r>
      <w:r w:rsidR="00D9068C">
        <w:rPr>
          <w:rFonts w:ascii="Times New Roman" w:hAnsi="Times New Roman" w:cs="Times New Roman"/>
          <w:color w:val="0000FF"/>
        </w:rPr>
        <w:t>Section 5</w:t>
      </w:r>
      <w:r w:rsidR="005B01D7">
        <w:rPr>
          <w:rFonts w:ascii="Times New Roman" w:hAnsi="Times New Roman" w:cs="Times New Roman"/>
          <w:color w:val="0000FF"/>
        </w:rPr>
        <w:t xml:space="preserve"> depicts rolling nominal, real, and breakeven betas from daily data during the post-pandemic period. Panel A </w:t>
      </w:r>
      <w:r>
        <w:rPr>
          <w:rFonts w:ascii="Times New Roman" w:hAnsi="Times New Roman" w:cs="Times New Roman"/>
          <w:color w:val="0000FF"/>
        </w:rPr>
        <w:t xml:space="preserve">shows that </w:t>
      </w:r>
      <w:r w:rsidR="007A19CD">
        <w:rPr>
          <w:rFonts w:ascii="Times New Roman" w:hAnsi="Times New Roman" w:cs="Times New Roman"/>
          <w:color w:val="0000FF"/>
        </w:rPr>
        <w:t xml:space="preserve">while </w:t>
      </w:r>
      <w:r>
        <w:rPr>
          <w:rFonts w:ascii="Times New Roman" w:hAnsi="Times New Roman" w:cs="Times New Roman"/>
          <w:color w:val="0000FF"/>
        </w:rPr>
        <w:t xml:space="preserve">nominal </w:t>
      </w:r>
      <w:r w:rsidR="009C109E">
        <w:rPr>
          <w:rFonts w:ascii="Times New Roman" w:hAnsi="Times New Roman" w:cs="Times New Roman"/>
          <w:color w:val="0000FF"/>
        </w:rPr>
        <w:t xml:space="preserve">bond-stock betas </w:t>
      </w:r>
      <w:r w:rsidR="007A19CD">
        <w:rPr>
          <w:rFonts w:ascii="Times New Roman" w:hAnsi="Times New Roman" w:cs="Times New Roman"/>
          <w:color w:val="0000FF"/>
        </w:rPr>
        <w:t xml:space="preserve">show some higher frequency movements, they overall </w:t>
      </w:r>
      <w:r>
        <w:rPr>
          <w:rFonts w:ascii="Times New Roman" w:hAnsi="Times New Roman" w:cs="Times New Roman"/>
          <w:color w:val="0000FF"/>
        </w:rPr>
        <w:t xml:space="preserve">remained negative </w:t>
      </w:r>
      <w:r w:rsidR="005B01D7">
        <w:rPr>
          <w:rFonts w:ascii="Times New Roman" w:hAnsi="Times New Roman" w:cs="Times New Roman"/>
          <w:color w:val="0000FF"/>
        </w:rPr>
        <w:t xml:space="preserve">during the early post-pandemic and only turned </w:t>
      </w:r>
      <w:r w:rsidR="007A19CD">
        <w:rPr>
          <w:rFonts w:ascii="Times New Roman" w:hAnsi="Times New Roman" w:cs="Times New Roman"/>
          <w:color w:val="0000FF"/>
        </w:rPr>
        <w:t xml:space="preserve">decisively </w:t>
      </w:r>
      <w:r w:rsidR="005B01D7">
        <w:rPr>
          <w:rFonts w:ascii="Times New Roman" w:hAnsi="Times New Roman" w:cs="Times New Roman"/>
          <w:color w:val="0000FF"/>
        </w:rPr>
        <w:t xml:space="preserve">positive </w:t>
      </w:r>
      <w:r w:rsidR="007A19CD">
        <w:rPr>
          <w:rFonts w:ascii="Times New Roman" w:hAnsi="Times New Roman" w:cs="Times New Roman"/>
          <w:color w:val="0000FF"/>
        </w:rPr>
        <w:t>at the very end of sample in the second half of 2023</w:t>
      </w:r>
      <w:r w:rsidR="005B01D7">
        <w:rPr>
          <w:rFonts w:ascii="Times New Roman" w:hAnsi="Times New Roman" w:cs="Times New Roman"/>
          <w:color w:val="0000FF"/>
        </w:rPr>
        <w:t xml:space="preserve">. </w:t>
      </w:r>
      <w:r w:rsidR="007A19CD">
        <w:rPr>
          <w:rFonts w:ascii="Times New Roman" w:hAnsi="Times New Roman" w:cs="Times New Roman"/>
          <w:color w:val="0000FF"/>
        </w:rPr>
        <w:t xml:space="preserve">Panel B depicts </w:t>
      </w:r>
      <w:r w:rsidR="00185D72">
        <w:rPr>
          <w:rFonts w:ascii="Times New Roman" w:hAnsi="Times New Roman" w:cs="Times New Roman"/>
          <w:color w:val="0000FF"/>
        </w:rPr>
        <w:t>rolling</w:t>
      </w:r>
      <w:r w:rsidR="007A19CD">
        <w:rPr>
          <w:rFonts w:ascii="Times New Roman" w:hAnsi="Times New Roman" w:cs="Times New Roman"/>
          <w:color w:val="0000FF"/>
        </w:rPr>
        <w:t xml:space="preserve"> breakeven betas (or the difference between nominal and real bond-stock betas) with confidence intervals. This shows that until mid-2023 nominal bond-stock betas were either significantly lower than real bond-stock betas, or at least not statistically significantly different, indicating that the inflationary dynamics priced in bond-stock betas were still procyclical (since breakeven returns are inversely related to inflation expectations). However, in the second half of 2023, breakeven betas did turn significantly positive, </w:t>
      </w:r>
      <w:r w:rsidR="00185D72">
        <w:rPr>
          <w:rFonts w:ascii="Times New Roman" w:hAnsi="Times New Roman" w:cs="Times New Roman"/>
          <w:color w:val="0000FF"/>
        </w:rPr>
        <w:t xml:space="preserve">suggesting </w:t>
      </w:r>
      <w:r w:rsidR="007A19CD">
        <w:rPr>
          <w:rFonts w:ascii="Times New Roman" w:hAnsi="Times New Roman" w:cs="Times New Roman"/>
          <w:color w:val="0000FF"/>
        </w:rPr>
        <w:t xml:space="preserve">that the priced cyclicality of inflation expectations had changed. I interpret these patterns as providing out-of-sample confirmation of the key model predictions, </w:t>
      </w:r>
      <w:r>
        <w:rPr>
          <w:rFonts w:ascii="Times New Roman" w:hAnsi="Times New Roman" w:cs="Times New Roman"/>
          <w:color w:val="0000FF"/>
        </w:rPr>
        <w:t>if supply shocks were a significant concern throughout the post-pandemic period</w:t>
      </w:r>
      <w:r w:rsidR="005B01D7">
        <w:rPr>
          <w:rFonts w:ascii="Times New Roman" w:hAnsi="Times New Roman" w:cs="Times New Roman"/>
          <w:color w:val="0000FF"/>
        </w:rPr>
        <w:t xml:space="preserve">, but </w:t>
      </w:r>
      <w:r>
        <w:rPr>
          <w:rFonts w:ascii="Times New Roman" w:hAnsi="Times New Roman" w:cs="Times New Roman"/>
          <w:color w:val="0000FF"/>
        </w:rPr>
        <w:t xml:space="preserve">the priced monetary policy rule changed from a low inflation coefficient in the early post-pandemic to a high inflation coefficient in the later post-pandemic. </w:t>
      </w:r>
      <w:r w:rsidR="00307FEC">
        <w:rPr>
          <w:rFonts w:ascii="Times New Roman" w:hAnsi="Times New Roman" w:cs="Times New Roman"/>
          <w:color w:val="0000FF"/>
        </w:rPr>
        <w:t xml:space="preserve">The manuscript contains a revised discussion of Figure 10 on </w:t>
      </w:r>
      <w:r w:rsidR="00307FEC" w:rsidRPr="000506C0">
        <w:rPr>
          <w:rFonts w:ascii="Times New Roman" w:hAnsi="Times New Roman" w:cs="Times New Roman"/>
          <w:b/>
          <w:bCs/>
          <w:color w:val="0000FF"/>
        </w:rPr>
        <w:t>pp.34-35</w:t>
      </w:r>
      <w:r w:rsidR="00307FEC">
        <w:rPr>
          <w:rFonts w:ascii="Times New Roman" w:hAnsi="Times New Roman" w:cs="Times New Roman"/>
          <w:color w:val="0000FF"/>
        </w:rPr>
        <w:t>.</w:t>
      </w:r>
    </w:p>
    <w:p w14:paraId="69025C2B" w14:textId="789B479F" w:rsidR="008925ED" w:rsidRDefault="009253A3" w:rsidP="0043656B">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w:t>
      </w:r>
      <w:r w:rsidRPr="00953058">
        <w:rPr>
          <w:rFonts w:ascii="Times New Roman" w:hAnsi="Times New Roman" w:cs="Times New Roman"/>
          <w:b/>
          <w:bCs/>
          <w:color w:val="0000FF"/>
        </w:rPr>
        <w:t>revised Table 3</w:t>
      </w:r>
      <w:r>
        <w:rPr>
          <w:rFonts w:ascii="Times New Roman" w:hAnsi="Times New Roman" w:cs="Times New Roman"/>
          <w:color w:val="0000FF"/>
        </w:rPr>
        <w:t xml:space="preserve"> </w:t>
      </w:r>
      <w:r w:rsidR="007A19CD">
        <w:rPr>
          <w:rFonts w:ascii="Times New Roman" w:hAnsi="Times New Roman" w:cs="Times New Roman"/>
          <w:color w:val="0000FF"/>
        </w:rPr>
        <w:t xml:space="preserve">provides a simple reverse-engineering exercise, showing that </w:t>
      </w:r>
      <w:r>
        <w:rPr>
          <w:rFonts w:ascii="Times New Roman" w:hAnsi="Times New Roman" w:cs="Times New Roman"/>
          <w:color w:val="0000FF"/>
        </w:rPr>
        <w:t>observed nominal and real bond-stock betas</w:t>
      </w:r>
      <w:r w:rsidR="007A19CD">
        <w:rPr>
          <w:rFonts w:ascii="Times New Roman" w:hAnsi="Times New Roman" w:cs="Times New Roman"/>
          <w:color w:val="0000FF"/>
        </w:rPr>
        <w:t xml:space="preserve"> in the early and late post-pandemic periods can be matched with </w:t>
      </w:r>
      <w:r>
        <w:rPr>
          <w:rFonts w:ascii="Times New Roman" w:hAnsi="Times New Roman" w:cs="Times New Roman"/>
          <w:color w:val="0000FF"/>
        </w:rPr>
        <w:t>1980s-style macroeconomic shocks</w:t>
      </w:r>
      <w:r w:rsidR="00185D72">
        <w:rPr>
          <w:rFonts w:ascii="Times New Roman" w:hAnsi="Times New Roman" w:cs="Times New Roman"/>
          <w:color w:val="0000FF"/>
        </w:rPr>
        <w:t xml:space="preserve">, and a low monetary policy inflation coefficient during the early post-pandemic but a higher monetary policy inflation coefficient during the later post-pandemic. The results in Table 3 hence indicate </w:t>
      </w:r>
      <w:r w:rsidR="007A19CD">
        <w:rPr>
          <w:rFonts w:ascii="Times New Roman" w:hAnsi="Times New Roman" w:cs="Times New Roman"/>
          <w:color w:val="0000FF"/>
        </w:rPr>
        <w:t xml:space="preserve">that the monetary policy rule implied by bond-stock betas was </w:t>
      </w:r>
      <w:proofErr w:type="gramStart"/>
      <w:r w:rsidR="007A19CD">
        <w:rPr>
          <w:rFonts w:ascii="Times New Roman" w:hAnsi="Times New Roman" w:cs="Times New Roman"/>
          <w:color w:val="0000FF"/>
        </w:rPr>
        <w:t>similar to</w:t>
      </w:r>
      <w:proofErr w:type="gramEnd"/>
      <w:r w:rsidR="007A19CD">
        <w:rPr>
          <w:rFonts w:ascii="Times New Roman" w:hAnsi="Times New Roman" w:cs="Times New Roman"/>
          <w:color w:val="0000FF"/>
        </w:rPr>
        <w:t xml:space="preserve"> the 2000s during 2021 and 2022, but became more similar to the 1980s monetary policy rule during 2023 after the series of energetic rate hikes. </w:t>
      </w:r>
      <w:r w:rsidR="007B0C5A">
        <w:rPr>
          <w:rFonts w:ascii="Times New Roman" w:hAnsi="Times New Roman" w:cs="Times New Roman"/>
          <w:color w:val="0000FF"/>
        </w:rPr>
        <w:t xml:space="preserve">The revised description of Table 3 can be found on </w:t>
      </w:r>
      <w:r w:rsidR="007B0C5A" w:rsidRPr="00307FEC">
        <w:rPr>
          <w:rFonts w:ascii="Times New Roman" w:hAnsi="Times New Roman" w:cs="Times New Roman"/>
          <w:b/>
          <w:bCs/>
          <w:color w:val="0000FF"/>
        </w:rPr>
        <w:t xml:space="preserve">pp. </w:t>
      </w:r>
      <w:r w:rsidR="00307FEC" w:rsidRPr="00307FEC">
        <w:rPr>
          <w:rFonts w:ascii="Times New Roman" w:hAnsi="Times New Roman" w:cs="Times New Roman"/>
          <w:b/>
          <w:bCs/>
          <w:color w:val="0000FF"/>
        </w:rPr>
        <w:t>36-37</w:t>
      </w:r>
      <w:r w:rsidR="00307FEC">
        <w:rPr>
          <w:rFonts w:ascii="Times New Roman" w:hAnsi="Times New Roman" w:cs="Times New Roman"/>
          <w:color w:val="0000FF"/>
        </w:rPr>
        <w:t xml:space="preserve"> of the paper. </w:t>
      </w:r>
    </w:p>
    <w:p w14:paraId="10185674" w14:textId="77777777" w:rsidR="0079087F" w:rsidRDefault="0079087F" w:rsidP="0043656B">
      <w:pPr>
        <w:shd w:val="clear" w:color="auto" w:fill="FFFFFF"/>
        <w:spacing w:line="240" w:lineRule="auto"/>
        <w:ind w:left="360"/>
        <w:rPr>
          <w:rFonts w:ascii="Times New Roman" w:hAnsi="Times New Roman" w:cs="Times New Roman"/>
          <w:color w:val="0000FF"/>
        </w:rPr>
      </w:pPr>
    </w:p>
    <w:p w14:paraId="1ADBF80E" w14:textId="77777777" w:rsidR="00F303D9" w:rsidRDefault="00F303D9" w:rsidP="008729B2">
      <w:pPr>
        <w:autoSpaceDE w:val="0"/>
        <w:autoSpaceDN w:val="0"/>
        <w:adjustRightInd w:val="0"/>
        <w:spacing w:after="0" w:line="240" w:lineRule="auto"/>
        <w:jc w:val="both"/>
        <w:rPr>
          <w:rFonts w:ascii="Times New Roman" w:hAnsi="Times New Roman" w:cs="Times New Roman"/>
          <w:color w:val="0000FF"/>
        </w:rPr>
      </w:pPr>
    </w:p>
    <w:p w14:paraId="0EB8F999" w14:textId="20A88EDB" w:rsidR="00F303D9" w:rsidRPr="00B84221" w:rsidRDefault="00B84221" w:rsidP="00DD71CF">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t>Responses to Referee 1</w:t>
      </w:r>
    </w:p>
    <w:p w14:paraId="01C97C80" w14:textId="77777777" w:rsidR="00F303D9" w:rsidRDefault="00F303D9" w:rsidP="00F303D9">
      <w:pPr>
        <w:adjustRightInd w:val="0"/>
        <w:spacing w:after="0" w:line="240" w:lineRule="auto"/>
        <w:rPr>
          <w:rFonts w:ascii="Times New Roman" w:hAnsi="Times New Roman" w:cs="Times New Roman"/>
          <w:b/>
          <w:bCs/>
        </w:rPr>
      </w:pPr>
    </w:p>
    <w:p w14:paraId="5B7E51EB" w14:textId="237784A0" w:rsidR="00F303D9" w:rsidRPr="00F303D9" w:rsidRDefault="00F303D9" w:rsidP="00F303D9">
      <w:pPr>
        <w:adjustRightInd w:val="0"/>
        <w:spacing w:after="0" w:line="240" w:lineRule="auto"/>
        <w:rPr>
          <w:rFonts w:ascii="Times New Roman" w:hAnsi="Times New Roman" w:cs="Times New Roman"/>
          <w:b/>
          <w:bCs/>
        </w:rPr>
      </w:pPr>
      <w:r w:rsidRPr="00E81D4B">
        <w:rPr>
          <w:rFonts w:ascii="Times New Roman" w:hAnsi="Times New Roman" w:cs="Times New Roman"/>
          <w:color w:val="0000FF"/>
        </w:rPr>
        <w:t xml:space="preserve">Thank you for </w:t>
      </w:r>
      <w:r>
        <w:rPr>
          <w:rFonts w:ascii="Times New Roman" w:hAnsi="Times New Roman" w:cs="Times New Roman"/>
          <w:color w:val="0000FF"/>
        </w:rPr>
        <w:t xml:space="preserve">your careful reading </w:t>
      </w:r>
      <w:r w:rsidR="000E1941">
        <w:rPr>
          <w:rFonts w:ascii="Times New Roman" w:hAnsi="Times New Roman" w:cs="Times New Roman"/>
          <w:color w:val="0000FF"/>
        </w:rPr>
        <w:t xml:space="preserve">of the manuscript </w:t>
      </w:r>
      <w:r>
        <w:rPr>
          <w:rFonts w:ascii="Times New Roman" w:hAnsi="Times New Roman" w:cs="Times New Roman"/>
          <w:color w:val="0000FF"/>
        </w:rPr>
        <w:t xml:space="preserve">and </w:t>
      </w:r>
      <w:r w:rsidR="00D47289">
        <w:rPr>
          <w:rFonts w:ascii="Times New Roman" w:hAnsi="Times New Roman" w:cs="Times New Roman"/>
          <w:color w:val="0000FF"/>
        </w:rPr>
        <w:t>your insightful</w:t>
      </w:r>
      <w:r>
        <w:rPr>
          <w:rFonts w:ascii="Times New Roman" w:hAnsi="Times New Roman" w:cs="Times New Roman"/>
          <w:color w:val="0000FF"/>
        </w:rPr>
        <w:t xml:space="preserve"> comments. I addressed them following the AE’s guidance</w:t>
      </w:r>
      <w:r w:rsidR="00B5610F">
        <w:rPr>
          <w:rFonts w:ascii="Times New Roman" w:hAnsi="Times New Roman" w:cs="Times New Roman"/>
          <w:color w:val="0000FF"/>
        </w:rPr>
        <w:t>,</w:t>
      </w:r>
      <w:r>
        <w:rPr>
          <w:rFonts w:ascii="Times New Roman" w:hAnsi="Times New Roman" w:cs="Times New Roman"/>
          <w:color w:val="0000FF"/>
        </w:rPr>
        <w:t xml:space="preserve"> </w:t>
      </w:r>
      <w:r w:rsidR="000E1941">
        <w:rPr>
          <w:rFonts w:ascii="Times New Roman" w:hAnsi="Times New Roman" w:cs="Times New Roman"/>
          <w:color w:val="0000FF"/>
        </w:rPr>
        <w:t xml:space="preserve">and </w:t>
      </w:r>
      <w:r w:rsidR="00AB2D58">
        <w:rPr>
          <w:rFonts w:ascii="Times New Roman" w:hAnsi="Times New Roman" w:cs="Times New Roman"/>
          <w:color w:val="0000FF"/>
        </w:rPr>
        <w:t xml:space="preserve">am thrilled to resubmit a clearer and much improved manuscript. </w:t>
      </w:r>
      <w:r w:rsidR="000E1941">
        <w:rPr>
          <w:rFonts w:ascii="Times New Roman" w:hAnsi="Times New Roman" w:cs="Times New Roman"/>
          <w:color w:val="0000FF"/>
        </w:rPr>
        <w:t xml:space="preserve">I include detailed point-by-point responses to your comments below. </w:t>
      </w:r>
    </w:p>
    <w:p w14:paraId="392BF7C2" w14:textId="7E0A745D" w:rsidR="00552B46" w:rsidRPr="002B764F" w:rsidRDefault="00F303D9" w:rsidP="002B764F">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E215BD">
        <w:rPr>
          <w:rFonts w:ascii="Times New Roman" w:hAnsi="Times New Roman" w:cs="Times New Roman" w:hint="eastAsia"/>
          <w:b/>
          <w:bCs/>
        </w:rPr>
        <w:t>Lack of methodological novelty.</w:t>
      </w:r>
      <w:r>
        <w:rPr>
          <w:rFonts w:ascii="Times New Roman" w:hAnsi="Times New Roman" w:cs="Times New Roman" w:hint="eastAsia"/>
        </w:rPr>
        <w:t xml:space="preserve"> This paper is too close to CPV. The model is mostly the same: in fact, most of the equations in Section 2 are the same as in CPV. The difference is the Phillips </w:t>
      </w:r>
      <w:proofErr w:type="gramStart"/>
      <w:r>
        <w:rPr>
          <w:rFonts w:ascii="Times New Roman" w:hAnsi="Times New Roman" w:cs="Times New Roman" w:hint="eastAsia"/>
        </w:rPr>
        <w:t>curve</w:t>
      </w:r>
      <w:proofErr w:type="gramEnd"/>
      <w:r>
        <w:rPr>
          <w:rFonts w:ascii="Times New Roman" w:hAnsi="Times New Roman" w:cs="Times New Roman" w:hint="eastAsia"/>
        </w:rPr>
        <w:t xml:space="preserve"> and the monetary policy rule described in Section 2.4 and 2.5. Methodologically, this is </w:t>
      </w:r>
      <w:r>
        <w:rPr>
          <w:rFonts w:ascii="Times New Roman" w:hAnsi="Times New Roman" w:cs="Times New Roman"/>
        </w:rPr>
        <w:t>a relatively</w:t>
      </w:r>
      <w:r>
        <w:rPr>
          <w:rFonts w:ascii="Times New Roman" w:hAnsi="Times New Roman" w:cs="Times New Roman" w:hint="eastAsia"/>
        </w:rPr>
        <w:t xml:space="preserve"> minor extension. Moreover, the structural additions are either not </w:t>
      </w:r>
      <w:proofErr w:type="gramStart"/>
      <w:r>
        <w:rPr>
          <w:rFonts w:ascii="Times New Roman" w:hAnsi="Times New Roman" w:cs="Times New Roman" w:hint="eastAsia"/>
        </w:rPr>
        <w:t>really structural</w:t>
      </w:r>
      <w:proofErr w:type="gramEnd"/>
      <w:r>
        <w:rPr>
          <w:rFonts w:ascii="Times New Roman" w:hAnsi="Times New Roman" w:cs="Times New Roman" w:hint="eastAsia"/>
        </w:rPr>
        <w:t xml:space="preserve"> or not very convincing. Specifically:</w:t>
      </w:r>
    </w:p>
    <w:p w14:paraId="7107BC08" w14:textId="426297DD" w:rsidR="00A7692B" w:rsidRDefault="000E1941" w:rsidP="000E1941">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0E1941">
        <w:rPr>
          <w:rFonts w:ascii="Times New Roman" w:hAnsi="Times New Roman" w:cs="Times New Roman"/>
          <w:b/>
          <w:bCs/>
          <w:color w:val="0000FF"/>
        </w:rPr>
        <w:t>Reply:</w:t>
      </w:r>
      <w:r>
        <w:rPr>
          <w:rFonts w:ascii="Times New Roman" w:hAnsi="Times New Roman" w:cs="Times New Roman"/>
          <w:b/>
          <w:bCs/>
          <w:color w:val="0000FF"/>
        </w:rPr>
        <w:t xml:space="preserve"> </w:t>
      </w:r>
      <w:r>
        <w:rPr>
          <w:rFonts w:ascii="Times New Roman" w:hAnsi="Times New Roman" w:cs="Times New Roman"/>
          <w:color w:val="0000FF"/>
        </w:rPr>
        <w:t xml:space="preserve">I substantially </w:t>
      </w:r>
      <w:r w:rsidR="00B5610F">
        <w:rPr>
          <w:rFonts w:ascii="Times New Roman" w:hAnsi="Times New Roman" w:cs="Times New Roman"/>
          <w:color w:val="0000FF"/>
        </w:rPr>
        <w:t xml:space="preserve">re-wrote the introduction to clarify this paper’s contribution </w:t>
      </w:r>
      <w:r w:rsidR="00707776">
        <w:rPr>
          <w:rFonts w:ascii="Times New Roman" w:hAnsi="Times New Roman" w:cs="Times New Roman"/>
          <w:color w:val="0000FF"/>
        </w:rPr>
        <w:t xml:space="preserve">following the detailed suggestions by the AE and referee 2. </w:t>
      </w:r>
      <w:r w:rsidR="006833F4">
        <w:rPr>
          <w:rFonts w:ascii="Times New Roman" w:hAnsi="Times New Roman" w:cs="Times New Roman"/>
          <w:color w:val="0000FF"/>
        </w:rPr>
        <w:t>Th</w:t>
      </w:r>
      <w:r w:rsidR="00A7692B">
        <w:rPr>
          <w:rFonts w:ascii="Times New Roman" w:hAnsi="Times New Roman" w:cs="Times New Roman"/>
          <w:color w:val="0000FF"/>
        </w:rPr>
        <w:t xml:space="preserve">e unique contribution of this paper is now stated up-front in </w:t>
      </w:r>
      <w:r w:rsidR="00A7692B" w:rsidRPr="0075009A">
        <w:rPr>
          <w:rFonts w:ascii="Times New Roman" w:hAnsi="Times New Roman" w:cs="Times New Roman"/>
          <w:b/>
          <w:bCs/>
          <w:color w:val="0000FF"/>
        </w:rPr>
        <w:t>the second paragraph on p.1</w:t>
      </w:r>
      <w:r w:rsidR="00A7692B">
        <w:rPr>
          <w:rFonts w:ascii="Times New Roman" w:hAnsi="Times New Roman" w:cs="Times New Roman"/>
          <w:color w:val="0000FF"/>
        </w:rPr>
        <w:t xml:space="preserve"> as follows: </w:t>
      </w:r>
    </w:p>
    <w:p w14:paraId="6C6B53D5" w14:textId="5ACD85EB" w:rsidR="00A7692B" w:rsidRDefault="00A7692B" w:rsidP="00A7692B">
      <w:pPr>
        <w:widowControl w:val="0"/>
        <w:autoSpaceDE w:val="0"/>
        <w:autoSpaceDN w:val="0"/>
        <w:adjustRightInd w:val="0"/>
        <w:spacing w:before="240" w:after="0" w:line="240" w:lineRule="auto"/>
        <w:ind w:left="720"/>
        <w:jc w:val="both"/>
        <w:rPr>
          <w:rFonts w:ascii="Times New Roman" w:hAnsi="Times New Roman" w:cs="Times New Roman"/>
          <w:color w:val="0000FF"/>
        </w:rPr>
      </w:pPr>
      <w:r>
        <w:rPr>
          <w:rFonts w:ascii="Times New Roman" w:hAnsi="Times New Roman" w:cs="Times New Roman"/>
          <w:color w:val="0000FF"/>
        </w:rPr>
        <w:t>“</w:t>
      </w:r>
      <w:r w:rsidR="00B5610F" w:rsidRPr="00B5610F">
        <w:rPr>
          <w:rFonts w:ascii="Times New Roman" w:hAnsi="Times New Roman" w:cs="Times New Roman"/>
          <w:color w:val="0000FF"/>
        </w:rPr>
        <w:t>Calibrating a New Keynesian equilibrium model for asset prices separately to the 1980s and the 2000s, I find that over the past 30 years monetary policy and the real side of the economy have changed sufficiently that reverting either set of parameters is insufficient to revert bond risks to their levels in the 1980s. Instead, a “perfect storm” consisting of a change towards more volatile supply shocks and a more hawkish monetary policy rule is needed to generate a reversion back to the risky bond markets of the 1980s</w:t>
      </w:r>
      <w:r w:rsidRPr="00A7692B">
        <w:rPr>
          <w:rFonts w:ascii="Times New Roman" w:hAnsi="Times New Roman" w:cs="Times New Roman"/>
          <w:color w:val="0000FF"/>
        </w:rPr>
        <w:t>.</w:t>
      </w:r>
      <w:r w:rsidR="004367D0">
        <w:rPr>
          <w:rFonts w:ascii="Times New Roman" w:hAnsi="Times New Roman" w:cs="Times New Roman"/>
          <w:color w:val="0000FF"/>
        </w:rPr>
        <w:t>”</w:t>
      </w:r>
    </w:p>
    <w:p w14:paraId="15B6CB00" w14:textId="77777777" w:rsidR="00A7692B"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33A5202E" w14:textId="0CB12E4C" w:rsidR="00A7692B" w:rsidRDefault="00A30073"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next paragraph (</w:t>
      </w:r>
      <w:r w:rsidR="000B5A51" w:rsidRPr="000B5A51">
        <w:rPr>
          <w:rFonts w:ascii="Times New Roman" w:hAnsi="Times New Roman" w:cs="Times New Roman"/>
          <w:b/>
          <w:bCs/>
          <w:color w:val="0000FF"/>
        </w:rPr>
        <w:t>p.1,</w:t>
      </w:r>
      <w:r w:rsidR="000B5A51">
        <w:rPr>
          <w:rFonts w:ascii="Times New Roman" w:hAnsi="Times New Roman" w:cs="Times New Roman"/>
          <w:color w:val="0000FF"/>
        </w:rPr>
        <w:t xml:space="preserve"> </w:t>
      </w:r>
      <w:r w:rsidR="000B5A51" w:rsidRPr="00C10E55">
        <w:rPr>
          <w:rFonts w:ascii="Times New Roman" w:hAnsi="Times New Roman" w:cs="Times New Roman"/>
          <w:b/>
          <w:bCs/>
          <w:color w:val="0000FF"/>
        </w:rPr>
        <w:t xml:space="preserve">starting </w:t>
      </w:r>
      <w:r>
        <w:rPr>
          <w:rFonts w:ascii="Times New Roman" w:hAnsi="Times New Roman" w:cs="Times New Roman"/>
          <w:b/>
          <w:bCs/>
          <w:color w:val="0000FF"/>
        </w:rPr>
        <w:t>“Despite the substantial literature (…)”</w:t>
      </w:r>
      <w:r w:rsidRPr="00A30073">
        <w:rPr>
          <w:rFonts w:ascii="Times New Roman" w:hAnsi="Times New Roman" w:cs="Times New Roman"/>
          <w:color w:val="0000FF"/>
        </w:rPr>
        <w:t>)</w:t>
      </w:r>
      <w:r>
        <w:rPr>
          <w:rFonts w:ascii="Times New Roman" w:hAnsi="Times New Roman" w:cs="Times New Roman"/>
          <w:b/>
          <w:bCs/>
          <w:color w:val="0000FF"/>
        </w:rPr>
        <w:t xml:space="preserve"> </w:t>
      </w:r>
      <w:r>
        <w:rPr>
          <w:rFonts w:ascii="Times New Roman" w:hAnsi="Times New Roman" w:cs="Times New Roman"/>
          <w:color w:val="0000FF"/>
        </w:rPr>
        <w:t>clarifies how the model in this paper differs from CPV and other key papers. Finally, the revised paper discusses how this paper contributes to the broader literature in a new literature review (</w:t>
      </w:r>
      <w:r w:rsidRPr="00A30073">
        <w:rPr>
          <w:rFonts w:ascii="Times New Roman" w:hAnsi="Times New Roman" w:cs="Times New Roman"/>
          <w:b/>
          <w:bCs/>
          <w:color w:val="0000FF"/>
        </w:rPr>
        <w:t>pp. 4- 6, starting “This paper contains distinct contributions (…)</w:t>
      </w:r>
      <w:r>
        <w:rPr>
          <w:rFonts w:ascii="Times New Roman" w:hAnsi="Times New Roman" w:cs="Times New Roman"/>
          <w:color w:val="0000FF"/>
        </w:rPr>
        <w:t>)</w:t>
      </w:r>
      <w:r w:rsidR="00A7692B" w:rsidRPr="00C10E55">
        <w:rPr>
          <w:rFonts w:ascii="Times New Roman" w:hAnsi="Times New Roman" w:cs="Times New Roman"/>
          <w:color w:val="0000FF"/>
        </w:rPr>
        <w:t xml:space="preserve"> </w:t>
      </w:r>
    </w:p>
    <w:p w14:paraId="4B39C1DA" w14:textId="77777777" w:rsidR="006175AA" w:rsidRPr="00F761D5" w:rsidRDefault="006175AA"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082CE869" w14:textId="77777777" w:rsidR="006175AA" w:rsidRPr="00EC7692" w:rsidRDefault="006175AA" w:rsidP="006175AA">
      <w:pPr>
        <w:widowControl w:val="0"/>
        <w:autoSpaceDE w:val="0"/>
        <w:autoSpaceDN w:val="0"/>
        <w:adjustRightInd w:val="0"/>
        <w:spacing w:after="0" w:line="240" w:lineRule="auto"/>
        <w:ind w:left="360"/>
        <w:rPr>
          <w:rFonts w:ascii="Times New Roman" w:hAnsi="Times New Roman" w:cs="Times New Roman"/>
          <w:color w:val="0000FF"/>
        </w:rPr>
      </w:pPr>
      <w:commentRangeStart w:id="0"/>
      <w:r w:rsidRPr="00EC7692">
        <w:rPr>
          <w:rFonts w:ascii="Times New Roman" w:hAnsi="Times New Roman" w:cs="Times New Roman"/>
          <w:color w:val="0000FF"/>
        </w:rPr>
        <w:t xml:space="preserve">In summary, </w:t>
      </w:r>
      <w:commentRangeEnd w:id="0"/>
      <w:r>
        <w:rPr>
          <w:rStyle w:val="CommentReference"/>
        </w:rPr>
        <w:commentReference w:id="0"/>
      </w:r>
      <w:r w:rsidRPr="00EC7692">
        <w:rPr>
          <w:rFonts w:ascii="Times New Roman" w:hAnsi="Times New Roman" w:cs="Times New Roman"/>
          <w:color w:val="0000FF"/>
        </w:rPr>
        <w:t>while this paper builds on the previous literature, it</w:t>
      </w:r>
      <w:r>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Campbell, Pflueger, and </w:t>
      </w:r>
      <w:proofErr w:type="spellStart"/>
      <w:r w:rsidRPr="00EC7692">
        <w:rPr>
          <w:rFonts w:ascii="Times New Roman" w:hAnsi="Times New Roman" w:cs="Times New Roman"/>
          <w:color w:val="0000FF"/>
        </w:rPr>
        <w:t>Viceira</w:t>
      </w:r>
      <w:proofErr w:type="spellEnd"/>
      <w:r w:rsidRPr="00EC7692">
        <w:rPr>
          <w:rFonts w:ascii="Times New Roman" w:hAnsi="Times New Roman" w:cs="Times New Roman"/>
          <w:color w:val="0000FF"/>
        </w:rPr>
        <w:t xml:space="preserve"> (2020, CPV), contains the same Euler equation, and   prices bonds and stocks using the same habit-formation preferences with countercyclical risk premia. However, CPV is not as </w:t>
      </w:r>
      <w:proofErr w:type="spellStart"/>
      <w:r w:rsidRPr="00EC7692">
        <w:rPr>
          <w:rFonts w:ascii="Times New Roman" w:hAnsi="Times New Roman" w:cs="Times New Roman"/>
          <w:color w:val="0000FF"/>
        </w:rPr>
        <w:t>microfounded</w:t>
      </w:r>
      <w:proofErr w:type="spellEnd"/>
      <w:r w:rsidRPr="00EC7692">
        <w:rPr>
          <w:rFonts w:ascii="Times New Roman" w:hAnsi="Times New Roman" w:cs="Times New Roman"/>
          <w:color w:val="0000FF"/>
        </w:rPr>
        <w:t xml:space="preserve"> as the current manuscript, limiting its ability to conduct counterfactual exercises. While CPV contains reduced-form equations describing inflation and interest rate dynamics that bear some resemblance to a Phillips curve and Taylor rule, in CPV these are equilibrium dynamics and not structural equations. Concretely, the coefficients in CPV’s reduced-form inflation and interest rate dynamics </w:t>
      </w:r>
      <w:r>
        <w:rPr>
          <w:rFonts w:ascii="Times New Roman" w:hAnsi="Times New Roman" w:cs="Times New Roman"/>
          <w:color w:val="0000FF"/>
        </w:rPr>
        <w:t>often do not even have the signs that one would expect in structural equations</w:t>
      </w:r>
      <w:r w:rsidRPr="00EC7692">
        <w:rPr>
          <w:rFonts w:ascii="Times New Roman" w:hAnsi="Times New Roman" w:cs="Times New Roman"/>
          <w:color w:val="0000FF"/>
        </w:rPr>
        <w:t xml:space="preserve"> and their shocks are correlated, so any change in these reduced-form dynamics in CPV must be interpreted as a combination of changes to monetary policy and the macroeconomic environment. By contrast, the current manuscript requires that the Phillips curve (20) and Taylor rule (24) have coefficients in line with the prior structural literature, and that their shocks are uncorrelated, as is standard for structural shocks. The model in CPV is therefore not sufficient to understand how counterfactual changes in macroeconomic volatilities and Taylor rule coefficients impact bond-stock betas.  </w:t>
      </w:r>
    </w:p>
    <w:p w14:paraId="3DDCBD8A"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58603637"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The model in Pflueger and Rinaldi (2022, PR) is more </w:t>
      </w:r>
      <w:proofErr w:type="gramStart"/>
      <w:r w:rsidRPr="00C10E55">
        <w:rPr>
          <w:rFonts w:ascii="Times New Roman" w:hAnsi="Times New Roman" w:cs="Times New Roman"/>
          <w:color w:val="0000FF"/>
        </w:rPr>
        <w:t>similar to</w:t>
      </w:r>
      <w:proofErr w:type="gramEnd"/>
      <w:r w:rsidRPr="00C10E55">
        <w:rPr>
          <w:rFonts w:ascii="Times New Roman" w:hAnsi="Times New Roman" w:cs="Times New Roman"/>
          <w:color w:val="0000FF"/>
        </w:rPr>
        <w:t xml:space="preserve"> the current one, containing a </w:t>
      </w:r>
      <w:r w:rsidRPr="00C10E55">
        <w:rPr>
          <w:rFonts w:ascii="Times New Roman" w:hAnsi="Times New Roman" w:cs="Times New Roman"/>
          <w:color w:val="0000FF"/>
        </w:rPr>
        <w:lastRenderedPageBreak/>
        <w:t xml:space="preserve">structural Phillips curve and a Taylor-type monetary policy rule. However, PR do not study the implications for bond-stock betas and the PR model is insufficient to reach the central conclusion of this manuscript. The current model contains some important changes compared to PR, in particular both demand and supply shocks (PR has neither), </w:t>
      </w:r>
      <w:proofErr w:type="gramStart"/>
      <w:r w:rsidRPr="00C10E55">
        <w:rPr>
          <w:rFonts w:ascii="Times New Roman" w:hAnsi="Times New Roman" w:cs="Times New Roman"/>
          <w:color w:val="0000FF"/>
        </w:rPr>
        <w:t>and</w:t>
      </w:r>
      <w:proofErr w:type="gramEnd"/>
      <w:r w:rsidRPr="00C10E55">
        <w:rPr>
          <w:rFonts w:ascii="Times New Roman" w:hAnsi="Times New Roman" w:cs="Times New Roman"/>
          <w:color w:val="0000FF"/>
        </w:rPr>
        <w:t xml:space="preserve"> adaptive inflation expectations. The ability to perform counterfactual exercises to assess the impact of changes in the macroeconomic shock volatilities and Taylor rule coefficients on bond-stock betas therefore sets this paper apart from CPV and PR. </w:t>
      </w:r>
    </w:p>
    <w:p w14:paraId="7E0CC913"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B8AC9B9"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Regarding the broader literature on changing bond-stock comovements, there are several features that set the current manuscript apart. As discussed by </w:t>
      </w:r>
      <w:r>
        <w:rPr>
          <w:rFonts w:ascii="Times New Roman" w:hAnsi="Times New Roman" w:cs="Times New Roman"/>
          <w:color w:val="0000FF"/>
        </w:rPr>
        <w:t>r</w:t>
      </w:r>
      <w:r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proofErr w:type="spellStart"/>
      <w:r w:rsidRPr="00C10E55">
        <w:rPr>
          <w:rFonts w:ascii="Times New Roman" w:hAnsi="Times New Roman" w:cs="Times New Roman"/>
          <w:color w:val="0000FF"/>
        </w:rPr>
        <w:t>Piazzesi</w:t>
      </w:r>
      <w:proofErr w:type="spellEnd"/>
      <w:r w:rsidRPr="00C10E55">
        <w:rPr>
          <w:rFonts w:ascii="Times New Roman" w:hAnsi="Times New Roman" w:cs="Times New Roman"/>
          <w:color w:val="0000FF"/>
        </w:rPr>
        <w:t xml:space="preserve"> and Schneider (2006), David and Veronesi (2013), Song (2017), Bekaert and Engstrom (2017), Campbell, Pflueger, and </w:t>
      </w:r>
      <w:proofErr w:type="spellStart"/>
      <w:r w:rsidRPr="00C10E55">
        <w:rPr>
          <w:rFonts w:ascii="Times New Roman" w:hAnsi="Times New Roman" w:cs="Times New Roman"/>
          <w:color w:val="0000FF"/>
        </w:rPr>
        <w:t>Viceira</w:t>
      </w:r>
      <w:proofErr w:type="spellEnd"/>
      <w:r w:rsidRPr="00C10E55">
        <w:rPr>
          <w:rFonts w:ascii="Times New Roman" w:hAnsi="Times New Roman" w:cs="Times New Roman"/>
          <w:color w:val="0000FF"/>
        </w:rPr>
        <w:t xml:space="preserve"> (2020),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(2020), and Fang, Liu, and </w:t>
      </w:r>
      <w:proofErr w:type="spellStart"/>
      <w:r w:rsidRPr="00C10E55">
        <w:rPr>
          <w:rFonts w:ascii="Times New Roman" w:hAnsi="Times New Roman" w:cs="Times New Roman"/>
          <w:color w:val="0000FF"/>
        </w:rPr>
        <w:t>Roussanov</w:t>
      </w:r>
      <w:proofErr w:type="spellEnd"/>
      <w:r w:rsidRPr="00C10E55">
        <w:rPr>
          <w:rFonts w:ascii="Times New Roman" w:hAnsi="Times New Roman" w:cs="Times New Roman"/>
          <w:color w:val="0000FF"/>
        </w:rPr>
        <w:t xml:space="preserve"> (2022)); liquidity, flight-to-safety, and time-varying risk aversion  (Baele, Bekaert, and </w:t>
      </w:r>
      <w:proofErr w:type="spellStart"/>
      <w:r w:rsidRPr="00C10E55">
        <w:rPr>
          <w:rFonts w:ascii="Times New Roman" w:hAnsi="Times New Roman" w:cs="Times New Roman"/>
          <w:color w:val="0000FF"/>
        </w:rPr>
        <w:t>Inghelbrecht</w:t>
      </w:r>
      <w:proofErr w:type="spellEnd"/>
      <w:r w:rsidRPr="00C10E55">
        <w:rPr>
          <w:rFonts w:ascii="Times New Roman" w:hAnsi="Times New Roman" w:cs="Times New Roman"/>
          <w:color w:val="0000FF"/>
        </w:rPr>
        <w:t xml:space="preserve"> (2010), Kozak (2022), and </w:t>
      </w:r>
      <w:proofErr w:type="spellStart"/>
      <w:r w:rsidRPr="00C10E55">
        <w:rPr>
          <w:rFonts w:ascii="Times New Roman" w:hAnsi="Times New Roman" w:cs="Times New Roman"/>
          <w:color w:val="0000FF"/>
        </w:rPr>
        <w:t>Laarits</w:t>
      </w:r>
      <w:proofErr w:type="spellEnd"/>
      <w:r w:rsidRPr="00C10E55">
        <w:rPr>
          <w:rFonts w:ascii="Times New Roman" w:hAnsi="Times New Roman" w:cs="Times New Roman"/>
          <w:color w:val="0000FF"/>
        </w:rPr>
        <w:t xml:space="preserve"> (2022)); permanent-transitory compositional changes of consumption growth (Chernov, </w:t>
      </w:r>
      <w:proofErr w:type="spellStart"/>
      <w:r w:rsidRPr="00C10E55">
        <w:rPr>
          <w:rFonts w:ascii="Times New Roman" w:hAnsi="Times New Roman" w:cs="Times New Roman"/>
          <w:color w:val="0000FF"/>
        </w:rPr>
        <w:t>Lochstoer</w:t>
      </w:r>
      <w:proofErr w:type="spellEnd"/>
      <w:r w:rsidRPr="00C10E55">
        <w:rPr>
          <w:rFonts w:ascii="Times New Roman" w:hAnsi="Times New Roman" w:cs="Times New Roman"/>
          <w:color w:val="0000FF"/>
        </w:rPr>
        <w:t xml:space="preserve">,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similarly to supply-type shocks (Bianchi, Faccini, and </w:t>
      </w:r>
      <w:proofErr w:type="spellStart"/>
      <w:r w:rsidRPr="00C10E55">
        <w:rPr>
          <w:rFonts w:ascii="Times New Roman" w:hAnsi="Times New Roman" w:cs="Times New Roman"/>
          <w:color w:val="0000FF"/>
        </w:rPr>
        <w:t>Melosi</w:t>
      </w:r>
      <w:proofErr w:type="spellEnd"/>
      <w:r w:rsidRPr="00C10E55">
        <w:rPr>
          <w:rFonts w:ascii="Times New Roman" w:hAnsi="Times New Roman" w:cs="Times New Roman"/>
          <w:color w:val="0000FF"/>
        </w:rPr>
        <w:t xml:space="preserve"> (2023)).</w:t>
      </w:r>
    </w:p>
    <w:p w14:paraId="2669A6BC"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p>
    <w:p w14:paraId="3E2E3CAF"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particularly closely related paper is Song (2017), which however </w:t>
      </w:r>
      <w:r>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Pr>
          <w:rFonts w:ascii="Times New Roman" w:hAnsi="Times New Roman" w:cs="Times New Roman"/>
          <w:color w:val="0000FF"/>
        </w:rPr>
        <w:t xml:space="preserve">, limiting its ability to speak to the role of macroeconomic shocks vs. monetary policy for bond-stock betas. </w:t>
      </w:r>
    </w:p>
    <w:p w14:paraId="0EDADCDE"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7D57FB93" w14:textId="77777777" w:rsidR="006175AA" w:rsidRDefault="006175AA" w:rsidP="006175AA">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Pr="00C10E55">
        <w:rPr>
          <w:rFonts w:ascii="Times New Roman" w:hAnsi="Times New Roman" w:cs="Times New Roman"/>
          <w:color w:val="0000FF"/>
        </w:rPr>
        <w:t xml:space="preserve">Different from the current paper, the production-based models of Fang, Liu, and </w:t>
      </w:r>
      <w:proofErr w:type="spellStart"/>
      <w:r w:rsidRPr="00C10E55">
        <w:rPr>
          <w:rFonts w:ascii="Times New Roman" w:hAnsi="Times New Roman" w:cs="Times New Roman"/>
          <w:color w:val="0000FF"/>
        </w:rPr>
        <w:t>Roussanov</w:t>
      </w:r>
      <w:proofErr w:type="spellEnd"/>
      <w:r w:rsidRPr="00C10E55">
        <w:rPr>
          <w:rFonts w:ascii="Times New Roman" w:hAnsi="Times New Roman" w:cs="Times New Roman"/>
          <w:color w:val="0000FF"/>
        </w:rPr>
        <w:t xml:space="preserve"> (2022), and Kozak (2022) do not incorporate changes in monetary policy. Conversely,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(2020) and Li et al. (2022) model changes in monetary and/or fiscal policy but do not incorporate changes in the composition of macroeconomic shocks. Those latter two models also acknowledge their limitations as models of asset prices, with basic moments such as the equity premium and equity return volatility either not reported or deviating substantially from the data. Finally,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(2022) consider a model where bond-stock comovements are closely linked to the level of inflation, assuming a constant volatility of technology shocks and no other shocks. Because of the close link between the level of inflation and bond-stock comovements in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(2022), their model is not suited to understanding the key empirical finding in this paper, namely that during 2021 bond-stock betas remained negative even as inflation rose to levels not seen in 40 years. Hence, different from the current manuscript, none of these previous papers </w:t>
      </w:r>
      <w:r>
        <w:rPr>
          <w:rFonts w:ascii="Times New Roman" w:hAnsi="Times New Roman" w:cs="Times New Roman"/>
          <w:color w:val="0000FF"/>
        </w:rPr>
        <w:t xml:space="preserve">are sufficient to reach the conclusion in this paper, namely that supply shocks and an inflation-centric monetary policy rule interact and are both necessary to make nominal bonds risky. </w:t>
      </w:r>
    </w:p>
    <w:p w14:paraId="6A8C050F" w14:textId="4022906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9B6106">
        <w:rPr>
          <w:rFonts w:ascii="Times New Roman" w:hAnsi="Times New Roman" w:cs="Times New Roman" w:hint="eastAsia"/>
        </w:rPr>
        <w:t xml:space="preserve">The Taylor </w:t>
      </w:r>
      <w:r w:rsidRPr="009B6106">
        <w:rPr>
          <w:rFonts w:ascii="Times New Roman" w:hAnsi="Times New Roman" w:cs="Times New Roman"/>
        </w:rPr>
        <w:t>rules are not structural relations. In practice, central banks set</w:t>
      </w:r>
      <w:r w:rsidRPr="009B6106">
        <w:rPr>
          <w:rFonts w:ascii="Times New Roman" w:hAnsi="Times New Roman" w:cs="Times New Roman" w:hint="eastAsia"/>
        </w:rPr>
        <w:t xml:space="preserve"> </w:t>
      </w:r>
      <w:r w:rsidRPr="009B6106">
        <w:rPr>
          <w:rFonts w:ascii="Times New Roman" w:hAnsi="Times New Roman" w:cs="Times New Roman"/>
        </w:rPr>
        <w:t xml:space="preserve">policy </w:t>
      </w:r>
      <w:r w:rsidRPr="009B6106">
        <w:rPr>
          <w:rFonts w:ascii="Times New Roman" w:hAnsi="Times New Roman" w:cs="Times New Roman"/>
          <w:b/>
          <w:bCs/>
        </w:rPr>
        <w:t>with discretion</w:t>
      </w:r>
      <w:r w:rsidRPr="009B6106">
        <w:rPr>
          <w:rFonts w:ascii="Times New Roman" w:hAnsi="Times New Roman" w:cs="Times New Roman"/>
        </w:rPr>
        <w:t xml:space="preserve"> to achieve their mandates; they do not follow Taylor</w:t>
      </w:r>
      <w:r w:rsidRPr="009B6106">
        <w:rPr>
          <w:rFonts w:ascii="Times New Roman" w:hAnsi="Times New Roman" w:cs="Times New Roman" w:hint="eastAsia"/>
        </w:rPr>
        <w:t xml:space="preserve"> </w:t>
      </w:r>
      <w:r w:rsidRPr="009B6106">
        <w:rPr>
          <w:rFonts w:ascii="Times New Roman" w:hAnsi="Times New Roman" w:cs="Times New Roman"/>
        </w:rPr>
        <w:t xml:space="preserve">rules </w:t>
      </w:r>
      <w:r w:rsidRPr="009B6106">
        <w:rPr>
          <w:rFonts w:ascii="Times New Roman" w:hAnsi="Times New Roman" w:cs="Times New Roman"/>
        </w:rPr>
        <w:lastRenderedPageBreak/>
        <w:t>(although they might use them as benchmark). These rules are best</w:t>
      </w:r>
      <w:r>
        <w:rPr>
          <w:rFonts w:ascii="Times New Roman" w:hAnsi="Times New Roman" w:cs="Times New Roman" w:hint="eastAsia"/>
        </w:rPr>
        <w:t xml:space="preserve"> </w:t>
      </w:r>
      <w:r w:rsidRPr="009B6106">
        <w:rPr>
          <w:rFonts w:ascii="Times New Roman" w:hAnsi="Times New Roman" w:cs="Times New Roman"/>
        </w:rPr>
        <w:t>interpreted as reduced form relations that approximate central bank behavior.</w:t>
      </w:r>
    </w:p>
    <w:p w14:paraId="797B48D9" w14:textId="2A3761AD" w:rsidR="005476DB" w:rsidRDefault="00BD38AF"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followed the AE’s suggestion to address</w:t>
      </w:r>
      <w:r w:rsidR="00A82448">
        <w:rPr>
          <w:rFonts w:ascii="Times New Roman" w:hAnsi="Times New Roman" w:cs="Times New Roman"/>
          <w:color w:val="0000FF"/>
        </w:rPr>
        <w:t xml:space="preserve"> your concern about the monetary policy</w:t>
      </w:r>
      <w:r w:rsidR="006175AA">
        <w:rPr>
          <w:rFonts w:ascii="Times New Roman" w:hAnsi="Times New Roman" w:cs="Times New Roman"/>
          <w:color w:val="0000FF"/>
        </w:rPr>
        <w:t xml:space="preserve"> rule</w:t>
      </w:r>
      <w:r>
        <w:rPr>
          <w:rFonts w:ascii="Times New Roman" w:hAnsi="Times New Roman" w:cs="Times New Roman"/>
          <w:color w:val="0000FF"/>
        </w:rPr>
        <w:t xml:space="preserve">, and added a discussion of the limitations </w:t>
      </w:r>
      <w:r w:rsidR="005476DB">
        <w:rPr>
          <w:rFonts w:ascii="Times New Roman" w:hAnsi="Times New Roman" w:cs="Times New Roman"/>
          <w:color w:val="0000FF"/>
        </w:rPr>
        <w:t xml:space="preserve">of the Taylor rule as a model of monetary policy. While </w:t>
      </w:r>
      <w:r w:rsidR="00552B46">
        <w:rPr>
          <w:rFonts w:ascii="Times New Roman" w:hAnsi="Times New Roman" w:cs="Times New Roman"/>
          <w:color w:val="0000FF"/>
        </w:rPr>
        <w:t>a monetary policy rule</w:t>
      </w:r>
      <w:r w:rsidR="005476DB">
        <w:rPr>
          <w:rFonts w:ascii="Times New Roman" w:hAnsi="Times New Roman" w:cs="Times New Roman"/>
          <w:color w:val="0000FF"/>
        </w:rPr>
        <w:t xml:space="preserve"> is a standard feature of many models </w:t>
      </w:r>
      <w:r w:rsidR="00552B46">
        <w:rPr>
          <w:rFonts w:ascii="Times New Roman" w:hAnsi="Times New Roman" w:cs="Times New Roman"/>
          <w:color w:val="0000FF"/>
        </w:rPr>
        <w:t xml:space="preserve">of monetary policy, in practice monetary policy clearly also contains a discretionary component as captured by the monetary policy shock in equation (24) of the revised manuscript. This </w:t>
      </w:r>
      <w:r>
        <w:rPr>
          <w:rFonts w:ascii="Times New Roman" w:hAnsi="Times New Roman" w:cs="Times New Roman"/>
          <w:color w:val="0000FF"/>
        </w:rPr>
        <w:t xml:space="preserve">new discussion can be found </w:t>
      </w:r>
      <w:r w:rsidR="00552B46">
        <w:rPr>
          <w:rFonts w:ascii="Times New Roman" w:hAnsi="Times New Roman" w:cs="Times New Roman"/>
          <w:color w:val="0000FF"/>
        </w:rPr>
        <w:t xml:space="preserve">at the </w:t>
      </w:r>
      <w:r w:rsidR="00552B46" w:rsidRPr="00EE0B5F">
        <w:rPr>
          <w:rFonts w:ascii="Times New Roman" w:hAnsi="Times New Roman" w:cs="Times New Roman"/>
          <w:b/>
          <w:bCs/>
          <w:color w:val="0000FF"/>
        </w:rPr>
        <w:t>top of p.1</w:t>
      </w:r>
      <w:r w:rsidR="006175AA" w:rsidRPr="00EE0B5F">
        <w:rPr>
          <w:rFonts w:ascii="Times New Roman" w:hAnsi="Times New Roman" w:cs="Times New Roman"/>
          <w:b/>
          <w:bCs/>
          <w:color w:val="0000FF"/>
        </w:rPr>
        <w:t>3</w:t>
      </w:r>
      <w:r w:rsidR="00552B46" w:rsidRPr="006175AA">
        <w:rPr>
          <w:rFonts w:ascii="Times New Roman" w:hAnsi="Times New Roman" w:cs="Times New Roman"/>
          <w:color w:val="0000FF"/>
        </w:rPr>
        <w:t xml:space="preserve"> in the paragraph starting</w:t>
      </w:r>
      <w:r w:rsidR="00552B46" w:rsidRPr="00552B46">
        <w:rPr>
          <w:rFonts w:ascii="Times New Roman" w:hAnsi="Times New Roman" w:cs="Times New Roman"/>
          <w:b/>
          <w:bCs/>
          <w:color w:val="0000FF"/>
        </w:rPr>
        <w:t xml:space="preserve"> “While there is an active debate to what extent monetary policy can be described by rules versus discretion</w:t>
      </w:r>
      <w:r w:rsidR="006175AA">
        <w:rPr>
          <w:rFonts w:ascii="Times New Roman" w:hAnsi="Times New Roman" w:cs="Times New Roman"/>
          <w:b/>
          <w:bCs/>
          <w:color w:val="0000FF"/>
        </w:rPr>
        <w:t xml:space="preserve"> (…)”</w:t>
      </w:r>
      <w:r w:rsidR="00552B46">
        <w:rPr>
          <w:rFonts w:ascii="Times New Roman" w:hAnsi="Times New Roman" w:cs="Times New Roman"/>
          <w:color w:val="0000FF"/>
        </w:rPr>
        <w:t>.</w:t>
      </w:r>
    </w:p>
    <w:p w14:paraId="2E5FB673" w14:textId="5422A8E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F303D9">
        <w:rPr>
          <w:rFonts w:ascii="Times New Roman" w:hAnsi="Times New Roman" w:cs="Times New Roman"/>
        </w:rPr>
        <w:t>The Phillips curve is generally the weakest part of New Keynesian models</w:t>
      </w:r>
      <w:r w:rsidRPr="00F303D9">
        <w:rPr>
          <w:rFonts w:ascii="Times New Roman" w:hAnsi="Times New Roman" w:cs="Times New Roman" w:hint="eastAsia"/>
        </w:rPr>
        <w:t xml:space="preserve"> </w:t>
      </w:r>
      <w:r w:rsidRPr="00F303D9">
        <w:rPr>
          <w:rFonts w:ascii="Times New Roman" w:hAnsi="Times New Roman" w:cs="Times New Roman"/>
        </w:rPr>
        <w:t>since there is much we don’t understand about in</w:t>
      </w:r>
      <w:r w:rsidRPr="00F303D9">
        <w:rPr>
          <w:rFonts w:ascii="Times New Roman" w:hAnsi="Times New Roman" w:cs="Times New Roman" w:hint="eastAsia"/>
        </w:rPr>
        <w:t>fl</w:t>
      </w:r>
      <w:r w:rsidRPr="00F303D9">
        <w:rPr>
          <w:rFonts w:ascii="Times New Roman" w:hAnsi="Times New Roman" w:cs="Times New Roman"/>
        </w:rPr>
        <w:t xml:space="preserve">ation (we have a </w:t>
      </w:r>
      <w:r w:rsidRPr="00F303D9">
        <w:rPr>
          <w:rFonts w:ascii="Times New Roman" w:hAnsi="Times New Roman" w:cs="Times New Roman"/>
          <w:i/>
          <w:iCs/>
        </w:rPr>
        <w:t>qualitative</w:t>
      </w:r>
      <w:r w:rsidRPr="00F303D9">
        <w:rPr>
          <w:rFonts w:ascii="Times New Roman" w:hAnsi="Times New Roman" w:cs="Times New Roman"/>
        </w:rPr>
        <w:t xml:space="preserve"> understanding). This paper’s Phillips curve is no exception. The paper</w:t>
      </w:r>
      <w:r w:rsidRPr="00F303D9">
        <w:rPr>
          <w:rFonts w:ascii="Times New Roman" w:hAnsi="Times New Roman" w:cs="Times New Roman" w:hint="eastAsia"/>
        </w:rPr>
        <w:t xml:space="preserve"> </w:t>
      </w:r>
      <w:r w:rsidRPr="00F303D9">
        <w:rPr>
          <w:rFonts w:ascii="Times New Roman" w:hAnsi="Times New Roman" w:cs="Times New Roman"/>
        </w:rPr>
        <w:t xml:space="preserve">assumes prices are </w:t>
      </w:r>
      <w:r w:rsidRPr="00F303D9">
        <w:rPr>
          <w:rFonts w:ascii="Times New Roman" w:hAnsi="Times New Roman" w:cs="Times New Roman" w:hint="eastAsia"/>
        </w:rPr>
        <w:t>fl</w:t>
      </w:r>
      <w:r w:rsidRPr="00F303D9">
        <w:rPr>
          <w:rFonts w:ascii="Times New Roman" w:hAnsi="Times New Roman" w:cs="Times New Roman"/>
        </w:rPr>
        <w:t>exible and wages are sticky, and derives a wage Phillips</w:t>
      </w:r>
      <w:r w:rsidRPr="00F303D9">
        <w:rPr>
          <w:rFonts w:ascii="Times New Roman" w:hAnsi="Times New Roman" w:cs="Times New Roman" w:hint="eastAsia"/>
        </w:rPr>
        <w:t xml:space="preserve"> </w:t>
      </w:r>
      <w:r w:rsidRPr="00F303D9">
        <w:rPr>
          <w:rFonts w:ascii="Times New Roman" w:hAnsi="Times New Roman" w:cs="Times New Roman"/>
        </w:rPr>
        <w:t xml:space="preserve">curve with </w:t>
      </w:r>
      <w:proofErr w:type="gramStart"/>
      <w:r w:rsidRPr="00F303D9">
        <w:rPr>
          <w:rFonts w:ascii="Times New Roman" w:hAnsi="Times New Roman" w:cs="Times New Roman"/>
        </w:rPr>
        <w:t>backward and forward looking</w:t>
      </w:r>
      <w:proofErr w:type="gramEnd"/>
      <w:r w:rsidRPr="00F303D9">
        <w:rPr>
          <w:rFonts w:ascii="Times New Roman" w:hAnsi="Times New Roman" w:cs="Times New Roman"/>
        </w:rPr>
        <w:t xml:space="preserve"> elements. This approach will miss</w:t>
      </w:r>
      <w:r w:rsidRPr="00F303D9">
        <w:rPr>
          <w:rFonts w:ascii="Times New Roman" w:hAnsi="Times New Roman" w:cs="Times New Roman" w:hint="eastAsia"/>
        </w:rPr>
        <w:t xml:space="preserve"> </w:t>
      </w:r>
      <w:r w:rsidRPr="00F303D9">
        <w:rPr>
          <w:rFonts w:ascii="Times New Roman" w:hAnsi="Times New Roman" w:cs="Times New Roman"/>
        </w:rPr>
        <w:t>a lot of richness that matters in practice, e.g., the Covid-19 shock showed</w:t>
      </w:r>
      <w:r w:rsidRPr="00F303D9">
        <w:rPr>
          <w:rFonts w:ascii="Times New Roman" w:hAnsi="Times New Roman" w:cs="Times New Roman" w:hint="eastAsia"/>
        </w:rPr>
        <w:t xml:space="preserve"> </w:t>
      </w:r>
      <w:r w:rsidRPr="00F303D9">
        <w:rPr>
          <w:rFonts w:ascii="Times New Roman" w:hAnsi="Times New Roman" w:cs="Times New Roman"/>
        </w:rPr>
        <w:t>that price and wage in</w:t>
      </w:r>
      <w:r w:rsidRPr="00F303D9">
        <w:rPr>
          <w:rFonts w:ascii="Times New Roman" w:hAnsi="Times New Roman" w:cs="Times New Roman" w:hint="eastAsia"/>
        </w:rPr>
        <w:t>fl</w:t>
      </w:r>
      <w:r w:rsidRPr="00F303D9">
        <w:rPr>
          <w:rFonts w:ascii="Times New Roman" w:hAnsi="Times New Roman" w:cs="Times New Roman"/>
        </w:rPr>
        <w:t>ation can have very di</w:t>
      </w:r>
      <w:r w:rsidRPr="00F303D9">
        <w:rPr>
          <w:rFonts w:ascii="Times New Roman" w:hAnsi="Times New Roman" w:cs="Times New Roman" w:hint="eastAsia"/>
        </w:rPr>
        <w:t>ff</w:t>
      </w:r>
      <w:r w:rsidRPr="00F303D9">
        <w:rPr>
          <w:rFonts w:ascii="Times New Roman" w:hAnsi="Times New Roman" w:cs="Times New Roman"/>
        </w:rPr>
        <w:t>erent dynamics.</w:t>
      </w:r>
      <w:r w:rsidRPr="00F303D9">
        <w:rPr>
          <w:rFonts w:ascii="Times New Roman" w:hAnsi="Times New Roman" w:cs="Times New Roman" w:hint="eastAsia"/>
        </w:rPr>
        <w:t xml:space="preserve"> </w:t>
      </w:r>
    </w:p>
    <w:p w14:paraId="6B03E336" w14:textId="394B2C13" w:rsidR="0038483C" w:rsidRDefault="00BD38AF"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I followed the AE’s guidance and considered a model extension featuring </w:t>
      </w:r>
      <w:r w:rsidR="00A82448">
        <w:rPr>
          <w:rFonts w:ascii="Times New Roman" w:hAnsi="Times New Roman" w:cs="Times New Roman"/>
          <w:color w:val="0000FF"/>
        </w:rPr>
        <w:t>an additional shock to price vs. wage inflation</w:t>
      </w:r>
      <w:r w:rsidR="00AF1636">
        <w:rPr>
          <w:rFonts w:ascii="Times New Roman" w:hAnsi="Times New Roman" w:cs="Times New Roman"/>
          <w:color w:val="0000FF"/>
        </w:rPr>
        <w:t>, and showed that the model asset pricing moments and counterfactuals are robust</w:t>
      </w:r>
      <w:r>
        <w:rPr>
          <w:rFonts w:ascii="Times New Roman" w:hAnsi="Times New Roman" w:cs="Times New Roman"/>
          <w:color w:val="0000FF"/>
        </w:rPr>
        <w:t xml:space="preserve">. </w:t>
      </w:r>
      <w:r w:rsidR="0038483C">
        <w:rPr>
          <w:rFonts w:ascii="Times New Roman" w:hAnsi="Times New Roman" w:cs="Times New Roman"/>
          <w:color w:val="0000FF"/>
        </w:rPr>
        <w:t xml:space="preserve">To address the issue of richer wage-price inflation dynamics, the </w:t>
      </w:r>
      <w:r w:rsidR="0038483C" w:rsidRPr="007E23C9">
        <w:rPr>
          <w:rFonts w:ascii="Times New Roman" w:hAnsi="Times New Roman" w:cs="Times New Roman"/>
          <w:b/>
          <w:bCs/>
          <w:color w:val="0000FF"/>
        </w:rPr>
        <w:t xml:space="preserve">new Appendix Section </w:t>
      </w:r>
      <w:r w:rsidR="0038483C">
        <w:rPr>
          <w:rFonts w:ascii="Times New Roman" w:hAnsi="Times New Roman" w:cs="Times New Roman"/>
          <w:b/>
          <w:bCs/>
          <w:color w:val="0000FF"/>
        </w:rPr>
        <w:t>G</w:t>
      </w:r>
      <w:r w:rsidR="0038483C">
        <w:rPr>
          <w:rFonts w:ascii="Times New Roman" w:hAnsi="Times New Roman" w:cs="Times New Roman"/>
          <w:color w:val="0000FF"/>
        </w:rPr>
        <w:t xml:space="preserve"> </w:t>
      </w:r>
      <w:r w:rsidR="0038483C" w:rsidRPr="00C37257">
        <w:rPr>
          <w:rFonts w:ascii="Times New Roman" w:hAnsi="Times New Roman" w:cs="Times New Roman"/>
          <w:b/>
          <w:bCs/>
          <w:color w:val="0000FF"/>
        </w:rPr>
        <w:t>(online Appendix pp. 4</w:t>
      </w:r>
      <w:r w:rsidR="0038483C">
        <w:rPr>
          <w:rFonts w:ascii="Times New Roman" w:hAnsi="Times New Roman" w:cs="Times New Roman"/>
          <w:b/>
          <w:bCs/>
          <w:color w:val="0000FF"/>
        </w:rPr>
        <w:t>6</w:t>
      </w:r>
      <w:r w:rsidR="0038483C" w:rsidRPr="00C37257">
        <w:rPr>
          <w:rFonts w:ascii="Times New Roman" w:hAnsi="Times New Roman" w:cs="Times New Roman"/>
          <w:b/>
          <w:bCs/>
          <w:color w:val="0000FF"/>
        </w:rPr>
        <w:t>-</w:t>
      </w:r>
      <w:r w:rsidR="0038483C">
        <w:rPr>
          <w:rFonts w:ascii="Times New Roman" w:hAnsi="Times New Roman" w:cs="Times New Roman"/>
          <w:b/>
          <w:bCs/>
          <w:color w:val="0000FF"/>
        </w:rPr>
        <w:t>50</w:t>
      </w:r>
      <w:r w:rsidR="0038483C" w:rsidRPr="00C37257">
        <w:rPr>
          <w:rFonts w:ascii="Times New Roman" w:hAnsi="Times New Roman" w:cs="Times New Roman"/>
          <w:b/>
          <w:bCs/>
          <w:color w:val="0000FF"/>
        </w:rPr>
        <w:t>)</w:t>
      </w:r>
      <w:r w:rsidR="0038483C">
        <w:rPr>
          <w:rFonts w:ascii="Times New Roman" w:hAnsi="Times New Roman" w:cs="Times New Roman"/>
          <w:color w:val="0000FF"/>
        </w:rPr>
        <w:t xml:space="preserve"> shows results for a model extension with richer price-wage dynamics. This new appendix section first solves the model with richer price-wage dynamics and then re-produces the paper’s main results analogous to Table 2 and Figure 4. The version of Figure 4 with a richer price-wage dynamics is reproduced below for your convenience </w:t>
      </w:r>
      <w:r w:rsidR="0038483C" w:rsidRPr="00A7749E">
        <w:rPr>
          <w:rFonts w:ascii="Times New Roman" w:hAnsi="Times New Roman" w:cs="Times New Roman"/>
          <w:b/>
          <w:bCs/>
          <w:color w:val="0000FF"/>
        </w:rPr>
        <w:t>(Appendix Figure A</w:t>
      </w:r>
      <w:r w:rsidR="006A7092">
        <w:rPr>
          <w:rFonts w:ascii="Times New Roman" w:hAnsi="Times New Roman" w:cs="Times New Roman"/>
          <w:b/>
          <w:bCs/>
          <w:color w:val="0000FF"/>
        </w:rPr>
        <w:t>9</w:t>
      </w:r>
      <w:r w:rsidR="0038483C" w:rsidRPr="00A7749E">
        <w:rPr>
          <w:rFonts w:ascii="Times New Roman" w:hAnsi="Times New Roman" w:cs="Times New Roman"/>
          <w:b/>
          <w:bCs/>
          <w:color w:val="0000FF"/>
        </w:rPr>
        <w:t>)</w:t>
      </w:r>
      <w:r w:rsidR="0038483C">
        <w:rPr>
          <w:rFonts w:ascii="Times New Roman" w:hAnsi="Times New Roman" w:cs="Times New Roman"/>
          <w:color w:val="0000FF"/>
        </w:rPr>
        <w:t xml:space="preserve">. </w:t>
      </w:r>
    </w:p>
    <w:p w14:paraId="0F307798" w14:textId="28AD1219" w:rsidR="0038483C" w:rsidRDefault="0038483C"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6A7092">
        <w:rPr>
          <w:rFonts w:ascii="Times New Roman" w:hAnsi="Times New Roman" w:cs="Times New Roman"/>
          <w:b/>
          <w:bCs/>
          <w:color w:val="0000FF"/>
        </w:rPr>
        <w:t>9</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Pr>
          <w:rFonts w:ascii="Times New Roman" w:hAnsi="Times New Roman" w:cs="Times New Roman"/>
          <w:b/>
          <w:bCs/>
          <w:color w:val="0000FF"/>
        </w:rPr>
        <w:t>2</w:t>
      </w:r>
      <w:r>
        <w:rPr>
          <w:rFonts w:ascii="Times New Roman" w:hAnsi="Times New Roman" w:cs="Times New Roman"/>
          <w:color w:val="0000FF"/>
        </w:rPr>
        <w:t xml:space="preserve"> in the paper.</w:t>
      </w:r>
    </w:p>
    <w:p w14:paraId="6C70B9F0" w14:textId="5168C820"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B9A1709"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FEAAD5"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F14899C"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C8C5FE6"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04B2BC3" w14:textId="77777777" w:rsidR="0079087F" w:rsidRDefault="0079087F"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16D05993" w14:textId="77777777" w:rsidR="00B9162C" w:rsidRDefault="00B9162C"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1728F03" w14:textId="020125DB" w:rsidR="008F2558" w:rsidRDefault="008F2558" w:rsidP="0038483C">
      <w:pPr>
        <w:widowControl w:val="0"/>
        <w:autoSpaceDE w:val="0"/>
        <w:autoSpaceDN w:val="0"/>
        <w:adjustRightInd w:val="0"/>
        <w:spacing w:before="240" w:after="0" w:line="240" w:lineRule="auto"/>
        <w:jc w:val="center"/>
        <w:rPr>
          <w:rFonts w:ascii="Times New Roman" w:hAnsi="Times New Roman" w:cs="Times New Roman"/>
          <w:color w:val="0000FF"/>
        </w:rPr>
      </w:pPr>
      <w:r w:rsidRPr="00A7749E">
        <w:rPr>
          <w:rFonts w:ascii="Times New Roman" w:hAnsi="Times New Roman" w:cs="Times New Roman"/>
          <w:b/>
          <w:bCs/>
        </w:rPr>
        <w:lastRenderedPageBreak/>
        <w:t>Figure A</w:t>
      </w:r>
      <w:r w:rsidR="0038483C">
        <w:rPr>
          <w:rFonts w:ascii="Times New Roman" w:hAnsi="Times New Roman" w:cs="Times New Roman"/>
          <w:b/>
          <w:bCs/>
        </w:rPr>
        <w:t>9</w:t>
      </w:r>
      <w:r w:rsidRPr="00A7749E">
        <w:rPr>
          <w:rFonts w:ascii="Times New Roman" w:hAnsi="Times New Roman" w:cs="Times New Roman"/>
          <w:b/>
          <w:bCs/>
        </w:rPr>
        <w:t>: Counterfactual Bond-Stock Betas with Richer Price-Wage Dynamics</w:t>
      </w:r>
      <w:r w:rsidR="0038483C" w:rsidRPr="0038483C">
        <w:t xml:space="preserve"> </w:t>
      </w:r>
      <w:r w:rsidR="0038483C">
        <w:rPr>
          <w:noProof/>
        </w:rPr>
        <w:drawing>
          <wp:inline distT="0" distB="0" distL="0" distR="0" wp14:anchorId="372CB45D" wp14:editId="7DF25156">
            <wp:extent cx="5149156" cy="6981618"/>
            <wp:effectExtent l="0" t="0" r="0" b="0"/>
            <wp:docPr id="228917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745"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509" cy="6991588"/>
                    </a:xfrm>
                    <a:prstGeom prst="rect">
                      <a:avLst/>
                    </a:prstGeom>
                    <a:noFill/>
                    <a:ln>
                      <a:noFill/>
                    </a:ln>
                  </pic:spPr>
                </pic:pic>
              </a:graphicData>
            </a:graphic>
          </wp:inline>
        </w:drawing>
      </w:r>
    </w:p>
    <w:p w14:paraId="51FF7B89" w14:textId="77777777" w:rsidR="0038483C" w:rsidRDefault="0038483C" w:rsidP="008F2558">
      <w:pPr>
        <w:widowControl w:val="0"/>
        <w:autoSpaceDE w:val="0"/>
        <w:autoSpaceDN w:val="0"/>
        <w:adjustRightInd w:val="0"/>
        <w:spacing w:before="240" w:after="0" w:line="240" w:lineRule="auto"/>
        <w:ind w:left="360"/>
        <w:jc w:val="both"/>
        <w:rPr>
          <w:rFonts w:ascii="Times New Roman" w:hAnsi="Times New Roman" w:cs="Times New Roman"/>
          <w:b/>
          <w:bCs/>
        </w:rPr>
      </w:pPr>
    </w:p>
    <w:p w14:paraId="47FD3679" w14:textId="64920CBC" w:rsidR="00F303D9" w:rsidRDefault="00F303D9" w:rsidP="008F2558">
      <w:pPr>
        <w:widowControl w:val="0"/>
        <w:autoSpaceDE w:val="0"/>
        <w:autoSpaceDN w:val="0"/>
        <w:adjustRightInd w:val="0"/>
        <w:spacing w:before="240" w:after="0" w:line="240" w:lineRule="auto"/>
        <w:ind w:left="360"/>
        <w:jc w:val="both"/>
        <w:rPr>
          <w:rFonts w:ascii="Times New Roman" w:hAnsi="Times New Roman" w:cs="Times New Roman"/>
        </w:rPr>
      </w:pPr>
      <w:r w:rsidRPr="00D10643">
        <w:rPr>
          <w:rFonts w:ascii="Times New Roman" w:hAnsi="Times New Roman" w:cs="Times New Roman" w:hint="eastAsia"/>
          <w:b/>
          <w:bCs/>
        </w:rPr>
        <w:lastRenderedPageBreak/>
        <w:t>The paper does not persuasively explain any new fact (beyond what we can tell based on CPV).</w:t>
      </w:r>
      <w:r w:rsidRPr="00D10643">
        <w:rPr>
          <w:rFonts w:ascii="Times New Roman" w:hAnsi="Times New Roman" w:cs="Times New Roman" w:hint="eastAsia"/>
        </w:rPr>
        <w:t xml:space="preserve"> </w:t>
      </w:r>
      <w:r w:rsidRPr="00D10643">
        <w:rPr>
          <w:rFonts w:ascii="Times New Roman" w:hAnsi="Times New Roman" w:cs="Times New Roman"/>
        </w:rPr>
        <w:t>Given the lack of methodological novelty, the</w:t>
      </w:r>
      <w:r w:rsidRPr="00D10643">
        <w:rPr>
          <w:rFonts w:ascii="Times New Roman" w:hAnsi="Times New Roman" w:cs="Times New Roman" w:hint="eastAsia"/>
        </w:rPr>
        <w:t xml:space="preserve"> </w:t>
      </w:r>
      <w:r w:rsidRPr="00D10643">
        <w:rPr>
          <w:rFonts w:ascii="Times New Roman" w:hAnsi="Times New Roman" w:cs="Times New Roman"/>
        </w:rPr>
        <w:t>paper should be evaluated in terms of how well it explains the motivating facts—</w:t>
      </w:r>
      <w:r w:rsidRPr="00D10643">
        <w:rPr>
          <w:rFonts w:ascii="Times New Roman" w:hAnsi="Times New Roman" w:cs="Times New Roman" w:hint="eastAsia"/>
        </w:rPr>
        <w:t>specifically,</w:t>
      </w:r>
      <w:r w:rsidRPr="00D10643">
        <w:rPr>
          <w:rFonts w:ascii="Times New Roman" w:hAnsi="Times New Roman" w:cs="Times New Roman"/>
        </w:rPr>
        <w:t xml:space="preserve"> the changing bond-stock betas. The paper claims that betas were</w:t>
      </w:r>
      <w:r w:rsidRPr="00D10643">
        <w:rPr>
          <w:rFonts w:ascii="Times New Roman" w:hAnsi="Times New Roman" w:cs="Times New Roman" w:hint="eastAsia"/>
        </w:rPr>
        <w:t xml:space="preserve"> </w:t>
      </w:r>
      <w:r w:rsidRPr="00D10643">
        <w:rPr>
          <w:rFonts w:ascii="Times New Roman" w:hAnsi="Times New Roman" w:cs="Times New Roman"/>
        </w:rPr>
        <w:t>positive in the earlier decades because “supply shocks”</w:t>
      </w:r>
      <w:r w:rsidRPr="00D10643">
        <w:rPr>
          <w:rFonts w:ascii="Times New Roman" w:hAnsi="Times New Roman" w:cs="Times New Roman" w:hint="eastAsia"/>
        </w:rPr>
        <w:t xml:space="preserve"> </w:t>
      </w:r>
      <w:r w:rsidRPr="00D10643">
        <w:rPr>
          <w:rFonts w:ascii="Times New Roman" w:hAnsi="Times New Roman" w:cs="Times New Roman"/>
        </w:rPr>
        <w:t>were more relevant and the</w:t>
      </w:r>
      <w:r w:rsidRPr="00D10643">
        <w:rPr>
          <w:rFonts w:ascii="Times New Roman" w:hAnsi="Times New Roman" w:cs="Times New Roman" w:hint="eastAsia"/>
        </w:rPr>
        <w:t xml:space="preserve"> </w:t>
      </w:r>
      <w:r w:rsidRPr="00D10643">
        <w:rPr>
          <w:rFonts w:ascii="Times New Roman" w:hAnsi="Times New Roman" w:cs="Times New Roman"/>
        </w:rPr>
        <w:t>Fed was more in</w:t>
      </w:r>
      <w:r w:rsidRPr="00D10643">
        <w:rPr>
          <w:rFonts w:ascii="Times New Roman" w:hAnsi="Times New Roman" w:cs="Times New Roman" w:hint="eastAsia"/>
        </w:rPr>
        <w:t>fl</w:t>
      </w:r>
      <w:r w:rsidRPr="00D10643">
        <w:rPr>
          <w:rFonts w:ascii="Times New Roman" w:hAnsi="Times New Roman" w:cs="Times New Roman"/>
        </w:rPr>
        <w:t>ation focused and more alert (less inertial). This explanation is</w:t>
      </w:r>
      <w:r w:rsidRPr="00D10643">
        <w:rPr>
          <w:rFonts w:ascii="Times New Roman" w:hAnsi="Times New Roman" w:cs="Times New Roman" w:hint="eastAsia"/>
        </w:rPr>
        <w:t xml:space="preserve"> </w:t>
      </w:r>
      <w:r w:rsidRPr="00D10643">
        <w:rPr>
          <w:rFonts w:ascii="Times New Roman" w:hAnsi="Times New Roman" w:cs="Times New Roman"/>
        </w:rPr>
        <w:t xml:space="preserve">problematic for </w:t>
      </w:r>
      <w:proofErr w:type="gramStart"/>
      <w:r w:rsidRPr="00D10643">
        <w:rPr>
          <w:rFonts w:ascii="Times New Roman" w:hAnsi="Times New Roman" w:cs="Times New Roman"/>
        </w:rPr>
        <w:t>a number of</w:t>
      </w:r>
      <w:proofErr w:type="gramEnd"/>
      <w:r w:rsidRPr="00D10643">
        <w:rPr>
          <w:rFonts w:ascii="Times New Roman" w:hAnsi="Times New Roman" w:cs="Times New Roman"/>
        </w:rPr>
        <w:t xml:space="preserve"> reasons</w:t>
      </w:r>
      <w:r>
        <w:rPr>
          <w:rFonts w:ascii="Times New Roman" w:hAnsi="Times New Roman" w:cs="Times New Roman" w:hint="eastAsia"/>
        </w:rPr>
        <w:t>:</w:t>
      </w:r>
    </w:p>
    <w:p w14:paraId="425D6ACE" w14:textId="57BDA1AF" w:rsidR="00BE650D" w:rsidRDefault="00E7757A"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BE650D">
        <w:rPr>
          <w:rFonts w:ascii="Times New Roman" w:hAnsi="Times New Roman" w:cs="Times New Roman"/>
          <w:color w:val="0000FF"/>
        </w:rPr>
        <w:t xml:space="preserve">I revised the </w:t>
      </w:r>
      <w:r w:rsidR="00BE650D" w:rsidRPr="00BE650D">
        <w:rPr>
          <w:rFonts w:ascii="Times New Roman" w:hAnsi="Times New Roman" w:cs="Times New Roman"/>
          <w:b/>
          <w:bCs/>
          <w:color w:val="0000FF"/>
        </w:rPr>
        <w:t>first paragraph of the introduction</w:t>
      </w:r>
      <w:r w:rsidR="00BE650D">
        <w:rPr>
          <w:rFonts w:ascii="Times New Roman" w:hAnsi="Times New Roman" w:cs="Times New Roman"/>
          <w:color w:val="0000FF"/>
        </w:rPr>
        <w:t xml:space="preserve"> to state the </w:t>
      </w:r>
      <w:r w:rsidR="00495D4B">
        <w:rPr>
          <w:rFonts w:ascii="Times New Roman" w:hAnsi="Times New Roman" w:cs="Times New Roman"/>
          <w:color w:val="0000FF"/>
        </w:rPr>
        <w:t xml:space="preserve">new </w:t>
      </w:r>
      <w:r w:rsidR="00BE650D">
        <w:rPr>
          <w:rFonts w:ascii="Times New Roman" w:hAnsi="Times New Roman" w:cs="Times New Roman"/>
          <w:color w:val="0000FF"/>
        </w:rPr>
        <w:t>empirical puzzle</w:t>
      </w:r>
      <w:r w:rsidR="00495D4B">
        <w:rPr>
          <w:rFonts w:ascii="Times New Roman" w:hAnsi="Times New Roman" w:cs="Times New Roman"/>
          <w:color w:val="0000FF"/>
        </w:rPr>
        <w:t xml:space="preserve"> up-</w:t>
      </w:r>
      <w:proofErr w:type="gramStart"/>
      <w:r w:rsidR="00495D4B">
        <w:rPr>
          <w:rFonts w:ascii="Times New Roman" w:hAnsi="Times New Roman" w:cs="Times New Roman"/>
          <w:color w:val="0000FF"/>
        </w:rPr>
        <w:t>front,</w:t>
      </w:r>
      <w:r w:rsidR="0079354D">
        <w:rPr>
          <w:rFonts w:ascii="Times New Roman" w:hAnsi="Times New Roman" w:cs="Times New Roman"/>
          <w:color w:val="0000FF"/>
        </w:rPr>
        <w:t xml:space="preserve"> </w:t>
      </w:r>
      <w:r w:rsidR="00BE650D">
        <w:rPr>
          <w:rFonts w:ascii="Times New Roman" w:hAnsi="Times New Roman" w:cs="Times New Roman"/>
          <w:color w:val="0000FF"/>
        </w:rPr>
        <w:t xml:space="preserve"> following</w:t>
      </w:r>
      <w:proofErr w:type="gramEnd"/>
      <w:r w:rsidR="00BE650D">
        <w:rPr>
          <w:rFonts w:ascii="Times New Roman" w:hAnsi="Times New Roman" w:cs="Times New Roman"/>
          <w:color w:val="0000FF"/>
        </w:rPr>
        <w:t xml:space="preserve"> the AE’s suggestion. Here, I say </w:t>
      </w:r>
    </w:p>
    <w:p w14:paraId="23DE942D" w14:textId="15A335F9" w:rsidR="00BE650D" w:rsidRPr="00BE650D" w:rsidRDefault="00BE650D" w:rsidP="00BE650D">
      <w:pPr>
        <w:widowControl w:val="0"/>
        <w:autoSpaceDE w:val="0"/>
        <w:autoSpaceDN w:val="0"/>
        <w:adjustRightInd w:val="0"/>
        <w:spacing w:before="240" w:after="0" w:line="240" w:lineRule="auto"/>
        <w:ind w:left="720"/>
        <w:jc w:val="both"/>
        <w:rPr>
          <w:rFonts w:ascii="Times New Roman" w:hAnsi="Times New Roman" w:cs="Times New Roman"/>
          <w:color w:val="0000FF"/>
        </w:rPr>
      </w:pPr>
      <w:r w:rsidRPr="00BE650D">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6BC1BCC3" w14:textId="32FD6ABC" w:rsidR="00BE650D" w:rsidRDefault="00DA1D50"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view p</w:t>
      </w:r>
      <w:r w:rsidR="00BE650D">
        <w:rPr>
          <w:rFonts w:ascii="Times New Roman" w:hAnsi="Times New Roman" w:cs="Times New Roman"/>
          <w:color w:val="0000FF"/>
        </w:rPr>
        <w:t>ost-pandemic betas a</w:t>
      </w:r>
      <w:r>
        <w:rPr>
          <w:rFonts w:ascii="Times New Roman" w:hAnsi="Times New Roman" w:cs="Times New Roman"/>
          <w:color w:val="0000FF"/>
        </w:rPr>
        <w:t>s</w:t>
      </w:r>
      <w:r w:rsidR="00BE650D">
        <w:rPr>
          <w:rFonts w:ascii="Times New Roman" w:hAnsi="Times New Roman" w:cs="Times New Roman"/>
          <w:color w:val="0000FF"/>
        </w:rPr>
        <w:t xml:space="preserve"> a particularly informative moment about the macroeconomic drivers of bond-stock betas because this recent period featured a spike in inflation not experienced in the </w:t>
      </w:r>
      <w:proofErr w:type="gramStart"/>
      <w:r>
        <w:rPr>
          <w:rFonts w:ascii="Times New Roman" w:hAnsi="Times New Roman" w:cs="Times New Roman"/>
          <w:color w:val="0000FF"/>
        </w:rPr>
        <w:t xml:space="preserve">US </w:t>
      </w:r>
      <w:r w:rsidR="00BE650D">
        <w:rPr>
          <w:rFonts w:ascii="Times New Roman" w:hAnsi="Times New Roman" w:cs="Times New Roman"/>
          <w:color w:val="0000FF"/>
        </w:rPr>
        <w:t xml:space="preserve"> since</w:t>
      </w:r>
      <w:proofErr w:type="gramEnd"/>
      <w:r w:rsidR="00BE650D">
        <w:rPr>
          <w:rFonts w:ascii="Times New Roman" w:hAnsi="Times New Roman" w:cs="Times New Roman"/>
          <w:color w:val="0000FF"/>
        </w:rPr>
        <w:t xml:space="preserve"> the 1980s. CPV cannot speak to this empirical puzzle</w:t>
      </w:r>
      <w:r w:rsidR="008D1539">
        <w:rPr>
          <w:rFonts w:ascii="Times New Roman" w:hAnsi="Times New Roman" w:cs="Times New Roman"/>
          <w:color w:val="0000FF"/>
        </w:rPr>
        <w:t xml:space="preserve"> because </w:t>
      </w:r>
      <w:r w:rsidR="006D568D">
        <w:rPr>
          <w:rFonts w:ascii="Times New Roman" w:hAnsi="Times New Roman" w:cs="Times New Roman"/>
          <w:color w:val="0000FF"/>
        </w:rPr>
        <w:t xml:space="preserve">its sample ends before </w:t>
      </w:r>
      <w:r w:rsidR="008D1539">
        <w:rPr>
          <w:rFonts w:ascii="Times New Roman" w:hAnsi="Times New Roman" w:cs="Times New Roman"/>
          <w:color w:val="0000FF"/>
        </w:rPr>
        <w:t>the pandemic.</w:t>
      </w:r>
    </w:p>
    <w:p w14:paraId="40F98D03" w14:textId="339DEECF" w:rsidR="008B0CD8" w:rsidRPr="008B0CD8" w:rsidRDefault="00BE650D"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As discussed in detail in response to your previous comment, I also re-wrote the introduction to clarify how th</w:t>
      </w:r>
      <w:r w:rsidR="00894487">
        <w:rPr>
          <w:rFonts w:ascii="Times New Roman" w:hAnsi="Times New Roman" w:cs="Times New Roman"/>
          <w:color w:val="0000FF"/>
        </w:rPr>
        <w:t>is paper’s</w:t>
      </w:r>
      <w:r>
        <w:rPr>
          <w:rFonts w:ascii="Times New Roman" w:hAnsi="Times New Roman" w:cs="Times New Roman"/>
          <w:color w:val="0000FF"/>
        </w:rPr>
        <w:t xml:space="preserve"> conclusion and model </w:t>
      </w:r>
      <w:r w:rsidR="00894487">
        <w:rPr>
          <w:rFonts w:ascii="Times New Roman" w:hAnsi="Times New Roman" w:cs="Times New Roman"/>
          <w:color w:val="0000FF"/>
        </w:rPr>
        <w:t xml:space="preserve">are different </w:t>
      </w:r>
      <w:r>
        <w:rPr>
          <w:rFonts w:ascii="Times New Roman" w:hAnsi="Times New Roman" w:cs="Times New Roman"/>
          <w:color w:val="0000FF"/>
        </w:rPr>
        <w:t xml:space="preserve">from CPV and the broader literature on bond-stock betas. </w:t>
      </w:r>
    </w:p>
    <w:p w14:paraId="1B895E5E" w14:textId="4D415424" w:rsidR="00F303D9" w:rsidRPr="00F303D9"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F303D9">
        <w:rPr>
          <w:rFonts w:ascii="Times New Roman" w:hAnsi="Times New Roman" w:cs="Times New Roman"/>
        </w:rPr>
        <w:t>A qualitative reading of history suggests that there were no major “</w:t>
      </w:r>
      <w:r w:rsidRPr="00F303D9">
        <w:rPr>
          <w:rFonts w:ascii="Times New Roman" w:hAnsi="Times New Roman" w:cs="Times New Roman" w:hint="eastAsia"/>
        </w:rPr>
        <w:t>s</w:t>
      </w:r>
      <w:r w:rsidRPr="00F303D9">
        <w:rPr>
          <w:rFonts w:ascii="Times New Roman" w:hAnsi="Times New Roman" w:cs="Times New Roman"/>
        </w:rPr>
        <w:t>upply</w:t>
      </w:r>
      <w:r w:rsidRPr="00F303D9">
        <w:rPr>
          <w:rFonts w:ascii="Times New Roman" w:hAnsi="Times New Roman" w:cs="Times New Roman" w:hint="eastAsia"/>
        </w:rPr>
        <w:t xml:space="preserve"> </w:t>
      </w:r>
      <w:r w:rsidRPr="00F303D9">
        <w:rPr>
          <w:rFonts w:ascii="Times New Roman" w:hAnsi="Times New Roman" w:cs="Times New Roman"/>
        </w:rPr>
        <w:t>shocks” in the 1980s (either empirically or “in investors’</w:t>
      </w:r>
      <w:r w:rsidRPr="00F303D9">
        <w:rPr>
          <w:rFonts w:ascii="Times New Roman" w:hAnsi="Times New Roman" w:cs="Times New Roman" w:hint="eastAsia"/>
        </w:rPr>
        <w:t xml:space="preserve"> </w:t>
      </w:r>
      <w:r w:rsidRPr="00F303D9">
        <w:rPr>
          <w:rFonts w:ascii="Times New Roman" w:hAnsi="Times New Roman" w:cs="Times New Roman"/>
        </w:rPr>
        <w:t>minds”). Supply</w:t>
      </w:r>
      <w:r w:rsidRPr="00F303D9">
        <w:rPr>
          <w:rFonts w:ascii="Times New Roman" w:hAnsi="Times New Roman" w:cs="Times New Roman" w:hint="eastAsia"/>
        </w:rPr>
        <w:t xml:space="preserve"> </w:t>
      </w:r>
      <w:r w:rsidRPr="00F303D9">
        <w:rPr>
          <w:rFonts w:ascii="Times New Roman" w:hAnsi="Times New Roman" w:cs="Times New Roman"/>
        </w:rPr>
        <w:t>shocks were relevant in the 1970s—</w:t>
      </w:r>
      <w:r w:rsidRPr="00F303D9">
        <w:rPr>
          <w:rFonts w:ascii="Times New Roman" w:hAnsi="Times New Roman" w:cs="Times New Roman" w:hint="eastAsia"/>
        </w:rPr>
        <w:t xml:space="preserve">think </w:t>
      </w:r>
      <w:r w:rsidRPr="00F303D9">
        <w:rPr>
          <w:rFonts w:ascii="Times New Roman" w:hAnsi="Times New Roman" w:cs="Times New Roman"/>
        </w:rPr>
        <w:t>oil/food price shocks and associated</w:t>
      </w:r>
      <w:r w:rsidRPr="00F303D9">
        <w:rPr>
          <w:rFonts w:ascii="Times New Roman" w:hAnsi="Times New Roman" w:cs="Times New Roman" w:hint="eastAsia"/>
        </w:rPr>
        <w:t xml:space="preserve"> </w:t>
      </w:r>
      <w:r w:rsidRPr="00F303D9">
        <w:rPr>
          <w:rFonts w:ascii="Times New Roman" w:hAnsi="Times New Roman" w:cs="Times New Roman"/>
        </w:rPr>
        <w:t>recessions. In the 1980s, the main issue was elevated in</w:t>
      </w:r>
      <w:r w:rsidRPr="00F303D9">
        <w:rPr>
          <w:rFonts w:ascii="Times New Roman" w:hAnsi="Times New Roman" w:cs="Times New Roman" w:hint="eastAsia"/>
        </w:rPr>
        <w:t>fl</w:t>
      </w:r>
      <w:r w:rsidRPr="00F303D9">
        <w:rPr>
          <w:rFonts w:ascii="Times New Roman" w:hAnsi="Times New Roman" w:cs="Times New Roman"/>
        </w:rPr>
        <w:t>ation and its persistence (e.g., due to in</w:t>
      </w:r>
      <w:r w:rsidRPr="00F303D9">
        <w:rPr>
          <w:rFonts w:ascii="Times New Roman" w:hAnsi="Times New Roman" w:cs="Times New Roman" w:hint="eastAsia"/>
        </w:rPr>
        <w:t>fl</w:t>
      </w:r>
      <w:r w:rsidRPr="00F303D9">
        <w:rPr>
          <w:rFonts w:ascii="Times New Roman" w:hAnsi="Times New Roman" w:cs="Times New Roman"/>
        </w:rPr>
        <w:t>ation expectations or experience a</w:t>
      </w:r>
      <w:r w:rsidRPr="00F303D9">
        <w:rPr>
          <w:rFonts w:ascii="Times New Roman" w:hAnsi="Times New Roman" w:cs="Times New Roman" w:hint="eastAsia"/>
        </w:rPr>
        <w:t>ff</w:t>
      </w:r>
      <w:r w:rsidRPr="00F303D9">
        <w:rPr>
          <w:rFonts w:ascii="Times New Roman" w:hAnsi="Times New Roman" w:cs="Times New Roman"/>
        </w:rPr>
        <w:t>ecting price-setting</w:t>
      </w:r>
      <w:r w:rsidRPr="00F303D9">
        <w:rPr>
          <w:rFonts w:ascii="Times New Roman" w:hAnsi="Times New Roman" w:cs="Times New Roman" w:hint="eastAsia"/>
        </w:rPr>
        <w:t xml:space="preserve"> </w:t>
      </w:r>
      <w:r w:rsidRPr="00F303D9">
        <w:rPr>
          <w:rFonts w:ascii="Times New Roman" w:hAnsi="Times New Roman" w:cs="Times New Roman"/>
        </w:rPr>
        <w:t>behavior). Chair Volcker hiked rates and generated a recession to reduce in</w:t>
      </w:r>
      <w:r w:rsidRPr="00F303D9">
        <w:rPr>
          <w:rFonts w:ascii="Times New Roman" w:hAnsi="Times New Roman" w:cs="Times New Roman" w:hint="eastAsia"/>
        </w:rPr>
        <w:t>fl</w:t>
      </w:r>
      <w:r w:rsidRPr="00F303D9">
        <w:rPr>
          <w:rFonts w:ascii="Times New Roman" w:hAnsi="Times New Roman" w:cs="Times New Roman"/>
        </w:rPr>
        <w:t>ation. Afterward, there were several “</w:t>
      </w:r>
      <w:r w:rsidRPr="00F303D9">
        <w:rPr>
          <w:rFonts w:ascii="Times New Roman" w:hAnsi="Times New Roman" w:cs="Times New Roman" w:hint="eastAsia"/>
        </w:rPr>
        <w:t>inflation scares</w:t>
      </w:r>
      <w:r w:rsidRPr="00F303D9">
        <w:rPr>
          <w:rFonts w:ascii="Times New Roman" w:hAnsi="Times New Roman" w:cs="Times New Roman"/>
        </w:rPr>
        <w:t>”—</w:t>
      </w:r>
      <w:r w:rsidRPr="00F303D9">
        <w:rPr>
          <w:rFonts w:ascii="Times New Roman" w:hAnsi="Times New Roman" w:cs="Times New Roman" w:hint="eastAsia"/>
        </w:rPr>
        <w:t xml:space="preserve">the </w:t>
      </w:r>
      <w:r w:rsidRPr="00F303D9">
        <w:rPr>
          <w:rFonts w:ascii="Times New Roman" w:hAnsi="Times New Roman" w:cs="Times New Roman"/>
        </w:rPr>
        <w:t>markets were</w:t>
      </w:r>
      <w:r w:rsidRPr="00F303D9">
        <w:rPr>
          <w:rFonts w:ascii="Times New Roman" w:hAnsi="Times New Roman" w:cs="Times New Roman" w:hint="eastAsia"/>
        </w:rPr>
        <w:t xml:space="preserve"> </w:t>
      </w:r>
      <w:r w:rsidRPr="00F303D9">
        <w:rPr>
          <w:rFonts w:ascii="Times New Roman" w:hAnsi="Times New Roman" w:cs="Times New Roman"/>
        </w:rPr>
        <w:t>testing the Fed’s resolve to see whether they are serious about controlling</w:t>
      </w:r>
      <w:r w:rsidRPr="00F303D9">
        <w:rPr>
          <w:rFonts w:ascii="Times New Roman" w:hAnsi="Times New Roman" w:cs="Times New Roman" w:hint="eastAsia"/>
        </w:rPr>
        <w:t xml:space="preserve"> </w:t>
      </w:r>
      <w:r w:rsidRPr="00F303D9">
        <w:rPr>
          <w:rFonts w:ascii="Times New Roman" w:hAnsi="Times New Roman" w:cs="Times New Roman"/>
        </w:rPr>
        <w:t>in</w:t>
      </w:r>
      <w:r w:rsidRPr="00F303D9">
        <w:rPr>
          <w:rFonts w:ascii="Times New Roman" w:hAnsi="Times New Roman" w:cs="Times New Roman" w:hint="eastAsia"/>
        </w:rPr>
        <w:t>fl</w:t>
      </w:r>
      <w:r w:rsidRPr="00F303D9">
        <w:rPr>
          <w:rFonts w:ascii="Times New Roman" w:hAnsi="Times New Roman" w:cs="Times New Roman"/>
        </w:rPr>
        <w:t>ation or whether in</w:t>
      </w:r>
      <w:r w:rsidRPr="00F303D9">
        <w:rPr>
          <w:rFonts w:ascii="Times New Roman" w:hAnsi="Times New Roman" w:cs="Times New Roman" w:hint="eastAsia"/>
        </w:rPr>
        <w:t>fl</w:t>
      </w:r>
      <w:r w:rsidRPr="00F303D9">
        <w:rPr>
          <w:rFonts w:ascii="Times New Roman" w:hAnsi="Times New Roman" w:cs="Times New Roman"/>
        </w:rPr>
        <w:t xml:space="preserve">ation would </w:t>
      </w:r>
      <w:r w:rsidRPr="00F303D9">
        <w:rPr>
          <w:rFonts w:ascii="Times New Roman" w:hAnsi="Times New Roman" w:cs="Times New Roman" w:hint="eastAsia"/>
        </w:rPr>
        <w:t>fl</w:t>
      </w:r>
      <w:r w:rsidRPr="00F303D9">
        <w:rPr>
          <w:rFonts w:ascii="Times New Roman" w:hAnsi="Times New Roman" w:cs="Times New Roman"/>
        </w:rPr>
        <w:t>are up again. Over time, the Fed managed to keep in</w:t>
      </w:r>
      <w:r w:rsidRPr="00F303D9">
        <w:rPr>
          <w:rFonts w:ascii="Times New Roman" w:hAnsi="Times New Roman" w:cs="Times New Roman" w:hint="eastAsia"/>
        </w:rPr>
        <w:t>fl</w:t>
      </w:r>
      <w:r w:rsidRPr="00F303D9">
        <w:rPr>
          <w:rFonts w:ascii="Times New Roman" w:hAnsi="Times New Roman" w:cs="Times New Roman"/>
        </w:rPr>
        <w:t>ation at its implicit target (2%). The Fed eventually gained</w:t>
      </w:r>
      <w:r w:rsidRPr="00F303D9">
        <w:rPr>
          <w:rFonts w:ascii="Times New Roman" w:hAnsi="Times New Roman" w:cs="Times New Roman" w:hint="eastAsia"/>
        </w:rPr>
        <w:t xml:space="preserve"> </w:t>
      </w:r>
      <w:r w:rsidRPr="00F303D9">
        <w:rPr>
          <w:rFonts w:ascii="Times New Roman" w:hAnsi="Times New Roman" w:cs="Times New Roman"/>
        </w:rPr>
        <w:t>credibility and in</w:t>
      </w:r>
      <w:r w:rsidRPr="00F303D9">
        <w:rPr>
          <w:rFonts w:ascii="Times New Roman" w:hAnsi="Times New Roman" w:cs="Times New Roman" w:hint="eastAsia"/>
        </w:rPr>
        <w:t>fl</w:t>
      </w:r>
      <w:r w:rsidRPr="00F303D9">
        <w:rPr>
          <w:rFonts w:ascii="Times New Roman" w:hAnsi="Times New Roman" w:cs="Times New Roman"/>
        </w:rPr>
        <w:t>ation expectations became anchored. This credibility is</w:t>
      </w:r>
      <w:r w:rsidRPr="00F303D9">
        <w:rPr>
          <w:rFonts w:ascii="Times New Roman" w:hAnsi="Times New Roman" w:cs="Times New Roman" w:hint="eastAsia"/>
        </w:rPr>
        <w:t xml:space="preserve"> </w:t>
      </w:r>
      <w:r w:rsidRPr="00F303D9">
        <w:rPr>
          <w:rFonts w:ascii="Times New Roman" w:hAnsi="Times New Roman" w:cs="Times New Roman"/>
        </w:rPr>
        <w:t xml:space="preserve">why (among other things) bond-stock betas eventually turned </w:t>
      </w:r>
      <w:proofErr w:type="spellStart"/>
      <w:proofErr w:type="gramStart"/>
      <w:r w:rsidRPr="00F303D9">
        <w:rPr>
          <w:rFonts w:ascii="Times New Roman" w:hAnsi="Times New Roman" w:cs="Times New Roman"/>
        </w:rPr>
        <w:t>negative.</w:t>
      </w:r>
      <w:r w:rsidR="00A6114B">
        <w:rPr>
          <w:rFonts w:ascii="Times New Roman" w:hAnsi="Times New Roman" w:cs="Times New Roman"/>
        </w:rPr>
        <w:t>This</w:t>
      </w:r>
      <w:proofErr w:type="spellEnd"/>
      <w:proofErr w:type="gramEnd"/>
      <w:r w:rsidR="00A6114B">
        <w:rPr>
          <w:rFonts w:ascii="Times New Roman" w:hAnsi="Times New Roman" w:cs="Times New Roman"/>
        </w:rPr>
        <w:t xml:space="preserve"> </w:t>
      </w:r>
      <w:r>
        <w:rPr>
          <w:rStyle w:val="FootnoteReference"/>
          <w:rFonts w:ascii="Times New Roman" w:hAnsi="Times New Roman" w:cs="Times New Roman"/>
        </w:rPr>
        <w:footnoteReference w:id="1"/>
      </w:r>
      <w:r w:rsidRPr="00F303D9">
        <w:rPr>
          <w:rFonts w:ascii="Times New Roman" w:hAnsi="Times New Roman" w:cs="Times New Roman" w:hint="eastAsia"/>
        </w:rPr>
        <w:t xml:space="preserve"> </w:t>
      </w:r>
    </w:p>
    <w:p w14:paraId="6B103A15" w14:textId="77777777" w:rsidR="00F303D9" w:rsidRDefault="00F303D9"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r w:rsidRPr="00AE5C04">
        <w:rPr>
          <w:rFonts w:ascii="Times New Roman" w:hAnsi="Times New Roman" w:cs="Times New Roman"/>
        </w:rPr>
        <w:br/>
        <w:t>Given this history, what should we make of this paper’s explanation that this</w:t>
      </w:r>
      <w:r w:rsidRPr="00AE5C04">
        <w:rPr>
          <w:rFonts w:ascii="Times New Roman" w:hAnsi="Times New Roman" w:cs="Times New Roman" w:hint="eastAsia"/>
        </w:rPr>
        <w:t xml:space="preserve"> </w:t>
      </w:r>
      <w:r w:rsidRPr="00AE5C04">
        <w:rPr>
          <w:rFonts w:ascii="Times New Roman" w:hAnsi="Times New Roman" w:cs="Times New Roman"/>
        </w:rPr>
        <w:t>period featured dominant “supply shocks”</w:t>
      </w:r>
      <w:r w:rsidRPr="00AE5C04">
        <w:rPr>
          <w:rFonts w:ascii="Times New Roman" w:hAnsi="Times New Roman" w:cs="Times New Roman" w:hint="eastAsia"/>
        </w:rPr>
        <w:t xml:space="preserve"> </w:t>
      </w:r>
      <w:r w:rsidRPr="00AE5C04">
        <w:rPr>
          <w:rFonts w:ascii="Times New Roman" w:hAnsi="Times New Roman" w:cs="Times New Roman"/>
        </w:rPr>
        <w:t>with a fast and in</w:t>
      </w:r>
      <w:r w:rsidRPr="00AE5C04">
        <w:rPr>
          <w:rFonts w:ascii="Times New Roman" w:hAnsi="Times New Roman" w:cs="Times New Roman" w:hint="eastAsia"/>
        </w:rPr>
        <w:t>fl</w:t>
      </w:r>
      <w:r w:rsidRPr="00AE5C04">
        <w:rPr>
          <w:rFonts w:ascii="Times New Roman" w:hAnsi="Times New Roman" w:cs="Times New Roman"/>
        </w:rPr>
        <w:t>ation-focused</w:t>
      </w:r>
      <w:r w:rsidRPr="00AE5C04">
        <w:rPr>
          <w:rFonts w:ascii="Times New Roman" w:hAnsi="Times New Roman" w:cs="Times New Roman" w:hint="eastAsia"/>
        </w:rPr>
        <w:t xml:space="preserve"> </w:t>
      </w:r>
      <w:r w:rsidRPr="00AE5C04">
        <w:rPr>
          <w:rFonts w:ascii="Times New Roman" w:hAnsi="Times New Roman" w:cs="Times New Roman"/>
        </w:rPr>
        <w:t xml:space="preserve">monetary policy? We can </w:t>
      </w:r>
      <w:r w:rsidRPr="00AE5C04">
        <w:rPr>
          <w:rFonts w:ascii="Times New Roman" w:hAnsi="Times New Roman" w:cs="Times New Roman"/>
          <w:i/>
          <w:iCs/>
        </w:rPr>
        <w:t>perhaps</w:t>
      </w:r>
      <w:r w:rsidRPr="00AE5C04">
        <w:rPr>
          <w:rFonts w:ascii="Times New Roman" w:hAnsi="Times New Roman" w:cs="Times New Roman"/>
        </w:rPr>
        <w:t xml:space="preserve"> interpret the supply shocks as an “as-if”</w:t>
      </w:r>
      <w:r w:rsidRPr="00AE5C04">
        <w:rPr>
          <w:rFonts w:ascii="Times New Roman" w:hAnsi="Times New Roman" w:cs="Times New Roman" w:hint="eastAsia"/>
        </w:rPr>
        <w:t xml:space="preserve"> </w:t>
      </w:r>
      <w:r w:rsidRPr="00AE5C04">
        <w:rPr>
          <w:rFonts w:ascii="Times New Roman" w:hAnsi="Times New Roman" w:cs="Times New Roman"/>
        </w:rPr>
        <w:t>modeling device to capture in</w:t>
      </w:r>
      <w:r w:rsidRPr="00AE5C04">
        <w:rPr>
          <w:rFonts w:ascii="Times New Roman" w:hAnsi="Times New Roman" w:cs="Times New Roman" w:hint="eastAsia"/>
        </w:rPr>
        <w:t>fl</w:t>
      </w:r>
      <w:r w:rsidRPr="00AE5C04">
        <w:rPr>
          <w:rFonts w:ascii="Times New Roman" w:hAnsi="Times New Roman" w:cs="Times New Roman"/>
        </w:rPr>
        <w:t>ation scares driven by weak credibility. But we</w:t>
      </w:r>
      <w:r w:rsidRPr="00AE5C04">
        <w:rPr>
          <w:rFonts w:ascii="Times New Roman" w:hAnsi="Times New Roman" w:cs="Times New Roman" w:hint="eastAsia"/>
        </w:rPr>
        <w:t xml:space="preserve"> </w:t>
      </w:r>
      <w:r w:rsidRPr="00AE5C04">
        <w:rPr>
          <w:rFonts w:ascii="Times New Roman" w:hAnsi="Times New Roman" w:cs="Times New Roman"/>
        </w:rPr>
        <w:t>could do a similar interpretation for CPV. This paper’s ambition appears to</w:t>
      </w:r>
      <w:r w:rsidRPr="00AE5C04">
        <w:rPr>
          <w:rFonts w:ascii="Times New Roman" w:hAnsi="Times New Roman" w:cs="Times New Roman" w:hint="eastAsia"/>
        </w:rPr>
        <w:t xml:space="preserve"> </w:t>
      </w:r>
      <w:r w:rsidRPr="00AE5C04">
        <w:rPr>
          <w:rFonts w:ascii="Times New Roman" w:hAnsi="Times New Roman" w:cs="Times New Roman"/>
        </w:rPr>
        <w:t>go deeper than CPV and provide a “structural”</w:t>
      </w:r>
      <w:r w:rsidRPr="00AE5C04">
        <w:rPr>
          <w:rFonts w:ascii="Times New Roman" w:hAnsi="Times New Roman" w:cs="Times New Roman" w:hint="eastAsia"/>
        </w:rPr>
        <w:t xml:space="preserve"> </w:t>
      </w:r>
      <w:r w:rsidRPr="00AE5C04">
        <w:rPr>
          <w:rFonts w:ascii="Times New Roman" w:hAnsi="Times New Roman" w:cs="Times New Roman"/>
        </w:rPr>
        <w:t>interpretation rather than an</w:t>
      </w:r>
      <w:r>
        <w:rPr>
          <w:rFonts w:ascii="Times New Roman" w:hAnsi="Times New Roman" w:cs="Times New Roman" w:hint="eastAsia"/>
        </w:rPr>
        <w:t xml:space="preserve"> </w:t>
      </w:r>
      <w:r w:rsidRPr="00AE5C04">
        <w:rPr>
          <w:rFonts w:ascii="Times New Roman" w:hAnsi="Times New Roman" w:cs="Times New Roman"/>
        </w:rPr>
        <w:t>as-if interpretation. But the structural interpretation does not seem correct.</w:t>
      </w:r>
    </w:p>
    <w:p w14:paraId="1FC2F7BC" w14:textId="77777777" w:rsidR="00FC1393" w:rsidRDefault="00FC1393"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p>
    <w:p w14:paraId="230B3DCD" w14:textId="367893C3" w:rsidR="0079087F" w:rsidRDefault="00FC1393" w:rsidP="0079087F">
      <w:pPr>
        <w:autoSpaceDE w:val="0"/>
        <w:autoSpaceDN w:val="0"/>
        <w:adjustRightInd w:val="0"/>
        <w:spacing w:after="0" w:line="240" w:lineRule="auto"/>
        <w:rPr>
          <w:rFonts w:ascii="Times New Roman" w:hAnsi="Times New Roman" w:cs="Times New Roman"/>
          <w:color w:val="0000FF"/>
        </w:rPr>
      </w:pPr>
      <w:r w:rsidRPr="00E7757A">
        <w:rPr>
          <w:rFonts w:ascii="Times New Roman" w:hAnsi="Times New Roman" w:cs="Times New Roman"/>
          <w:b/>
          <w:bCs/>
          <w:color w:val="0000FF"/>
        </w:rPr>
        <w:lastRenderedPageBreak/>
        <w:t>Reply:</w:t>
      </w:r>
      <w:r w:rsidRPr="00E7757A">
        <w:rPr>
          <w:rFonts w:ascii="Times New Roman" w:hAnsi="Times New Roman" w:cs="Times New Roman"/>
          <w:color w:val="0000FF"/>
        </w:rPr>
        <w:t xml:space="preserve"> </w:t>
      </w:r>
      <w:r w:rsidR="0079087F">
        <w:rPr>
          <w:rFonts w:ascii="Times New Roman" w:hAnsi="Times New Roman" w:cs="Times New Roman"/>
          <w:color w:val="0000FF"/>
        </w:rPr>
        <w:t xml:space="preserve">I have addressed the issue twofold. First, I followed </w:t>
      </w:r>
      <w:r w:rsidR="001A6E52">
        <w:rPr>
          <w:rFonts w:ascii="Times New Roman" w:hAnsi="Times New Roman" w:cs="Times New Roman"/>
          <w:color w:val="0000FF"/>
        </w:rPr>
        <w:t xml:space="preserve">the AE’s </w:t>
      </w:r>
      <w:r w:rsidR="0079087F">
        <w:rPr>
          <w:rFonts w:ascii="Times New Roman" w:hAnsi="Times New Roman" w:cs="Times New Roman"/>
          <w:color w:val="0000FF"/>
        </w:rPr>
        <w:t xml:space="preserve">suggestion to calculate the necessary changes in parameters to explain the nominal bond-stock betas during the 1980s from the second subperiod calibration (see the </w:t>
      </w:r>
      <w:r w:rsidR="0079087F" w:rsidRPr="003C5071">
        <w:rPr>
          <w:rFonts w:ascii="Times New Roman" w:hAnsi="Times New Roman" w:cs="Times New Roman"/>
          <w:b/>
          <w:bCs/>
          <w:color w:val="0000FF"/>
        </w:rPr>
        <w:t>new Figure 8</w:t>
      </w:r>
      <w:r w:rsidR="0079087F">
        <w:rPr>
          <w:rFonts w:ascii="Times New Roman" w:hAnsi="Times New Roman" w:cs="Times New Roman"/>
          <w:color w:val="0000FF"/>
        </w:rPr>
        <w:t xml:space="preserve">). This new figure clearly shows that volatile supply shocks are required to explain risky nominal Treasury bonds observed during the 1980s. 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For a detailed discussion of this figure see the </w:t>
      </w:r>
      <w:r w:rsidR="0079087F" w:rsidRPr="00C2376C">
        <w:rPr>
          <w:rFonts w:ascii="Times New Roman" w:hAnsi="Times New Roman" w:cs="Times New Roman"/>
          <w:b/>
          <w:bCs/>
          <w:color w:val="0000FF"/>
        </w:rPr>
        <w:t>new Section 4.4</w:t>
      </w:r>
      <w:r w:rsidR="0079087F">
        <w:rPr>
          <w:rFonts w:ascii="Times New Roman" w:hAnsi="Times New Roman" w:cs="Times New Roman"/>
          <w:color w:val="0000FF"/>
        </w:rPr>
        <w:t xml:space="preserve"> </w:t>
      </w:r>
      <w:r w:rsidR="0079087F" w:rsidRPr="00C2376C">
        <w:rPr>
          <w:rFonts w:ascii="Times New Roman" w:hAnsi="Times New Roman" w:cs="Times New Roman"/>
          <w:b/>
          <w:bCs/>
          <w:color w:val="0000FF"/>
        </w:rPr>
        <w:t>(pp.3</w:t>
      </w:r>
      <w:r w:rsidR="0079087F">
        <w:rPr>
          <w:rFonts w:ascii="Times New Roman" w:hAnsi="Times New Roman" w:cs="Times New Roman"/>
          <w:b/>
          <w:bCs/>
          <w:color w:val="0000FF"/>
        </w:rPr>
        <w:t>0</w:t>
      </w:r>
      <w:r w:rsidR="0079087F" w:rsidRPr="00C2376C">
        <w:rPr>
          <w:rFonts w:ascii="Times New Roman" w:hAnsi="Times New Roman" w:cs="Times New Roman"/>
          <w:b/>
          <w:bCs/>
          <w:color w:val="0000FF"/>
        </w:rPr>
        <w:t>-3</w:t>
      </w:r>
      <w:r w:rsidR="0079087F">
        <w:rPr>
          <w:rFonts w:ascii="Times New Roman" w:hAnsi="Times New Roman" w:cs="Times New Roman"/>
          <w:b/>
          <w:bCs/>
          <w:color w:val="0000FF"/>
        </w:rPr>
        <w:t>3</w:t>
      </w:r>
      <w:r w:rsidR="0079087F" w:rsidRPr="00C2376C">
        <w:rPr>
          <w:rFonts w:ascii="Times New Roman" w:hAnsi="Times New Roman" w:cs="Times New Roman"/>
          <w:b/>
          <w:bCs/>
          <w:color w:val="0000FF"/>
        </w:rPr>
        <w:t>)</w:t>
      </w:r>
      <w:r w:rsidR="0079087F">
        <w:rPr>
          <w:rFonts w:ascii="Times New Roman" w:hAnsi="Times New Roman" w:cs="Times New Roman"/>
          <w:color w:val="0000FF"/>
        </w:rPr>
        <w:t xml:space="preserve"> in the manuscript.</w:t>
      </w:r>
    </w:p>
    <w:p w14:paraId="014E9494"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EA6A099" w14:textId="2DFEF7D3" w:rsidR="0079087F" w:rsidRDefault="0079087F" w:rsidP="0079087F">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w:t>
      </w:r>
      <w:proofErr w:type="gramStart"/>
      <w:r>
        <w:rPr>
          <w:rFonts w:ascii="Times New Roman" w:hAnsi="Times New Roman" w:cs="Times New Roman"/>
          <w:color w:val="0000FF"/>
        </w:rPr>
        <w:t>In particular, it</w:t>
      </w:r>
      <w:proofErr w:type="gramEnd"/>
      <w:r>
        <w:rPr>
          <w:rFonts w:ascii="Times New Roman" w:hAnsi="Times New Roman" w:cs="Times New Roman"/>
          <w:color w:val="0000FF"/>
        </w:rPr>
        <w:t xml:space="preserve"> has been argued that </w:t>
      </w:r>
      <w:r w:rsidR="001A6E52">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I added a brief discussion to the introduction explaining why I calibrate the model to the 1980s rather than the 1970s </w:t>
      </w:r>
      <w:r w:rsidRPr="005C3C2D">
        <w:rPr>
          <w:rFonts w:ascii="Times New Roman" w:hAnsi="Times New Roman" w:cs="Times New Roman"/>
          <w:color w:val="0000FF"/>
        </w:rPr>
        <w:t>(</w:t>
      </w:r>
      <w:r>
        <w:rPr>
          <w:rFonts w:ascii="Times New Roman" w:hAnsi="Times New Roman" w:cs="Times New Roman"/>
          <w:b/>
          <w:bCs/>
          <w:color w:val="0000FF"/>
        </w:rPr>
        <w:t xml:space="preserve">p3, </w:t>
      </w:r>
      <w:r w:rsidRPr="005C3C2D">
        <w:rPr>
          <w:rFonts w:ascii="Times New Roman" w:hAnsi="Times New Roman" w:cs="Times New Roman"/>
          <w:b/>
          <w:bCs/>
          <w:color w:val="0000FF"/>
        </w:rPr>
        <w:t>paragraph starting “The calibrated changes…”</w:t>
      </w:r>
      <w:r>
        <w:rPr>
          <w:rFonts w:ascii="Times New Roman" w:hAnsi="Times New Roman" w:cs="Times New Roman"/>
          <w:color w:val="0000FF"/>
        </w:rPr>
        <w:t>).</w:t>
      </w:r>
    </w:p>
    <w:p w14:paraId="196BD538"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51BE1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A37E76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200ED75A"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6015C8C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8EBA32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7EBEA0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5078200"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0C509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F0B2F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58E59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46D12BF"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C49596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EC0DA0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49C819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387D90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B5E60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58DF76CC"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FDD4575"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BE48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CF8323A"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18ABB92F"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EEBF8F3"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DBA309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AE6A7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DBCB3F4" w14:textId="77777777" w:rsidR="0079087F" w:rsidRPr="00911C0D" w:rsidRDefault="0079087F" w:rsidP="0079087F">
      <w:pPr>
        <w:autoSpaceDE w:val="0"/>
        <w:autoSpaceDN w:val="0"/>
        <w:adjustRightInd w:val="0"/>
        <w:spacing w:after="0" w:line="240" w:lineRule="auto"/>
        <w:jc w:val="center"/>
        <w:rPr>
          <w:b/>
          <w:bCs/>
        </w:rPr>
      </w:pPr>
      <w:r w:rsidRPr="00911C0D">
        <w:rPr>
          <w:rFonts w:ascii="Times New Roman" w:hAnsi="Times New Roman" w:cs="Times New Roman"/>
          <w:b/>
          <w:bCs/>
        </w:rPr>
        <w:lastRenderedPageBreak/>
        <w:t xml:space="preserve">Figure 8: </w:t>
      </w:r>
      <w:r w:rsidRPr="00911C0D">
        <w:rPr>
          <w:b/>
          <w:bCs/>
        </w:rPr>
        <w:t>Model Nominal Bond-Stock Beta vs. 1980s Bond-Stock Beta</w:t>
      </w:r>
    </w:p>
    <w:p w14:paraId="0B507262" w14:textId="77777777" w:rsidR="0079087F" w:rsidRPr="00911C0D" w:rsidRDefault="0079087F" w:rsidP="0079087F">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2840CBCE"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58D76C23" w14:textId="77777777" w:rsidR="0079087F" w:rsidRDefault="0079087F" w:rsidP="0079087F">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34E66C88" wp14:editId="06DE6D22">
            <wp:extent cx="5334000" cy="4000500"/>
            <wp:effectExtent l="0" t="0" r="0" b="0"/>
            <wp:docPr id="1016956891"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5B5C4D6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7F13898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2B907AC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Second, the revised manuscript includes new anecdotes and references for examples of supply shocks during the 1980s and 1990s. It is important to keep in mind that in my model bond-stock betas depend on the volatility of supply shocks, but the sign of these shocks can be either positive or negative. While the 1970s were a period of dramatic adverse supply shocks, the 1980s and 1990s featured substantial supply shocks that tended to be positive, such as in 1986 when Saudi Arabia more than doubled its own oil output leading to a dramatic drop in oil prices (Gately, 1986). These shocks were viewed as highly relevant for monetary policy during 1980s and 1990s, as illustrated by the following quote from Greg Mankiw in a </w:t>
      </w:r>
      <w:r w:rsidRPr="00A4499C">
        <w:rPr>
          <w:rFonts w:ascii="Times New Roman" w:hAnsi="Times New Roman" w:cs="Times New Roman"/>
          <w:color w:val="0000FF"/>
        </w:rPr>
        <w:t>Fortune</w:t>
      </w:r>
      <w:r>
        <w:rPr>
          <w:rFonts w:ascii="Times New Roman" w:hAnsi="Times New Roman" w:cs="Times New Roman"/>
          <w:color w:val="0000FF"/>
        </w:rPr>
        <w:t xml:space="preserve"> article from December 1997: </w:t>
      </w:r>
    </w:p>
    <w:p w14:paraId="60C20F42"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D04C51" w14:textId="77777777" w:rsidR="0079087F" w:rsidRPr="00A4499C" w:rsidRDefault="0079087F" w:rsidP="0079087F">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to 120 yen per dollar has put downward </w:t>
      </w:r>
      <w:r w:rsidRPr="00713C40">
        <w:rPr>
          <w:rFonts w:ascii="Times New Roman" w:hAnsi="Times New Roman" w:cs="Times New Roman"/>
          <w:color w:val="0000FF"/>
          <w:sz w:val="22"/>
          <w:szCs w:val="22"/>
        </w:rPr>
        <w:lastRenderedPageBreak/>
        <w:t>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50C8423" w14:textId="77777777" w:rsidR="0079087F" w:rsidRPr="00A4499C" w:rsidRDefault="0079087F" w:rsidP="0079087F">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0C35FBD9" w14:textId="77777777" w:rsidR="0079087F" w:rsidRPr="00A4499C" w:rsidRDefault="0079087F" w:rsidP="0079087F">
      <w:pPr>
        <w:pStyle w:val="Default"/>
        <w:ind w:left="720" w:firstLine="720"/>
        <w:rPr>
          <w:rFonts w:ascii="Times New Roman" w:hAnsi="Times New Roman" w:cs="Times New Roman"/>
          <w:color w:val="0000FF"/>
          <w:sz w:val="22"/>
          <w:szCs w:val="22"/>
        </w:rPr>
      </w:pPr>
    </w:p>
    <w:p w14:paraId="0E0B721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my first subperiod, and </w:t>
      </w:r>
      <w:proofErr w:type="gramStart"/>
      <w:r>
        <w:rPr>
          <w:rFonts w:ascii="Times New Roman" w:hAnsi="Times New Roman" w:cs="Times New Roman"/>
          <w:color w:val="0000FF"/>
        </w:rPr>
        <w:t>in particular during</w:t>
      </w:r>
      <w:proofErr w:type="gramEnd"/>
      <w:r>
        <w:rPr>
          <w:rFonts w:ascii="Times New Roman" w:hAnsi="Times New Roman" w:cs="Times New Roman"/>
          <w:color w:val="0000FF"/>
        </w:rPr>
        <w:t xml:space="preserve"> the 1990s. The puzzle for economists and policy makers during the 1990s was how the US economy was able to perform so well while inflation remained low. It is immediate that these empirical observations would contribute to the negative empirical inflation-output gap relationship displayed in the top-left panel of Figure 2, and hence to the identification of volatile supply shocks during my first calibration period. Fed Chair Alan Greenspan himself famously attributed the performance of the US economy with low inflation during this period to technology shocks and the “New Economy” in statements such as the following:</w:t>
      </w:r>
    </w:p>
    <w:p w14:paraId="682500B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6E9A8D27" w14:textId="77777777" w:rsidR="0079087F" w:rsidRPr="00A4499C" w:rsidRDefault="0079087F" w:rsidP="0079087F">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 contain inflationary tendencies. An ever-increasing share of our nation's workforce uses the tools of new technologies. Microchips embodied in physical capital make it work more efficiently, and sophisticated software adds to intellectual capital.”</w:t>
      </w:r>
    </w:p>
    <w:p w14:paraId="3A261558" w14:textId="77777777" w:rsidR="0079087F" w:rsidRPr="00A4499C" w:rsidRDefault="0079087F" w:rsidP="0079087F">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(Chairman Alan Greenspan, Semiannual monetary policy report, U.S. Senate July 18, 1996)</w:t>
      </w:r>
    </w:p>
    <w:p w14:paraId="76C755F5" w14:textId="77777777" w:rsidR="0079087F" w:rsidRDefault="0079087F" w:rsidP="00510E8A">
      <w:pPr>
        <w:pStyle w:val="Default"/>
        <w:rPr>
          <w:rFonts w:ascii="Times New Roman" w:hAnsi="Times New Roman" w:cs="Times New Roman"/>
          <w:color w:val="0000FF"/>
          <w:sz w:val="22"/>
          <w:szCs w:val="22"/>
        </w:rPr>
      </w:pPr>
    </w:p>
    <w:p w14:paraId="31807C15" w14:textId="4C656C0A" w:rsidR="0079087F" w:rsidRPr="003623A0" w:rsidRDefault="0079087F" w:rsidP="0079087F">
      <w:pPr>
        <w:pStyle w:val="Default"/>
        <w:ind w:left="360"/>
        <w:rPr>
          <w:rFonts w:ascii="Times New Roman" w:hAnsi="Times New Roman" w:cs="Times New Roman"/>
          <w:color w:val="0000FF"/>
          <w:sz w:val="22"/>
          <w:szCs w:val="22"/>
        </w:rPr>
      </w:pPr>
      <w:commentRangeStart w:id="1"/>
      <w:r w:rsidRPr="003623A0">
        <w:rPr>
          <w:rFonts w:ascii="Times New Roman" w:hAnsi="Times New Roman" w:cs="Times New Roman"/>
          <w:color w:val="0000FF"/>
          <w:sz w:val="22"/>
          <w:szCs w:val="22"/>
        </w:rPr>
        <w:t>N</w:t>
      </w:r>
      <w:commentRangeEnd w:id="1"/>
      <w:r w:rsidRPr="00251F6F">
        <w:rPr>
          <w:rFonts w:ascii="Times New Roman" w:hAnsi="Times New Roman" w:cs="Times New Roman"/>
          <w:color w:val="0000FF"/>
          <w:sz w:val="22"/>
          <w:szCs w:val="22"/>
        </w:rPr>
        <w:commentReference w:id="1"/>
      </w:r>
      <w:r w:rsidRPr="003623A0">
        <w:rPr>
          <w:rFonts w:ascii="Times New Roman" w:hAnsi="Times New Roman" w:cs="Times New Roman"/>
          <w:color w:val="0000FF"/>
          <w:sz w:val="22"/>
          <w:szCs w:val="22"/>
        </w:rPr>
        <w:t>ot all supply shocks during the 1980s and 1990s were positive</w:t>
      </w:r>
      <w:r>
        <w:rPr>
          <w:rFonts w:ascii="Times New Roman" w:hAnsi="Times New Roman" w:cs="Times New Roman"/>
          <w:color w:val="0000FF"/>
          <w:sz w:val="22"/>
          <w:szCs w:val="22"/>
        </w:rPr>
        <w:t xml:space="preserve">. As mentioned by the </w:t>
      </w:r>
      <w:proofErr w:type="gramStart"/>
      <w:r>
        <w:rPr>
          <w:rFonts w:ascii="Times New Roman" w:hAnsi="Times New Roman" w:cs="Times New Roman"/>
          <w:color w:val="0000FF"/>
          <w:sz w:val="22"/>
          <w:szCs w:val="22"/>
        </w:rPr>
        <w:t xml:space="preserve">AE,  </w:t>
      </w:r>
      <w:r w:rsidRPr="003623A0">
        <w:rPr>
          <w:rFonts w:ascii="Times New Roman" w:hAnsi="Times New Roman" w:cs="Times New Roman"/>
          <w:color w:val="0000FF"/>
          <w:sz w:val="22"/>
          <w:szCs w:val="22"/>
        </w:rPr>
        <w:t>Goodfriend</w:t>
      </w:r>
      <w:proofErr w:type="gramEnd"/>
      <w:r w:rsidRPr="003623A0">
        <w:rPr>
          <w:rFonts w:ascii="Times New Roman" w:hAnsi="Times New Roman" w:cs="Times New Roman"/>
          <w:color w:val="0000FF"/>
          <w:sz w:val="22"/>
          <w:szCs w:val="22"/>
        </w:rPr>
        <w:t xml:space="preserve"> (2007) </w:t>
      </w:r>
      <w:r>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w:t>
      </w:r>
      <w:r w:rsidRPr="00A476FF">
        <w:rPr>
          <w:rFonts w:ascii="Times New Roman" w:hAnsi="Times New Roman" w:cs="Times New Roman"/>
          <w:color w:val="0000FF"/>
          <w:sz w:val="22"/>
          <w:szCs w:val="22"/>
        </w:rPr>
        <w:t xml:space="preserve">Consistent </w:t>
      </w:r>
      <w:r w:rsidRPr="003623A0">
        <w:rPr>
          <w:rFonts w:ascii="Times New Roman" w:hAnsi="Times New Roman" w:cs="Times New Roman"/>
          <w:color w:val="0000FF"/>
          <w:sz w:val="22"/>
          <w:szCs w:val="22"/>
        </w:rPr>
        <w:t xml:space="preserve">with my break date, Goodfriend (2007) argues that the late 1990s represented a significant break in monetary policy towards a “new consensus”. I therefore view </w:t>
      </w:r>
      <w:r>
        <w:rPr>
          <w:rFonts w:ascii="Times New Roman" w:hAnsi="Times New Roman" w:cs="Times New Roman"/>
          <w:color w:val="0000FF"/>
          <w:sz w:val="22"/>
          <w:szCs w:val="22"/>
        </w:rPr>
        <w:t xml:space="preserve">Goodfriend (2007)’s </w:t>
      </w:r>
      <w:r w:rsidRPr="003623A0">
        <w:rPr>
          <w:rFonts w:ascii="Times New Roman" w:hAnsi="Times New Roman" w:cs="Times New Roman"/>
          <w:color w:val="0000FF"/>
          <w:sz w:val="22"/>
          <w:szCs w:val="22"/>
        </w:rPr>
        <w:t xml:space="preserve">insightful account of US monetary policy as </w:t>
      </w:r>
      <w:r>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3238361B" w14:textId="77777777" w:rsidR="0079087F" w:rsidRPr="003623A0" w:rsidRDefault="0079087F" w:rsidP="0079087F">
      <w:pPr>
        <w:pStyle w:val="Default"/>
        <w:ind w:left="360"/>
        <w:rPr>
          <w:rFonts w:ascii="Times New Roman" w:hAnsi="Times New Roman" w:cs="Times New Roman"/>
          <w:color w:val="0000FF"/>
          <w:sz w:val="22"/>
          <w:szCs w:val="22"/>
        </w:rPr>
      </w:pPr>
    </w:p>
    <w:p w14:paraId="0D124CD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To quantify this anecdotal evidence, I added a simple quantification for the perceived relevance of supply shocks across the decades using newspaper counts to the revised manuscript. The results are shown in the </w:t>
      </w:r>
      <w:r w:rsidRPr="00911C0D">
        <w:rPr>
          <w:rFonts w:ascii="Times New Roman" w:hAnsi="Times New Roman" w:cs="Times New Roman"/>
          <w:b/>
          <w:bCs/>
          <w:color w:val="0000FF"/>
        </w:rPr>
        <w:t>new Appendix Figure A1</w:t>
      </w:r>
      <w:r>
        <w:rPr>
          <w:rFonts w:ascii="Times New Roman" w:hAnsi="Times New Roman" w:cs="Times New Roman"/>
          <w:color w:val="0000FF"/>
        </w:rPr>
        <w:t xml:space="preserve">, reproduced below for your convenience. This figure shows for each decade the number of Wall Street Journal articles mentioning both “supply” and “inflation”, scaled by the number of articles mentioning “inflation” from </w:t>
      </w:r>
      <w:proofErr w:type="spellStart"/>
      <w:r>
        <w:rPr>
          <w:rFonts w:ascii="Times New Roman" w:hAnsi="Times New Roman" w:cs="Times New Roman"/>
          <w:color w:val="0000FF"/>
        </w:rPr>
        <w:t>Proquest</w:t>
      </w:r>
      <w:proofErr w:type="spellEnd"/>
      <w:r>
        <w:rPr>
          <w:rFonts w:ascii="Times New Roman" w:hAnsi="Times New Roman" w:cs="Times New Roman"/>
          <w:color w:val="0000FF"/>
        </w:rPr>
        <w:t xml:space="preserve"> Historical Newspapers. This new analysis shows that the share of supply mentions peaked in the 1980s.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w:t>
      </w:r>
      <w:proofErr w:type="gramStart"/>
      <w:r>
        <w:rPr>
          <w:rFonts w:ascii="Times New Roman" w:hAnsi="Times New Roman" w:cs="Times New Roman"/>
          <w:color w:val="0000FF"/>
        </w:rPr>
        <w:t>similar to</w:t>
      </w:r>
      <w:proofErr w:type="gramEnd"/>
      <w:r>
        <w:rPr>
          <w:rFonts w:ascii="Times New Roman" w:hAnsi="Times New Roman" w:cs="Times New Roman"/>
          <w:color w:val="0000FF"/>
        </w:rPr>
        <w:t xml:space="preserve"> the level last observed during the 1980s. Overall, this analysis based on newspaper counts further supports the notion that the public and investors were highly attuned to macroeconomic supply shocks during the 1980s and again during the post-pandemic period after 2020. </w:t>
      </w:r>
    </w:p>
    <w:p w14:paraId="1219A800"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8EDC81" w14:textId="69EE9EC3"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2E48851"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13C86E52"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C336A8A"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FC84A1B"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0CDD26D1"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7563B4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lastRenderedPageBreak/>
        <w:t>Figure A1: Relative Frequency of Supply and Inflation in WSJ Articles</w:t>
      </w:r>
    </w:p>
    <w:p w14:paraId="3B946793"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6ADF7B5" w14:textId="384EB8F2" w:rsidR="00D95858"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3F19F873" wp14:editId="625D3A21">
            <wp:extent cx="5562161" cy="2990850"/>
            <wp:effectExtent l="0" t="0" r="635" b="0"/>
            <wp:docPr id="323695703"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1F4491B" w14:textId="6BBB50CC" w:rsidR="00510E8A" w:rsidRDefault="00510E8A" w:rsidP="000D4D8D">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revised manuscript discusses this news count evidence and prominent examples of supply shocks during my first subperiod in the following locations of the revised manuscript:</w:t>
      </w:r>
    </w:p>
    <w:p w14:paraId="73A58ACA" w14:textId="77777777" w:rsidR="00510E8A" w:rsidRPr="009F3240" w:rsidRDefault="00510E8A" w:rsidP="00510E8A">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p.3, paragraph starting “The calibrated changes in the monetary policy rule (…)</w:t>
      </w:r>
    </w:p>
    <w:p w14:paraId="30CA5C7F" w14:textId="77777777" w:rsidR="00510E8A" w:rsidRPr="009F3240" w:rsidRDefault="00510E8A" w:rsidP="00510E8A">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Pr>
          <w:rFonts w:ascii="Times New Roman" w:hAnsi="Times New Roman" w:cs="Times New Roman"/>
          <w:b/>
          <w:bCs/>
          <w:color w:val="0000FF"/>
        </w:rPr>
        <w:t>4</w:t>
      </w:r>
      <w:r w:rsidRPr="009F3240">
        <w:rPr>
          <w:rFonts w:ascii="Times New Roman" w:hAnsi="Times New Roman" w:cs="Times New Roman"/>
          <w:b/>
          <w:bCs/>
          <w:color w:val="0000FF"/>
        </w:rPr>
        <w:t xml:space="preserve"> on p.3</w:t>
      </w:r>
    </w:p>
    <w:p w14:paraId="5D241D3C" w14:textId="77777777" w:rsidR="0046217C" w:rsidRDefault="00510E8A" w:rsidP="0046217C">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 paragraph starting “A simple newspaper count exercise (…)”</w:t>
      </w:r>
    </w:p>
    <w:p w14:paraId="4416FFDF" w14:textId="6EF23690" w:rsidR="00DD1DD0" w:rsidRPr="0046217C" w:rsidRDefault="00510E8A" w:rsidP="0046217C">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46217C">
        <w:rPr>
          <w:rFonts w:ascii="Times New Roman" w:hAnsi="Times New Roman" w:cs="Times New Roman"/>
          <w:b/>
          <w:bCs/>
          <w:color w:val="0000FF"/>
        </w:rPr>
        <w:t>new footnote 14 on p.18</w:t>
      </w:r>
    </w:p>
    <w:p w14:paraId="76D45061" w14:textId="77777777" w:rsidR="0046217C" w:rsidRDefault="0046217C" w:rsidP="0046217C">
      <w:pPr>
        <w:pStyle w:val="ListParagraph"/>
        <w:autoSpaceDE w:val="0"/>
        <w:autoSpaceDN w:val="0"/>
        <w:adjustRightInd w:val="0"/>
        <w:spacing w:after="0" w:line="240" w:lineRule="auto"/>
        <w:ind w:left="780"/>
      </w:pPr>
    </w:p>
    <w:p w14:paraId="0E1EA850" w14:textId="68912F96" w:rsidR="00F303D9" w:rsidRPr="00A47183"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A47183">
        <w:rPr>
          <w:rFonts w:ascii="Times New Roman" w:hAnsi="Times New Roman" w:cs="Times New Roman" w:hint="eastAsia"/>
        </w:rPr>
        <w:t xml:space="preserve">A similar qualitative look at the recent decades suggests the Fed is not less focused on inflation and it is not more inertial, compared to the 1980s. </w:t>
      </w:r>
      <w:r w:rsidRPr="00A47183">
        <w:rPr>
          <w:rFonts w:ascii="Times New Roman" w:hAnsi="Times New Roman" w:cs="Times New Roman"/>
        </w:rPr>
        <w:t>As I</w:t>
      </w:r>
      <w:r w:rsidRPr="00A47183">
        <w:rPr>
          <w:rFonts w:ascii="Times New Roman" w:hAnsi="Times New Roman" w:cs="Times New Roman" w:hint="eastAsia"/>
        </w:rPr>
        <w:t xml:space="preserve"> </w:t>
      </w:r>
      <w:r w:rsidRPr="00A47183">
        <w:rPr>
          <w:rFonts w:ascii="Times New Roman" w:hAnsi="Times New Roman" w:cs="Times New Roman"/>
        </w:rPr>
        <w:t>already mentioned, the Fed managed to keep in</w:t>
      </w:r>
      <w:r w:rsidRPr="00A47183">
        <w:rPr>
          <w:rFonts w:ascii="Times New Roman" w:hAnsi="Times New Roman" w:cs="Times New Roman" w:hint="eastAsia"/>
        </w:rPr>
        <w:t>fl</w:t>
      </w:r>
      <w:r w:rsidRPr="00A47183">
        <w:rPr>
          <w:rFonts w:ascii="Times New Roman" w:hAnsi="Times New Roman" w:cs="Times New Roman"/>
        </w:rPr>
        <w:t>ation around 2% for decades</w:t>
      </w:r>
      <w:r w:rsidRPr="00A47183">
        <w:rPr>
          <w:rFonts w:ascii="Times New Roman" w:hAnsi="Times New Roman" w:cs="Times New Roman" w:hint="eastAsia"/>
        </w:rPr>
        <w:t xml:space="preserve"> </w:t>
      </w:r>
      <w:r w:rsidRPr="00A47183">
        <w:rPr>
          <w:rFonts w:ascii="Times New Roman" w:hAnsi="Times New Roman" w:cs="Times New Roman"/>
        </w:rPr>
        <w:t xml:space="preserve">until the </w:t>
      </w:r>
      <w:r w:rsidRPr="00E32CA4">
        <w:rPr>
          <w:rFonts w:ascii="Times New Roman" w:hAnsi="Times New Roman" w:cs="Times New Roman"/>
        </w:rPr>
        <w:t>Covid-19 shock. In</w:t>
      </w:r>
      <w:r w:rsidRPr="00E32CA4">
        <w:rPr>
          <w:rFonts w:ascii="Times New Roman" w:hAnsi="Times New Roman" w:cs="Times New Roman" w:hint="eastAsia"/>
        </w:rPr>
        <w:t>fl</w:t>
      </w:r>
      <w:r w:rsidRPr="00E32CA4">
        <w:rPr>
          <w:rFonts w:ascii="Times New Roman" w:hAnsi="Times New Roman" w:cs="Times New Roman"/>
        </w:rPr>
        <w:t xml:space="preserve">ation </w:t>
      </w:r>
      <w:r w:rsidRPr="00E32CA4">
        <w:rPr>
          <w:rFonts w:ascii="Times New Roman" w:hAnsi="Times New Roman" w:cs="Times New Roman" w:hint="eastAsia"/>
        </w:rPr>
        <w:t>fl</w:t>
      </w:r>
      <w:r w:rsidRPr="00E32CA4">
        <w:rPr>
          <w:rFonts w:ascii="Times New Roman" w:hAnsi="Times New Roman" w:cs="Times New Roman"/>
        </w:rPr>
        <w:t>ared up recently, but that is because</w:t>
      </w:r>
      <w:r w:rsidRPr="00E32CA4">
        <w:rPr>
          <w:rFonts w:ascii="Times New Roman" w:hAnsi="Times New Roman" w:cs="Times New Roman" w:hint="eastAsia"/>
        </w:rPr>
        <w:t xml:space="preserve"> </w:t>
      </w:r>
      <w:r w:rsidRPr="00E32CA4">
        <w:rPr>
          <w:rFonts w:ascii="Times New Roman" w:hAnsi="Times New Roman" w:cs="Times New Roman"/>
        </w:rPr>
        <w:t>Covid-19 was a large and unusual supply shock.</w:t>
      </w:r>
      <w:r w:rsidRPr="00A47183">
        <w:rPr>
          <w:rFonts w:ascii="Times New Roman" w:hAnsi="Times New Roman" w:cs="Times New Roman"/>
        </w:rPr>
        <w:t xml:space="preserve"> The Fed made a mistake</w:t>
      </w:r>
      <w:r w:rsidRPr="00A47183">
        <w:rPr>
          <w:rFonts w:ascii="Times New Roman" w:hAnsi="Times New Roman" w:cs="Times New Roman" w:hint="eastAsia"/>
        </w:rPr>
        <w:t xml:space="preserve"> </w:t>
      </w:r>
      <w:r w:rsidRPr="00A47183">
        <w:rPr>
          <w:rFonts w:ascii="Times New Roman" w:hAnsi="Times New Roman" w:cs="Times New Roman"/>
        </w:rPr>
        <w:t xml:space="preserve">in thinking that this </w:t>
      </w:r>
      <w:commentRangeStart w:id="2"/>
      <w:r w:rsidRPr="00562E4F">
        <w:rPr>
          <w:rFonts w:ascii="Times New Roman" w:hAnsi="Times New Roman" w:cs="Times New Roman"/>
          <w:highlight w:val="yellow"/>
        </w:rPr>
        <w:t>shock was more transitory than it was (the markets</w:t>
      </w:r>
      <w:r w:rsidRPr="00562E4F">
        <w:rPr>
          <w:rFonts w:ascii="Times New Roman" w:hAnsi="Times New Roman" w:cs="Times New Roman" w:hint="eastAsia"/>
          <w:highlight w:val="yellow"/>
        </w:rPr>
        <w:t xml:space="preserve"> </w:t>
      </w:r>
      <w:r w:rsidRPr="00562E4F">
        <w:rPr>
          <w:rFonts w:ascii="Times New Roman" w:hAnsi="Times New Roman" w:cs="Times New Roman"/>
          <w:highlight w:val="yellow"/>
        </w:rPr>
        <w:t>made the same mistake throughout 2021).</w:t>
      </w:r>
      <w:r w:rsidRPr="00A47183">
        <w:rPr>
          <w:rFonts w:ascii="Times New Roman" w:hAnsi="Times New Roman" w:cs="Times New Roman"/>
        </w:rPr>
        <w:t xml:space="preserve"> </w:t>
      </w:r>
      <w:commentRangeEnd w:id="2"/>
      <w:r w:rsidR="000E3F34">
        <w:rPr>
          <w:rStyle w:val="CommentReference"/>
        </w:rPr>
        <w:commentReference w:id="2"/>
      </w:r>
      <w:r w:rsidRPr="00A47183">
        <w:rPr>
          <w:rFonts w:ascii="Times New Roman" w:hAnsi="Times New Roman" w:cs="Times New Roman"/>
        </w:rPr>
        <w:t>There is no evidence that the</w:t>
      </w:r>
      <w:r w:rsidRPr="00A47183">
        <w:rPr>
          <w:rFonts w:ascii="Times New Roman" w:hAnsi="Times New Roman" w:cs="Times New Roman" w:hint="eastAsia"/>
        </w:rPr>
        <w:t xml:space="preserve"> </w:t>
      </w:r>
      <w:r w:rsidRPr="00A47183">
        <w:rPr>
          <w:rFonts w:ascii="Times New Roman" w:hAnsi="Times New Roman" w:cs="Times New Roman"/>
        </w:rPr>
        <w:t>Fed was less in</w:t>
      </w:r>
      <w:r w:rsidRPr="00A47183">
        <w:rPr>
          <w:rFonts w:ascii="Times New Roman" w:hAnsi="Times New Roman" w:cs="Times New Roman" w:hint="eastAsia"/>
        </w:rPr>
        <w:t>fl</w:t>
      </w:r>
      <w:r w:rsidRPr="00A47183">
        <w:rPr>
          <w:rFonts w:ascii="Times New Roman" w:hAnsi="Times New Roman" w:cs="Times New Roman"/>
        </w:rPr>
        <w:t>ation focused or less inertial. In fact, once the Fed realized</w:t>
      </w:r>
      <w:r w:rsidRPr="00A47183">
        <w:rPr>
          <w:rFonts w:ascii="Times New Roman" w:hAnsi="Times New Roman" w:cs="Times New Roman" w:hint="eastAsia"/>
        </w:rPr>
        <w:t xml:space="preserve"> </w:t>
      </w:r>
      <w:r w:rsidRPr="00A47183">
        <w:rPr>
          <w:rFonts w:ascii="Times New Roman" w:hAnsi="Times New Roman" w:cs="Times New Roman"/>
        </w:rPr>
        <w:t>its mistake, it quickly reversed course and started a very aggressive hiking</w:t>
      </w:r>
      <w:r w:rsidRPr="00A47183">
        <w:rPr>
          <w:rFonts w:ascii="Times New Roman" w:hAnsi="Times New Roman" w:cs="Times New Roman" w:hint="eastAsia"/>
        </w:rPr>
        <w:t xml:space="preserve"> campaign: raising interest rates by 500 basis points in one year. This seems like </w:t>
      </w:r>
      <w:r w:rsidRPr="00A47183">
        <w:rPr>
          <w:rFonts w:ascii="Times New Roman" w:hAnsi="Times New Roman" w:cs="Times New Roman" w:hint="eastAsia"/>
          <w:i/>
          <w:iCs/>
        </w:rPr>
        <w:t>the opposite</w:t>
      </w:r>
      <w:r w:rsidRPr="00A47183">
        <w:rPr>
          <w:rFonts w:ascii="Times New Roman" w:hAnsi="Times New Roman" w:cs="Times New Roman" w:hint="eastAsia"/>
        </w:rPr>
        <w:t xml:space="preserve"> of an inertial central bank.</w:t>
      </w:r>
    </w:p>
    <w:p w14:paraId="5A1A70A6" w14:textId="3F3EF5A5" w:rsidR="00F303D9" w:rsidRDefault="00F303D9" w:rsidP="00DD71CF">
      <w:pPr>
        <w:adjustRightInd w:val="0"/>
        <w:spacing w:before="240" w:after="0" w:line="240" w:lineRule="auto"/>
        <w:rPr>
          <w:rFonts w:ascii="Times New Roman" w:hAnsi="Times New Roman" w:cs="Times New Roman"/>
        </w:rPr>
      </w:pPr>
      <w:r w:rsidRPr="00A47183">
        <w:rPr>
          <w:rFonts w:ascii="Times New Roman" w:hAnsi="Times New Roman" w:cs="Times New Roman" w:hint="eastAsia"/>
        </w:rPr>
        <w:t xml:space="preserve">In terms of the behavior of inflation </w:t>
      </w:r>
      <w:r w:rsidRPr="00A47183">
        <w:rPr>
          <w:rFonts w:ascii="Times New Roman" w:hAnsi="Times New Roman" w:cs="Times New Roman"/>
        </w:rPr>
        <w:t>expectations and stock-bond betas in the Covid-19 cycle, there is a simpler explanation than what this paper proposes. The Fed has</w:t>
      </w:r>
      <w:r w:rsidRPr="00A47183">
        <w:rPr>
          <w:rFonts w:ascii="Times New Roman" w:hAnsi="Times New Roman" w:cs="Times New Roman" w:hint="eastAsia"/>
        </w:rPr>
        <w:t xml:space="preserve"> </w:t>
      </w:r>
      <w:r w:rsidRPr="00A47183">
        <w:rPr>
          <w:rFonts w:ascii="Times New Roman" w:hAnsi="Times New Roman" w:cs="Times New Roman"/>
        </w:rPr>
        <w:t xml:space="preserve">gained </w:t>
      </w:r>
      <w:proofErr w:type="gramStart"/>
      <w:r w:rsidRPr="00A47183">
        <w:rPr>
          <w:rFonts w:ascii="Times New Roman" w:hAnsi="Times New Roman" w:cs="Times New Roman"/>
        </w:rPr>
        <w:t>credibility</w:t>
      </w:r>
      <w:proofErr w:type="gramEnd"/>
      <w:r w:rsidRPr="00A47183">
        <w:rPr>
          <w:rFonts w:ascii="Times New Roman" w:hAnsi="Times New Roman" w:cs="Times New Roman"/>
        </w:rPr>
        <w:t xml:space="preserve"> so in</w:t>
      </w:r>
      <w:r w:rsidRPr="00A47183">
        <w:rPr>
          <w:rFonts w:ascii="Times New Roman" w:hAnsi="Times New Roman" w:cs="Times New Roman" w:hint="eastAsia"/>
        </w:rPr>
        <w:t>fl</w:t>
      </w:r>
      <w:r w:rsidRPr="00A47183">
        <w:rPr>
          <w:rFonts w:ascii="Times New Roman" w:hAnsi="Times New Roman" w:cs="Times New Roman"/>
        </w:rPr>
        <w:t>ation expectations have not changed very much (beyond a few</w:t>
      </w:r>
      <w:r w:rsidRPr="00A47183">
        <w:rPr>
          <w:rFonts w:ascii="Times New Roman" w:hAnsi="Times New Roman" w:cs="Times New Roman" w:hint="eastAsia"/>
        </w:rPr>
        <w:t xml:space="preserve"> </w:t>
      </w:r>
      <w:r w:rsidRPr="00A47183">
        <w:rPr>
          <w:rFonts w:ascii="Times New Roman" w:hAnsi="Times New Roman" w:cs="Times New Roman"/>
        </w:rPr>
        <w:t>years). At the same time, because of large macroeconomic shocks (both supply and</w:t>
      </w:r>
      <w:r w:rsidRPr="00A47183">
        <w:rPr>
          <w:rFonts w:ascii="Times New Roman" w:hAnsi="Times New Roman" w:cs="Times New Roman" w:hint="eastAsia"/>
        </w:rPr>
        <w:t xml:space="preserve"> </w:t>
      </w:r>
      <w:r w:rsidRPr="00A47183">
        <w:rPr>
          <w:rFonts w:ascii="Times New Roman" w:hAnsi="Times New Roman" w:cs="Times New Roman"/>
        </w:rPr>
        <w:t xml:space="preserve">demand), the </w:t>
      </w:r>
      <w:r w:rsidRPr="0046217C">
        <w:rPr>
          <w:rFonts w:ascii="Times New Roman" w:hAnsi="Times New Roman" w:cs="Times New Roman"/>
          <w:highlight w:val="yellow"/>
        </w:rPr>
        <w:t xml:space="preserve">Fed had to move interest rates much more than in the past to shift </w:t>
      </w:r>
      <w:r w:rsidRPr="0046217C">
        <w:rPr>
          <w:rFonts w:ascii="Times New Roman" w:hAnsi="Times New Roman" w:cs="Times New Roman" w:hint="eastAsia"/>
          <w:highlight w:val="yellow"/>
        </w:rPr>
        <w:t>fi</w:t>
      </w:r>
      <w:r w:rsidRPr="0046217C">
        <w:rPr>
          <w:rFonts w:ascii="Times New Roman" w:hAnsi="Times New Roman" w:cs="Times New Roman"/>
          <w:highlight w:val="yellow"/>
        </w:rPr>
        <w:t>nancial</w:t>
      </w:r>
      <w:r w:rsidRPr="0046217C">
        <w:rPr>
          <w:rFonts w:ascii="Times New Roman" w:hAnsi="Times New Roman" w:cs="Times New Roman" w:hint="eastAsia"/>
          <w:highlight w:val="yellow"/>
        </w:rPr>
        <w:t xml:space="preserve"> </w:t>
      </w:r>
      <w:r w:rsidRPr="0046217C">
        <w:rPr>
          <w:rFonts w:ascii="Times New Roman" w:hAnsi="Times New Roman" w:cs="Times New Roman"/>
          <w:highlight w:val="yellow"/>
        </w:rPr>
        <w:t>conditions and control in</w:t>
      </w:r>
      <w:r w:rsidRPr="0046217C">
        <w:rPr>
          <w:rFonts w:ascii="Times New Roman" w:hAnsi="Times New Roman" w:cs="Times New Roman" w:hint="eastAsia"/>
          <w:highlight w:val="yellow"/>
        </w:rPr>
        <w:t>fl</w:t>
      </w:r>
      <w:r w:rsidRPr="0046217C">
        <w:rPr>
          <w:rFonts w:ascii="Times New Roman" w:hAnsi="Times New Roman" w:cs="Times New Roman"/>
          <w:highlight w:val="yellow"/>
        </w:rPr>
        <w:t>ation.</w:t>
      </w:r>
      <w:r w:rsidRPr="00A47183">
        <w:rPr>
          <w:rFonts w:ascii="Times New Roman" w:hAnsi="Times New Roman" w:cs="Times New Roman"/>
        </w:rPr>
        <w:t xml:space="preserve"> The prevalence of macroeconomic shocks </w:t>
      </w:r>
      <w:r w:rsidRPr="00A47183">
        <w:rPr>
          <w:rFonts w:ascii="Times New Roman" w:hAnsi="Times New Roman" w:cs="Times New Roman"/>
        </w:rPr>
        <w:lastRenderedPageBreak/>
        <w:t>increased the</w:t>
      </w:r>
      <w:r w:rsidRPr="00A47183">
        <w:rPr>
          <w:rFonts w:ascii="Times New Roman" w:hAnsi="Times New Roman" w:cs="Times New Roman" w:hint="eastAsia"/>
        </w:rPr>
        <w:t xml:space="preserve"> </w:t>
      </w:r>
      <w:r w:rsidRPr="00A47183">
        <w:rPr>
          <w:rFonts w:ascii="Times New Roman" w:hAnsi="Times New Roman" w:cs="Times New Roman"/>
        </w:rPr>
        <w:t>interest rate volatility and the bond-stock betas starting from a negative level.</w:t>
      </w:r>
      <w:r w:rsidRPr="00A47183">
        <w:rPr>
          <w:rStyle w:val="FootnoteReference"/>
          <w:rFonts w:ascii="Times New Roman" w:hAnsi="Times New Roman" w:cs="Times New Roman"/>
        </w:rPr>
        <w:footnoteReference w:id="2"/>
      </w:r>
      <w:r w:rsidRPr="00A47183">
        <w:rPr>
          <w:rFonts w:ascii="Times New Roman" w:hAnsi="Times New Roman" w:cs="Times New Roman"/>
        </w:rPr>
        <w:t xml:space="preserve"> This</w:t>
      </w:r>
      <w:r w:rsidRPr="00A47183">
        <w:rPr>
          <w:rFonts w:ascii="Times New Roman" w:hAnsi="Times New Roman" w:cs="Times New Roman" w:hint="eastAsia"/>
        </w:rPr>
        <w:t xml:space="preserve"> </w:t>
      </w:r>
      <w:r w:rsidRPr="00A47183">
        <w:rPr>
          <w:rFonts w:ascii="Times New Roman" w:hAnsi="Times New Roman" w:cs="Times New Roman"/>
        </w:rPr>
        <w:t>story does not require a change in the Fed’s inertia or in</w:t>
      </w:r>
      <w:r w:rsidRPr="00A47183">
        <w:rPr>
          <w:rFonts w:ascii="Times New Roman" w:hAnsi="Times New Roman" w:cs="Times New Roman" w:hint="eastAsia"/>
        </w:rPr>
        <w:t>fl</w:t>
      </w:r>
      <w:r w:rsidRPr="00A47183">
        <w:rPr>
          <w:rFonts w:ascii="Times New Roman" w:hAnsi="Times New Roman" w:cs="Times New Roman"/>
        </w:rPr>
        <w:t>ation focus, and it does not</w:t>
      </w:r>
      <w:r w:rsidRPr="00A47183">
        <w:rPr>
          <w:rFonts w:ascii="Times New Roman" w:hAnsi="Times New Roman" w:cs="Times New Roman" w:hint="eastAsia"/>
        </w:rPr>
        <w:t xml:space="preserve"> </w:t>
      </w:r>
      <w:r w:rsidRPr="00A47183">
        <w:rPr>
          <w:rFonts w:ascii="Times New Roman" w:hAnsi="Times New Roman" w:cs="Times New Roman"/>
        </w:rPr>
        <w:t>require a complicated model with habit formation.</w:t>
      </w:r>
    </w:p>
    <w:p w14:paraId="013DE788" w14:textId="305B7DE1" w:rsidR="00E32CA4" w:rsidRDefault="005B672C" w:rsidP="00E32CA4">
      <w:pPr>
        <w:adjustRightInd w:val="0"/>
        <w:spacing w:before="240" w:after="0" w:line="240" w:lineRule="auto"/>
        <w:ind w:left="360"/>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0E3F34">
        <w:rPr>
          <w:rFonts w:ascii="Times New Roman" w:hAnsi="Times New Roman" w:cs="Times New Roman"/>
          <w:color w:val="0000FF"/>
        </w:rPr>
        <w:t xml:space="preserve">The </w:t>
      </w:r>
      <w:r w:rsidR="000E3F34" w:rsidRPr="00943965">
        <w:rPr>
          <w:rFonts w:ascii="Times New Roman" w:hAnsi="Times New Roman" w:cs="Times New Roman"/>
          <w:b/>
          <w:bCs/>
          <w:color w:val="0000FF"/>
        </w:rPr>
        <w:t>new Section 5</w:t>
      </w:r>
      <w:r w:rsidR="000E3F34">
        <w:rPr>
          <w:rFonts w:ascii="Times New Roman" w:hAnsi="Times New Roman" w:cs="Times New Roman"/>
          <w:color w:val="0000FF"/>
        </w:rPr>
        <w:t xml:space="preserve"> </w:t>
      </w:r>
      <w:r w:rsidR="0004148D">
        <w:rPr>
          <w:rFonts w:ascii="Times New Roman" w:hAnsi="Times New Roman" w:cs="Times New Roman"/>
          <w:color w:val="0000FF"/>
        </w:rPr>
        <w:t xml:space="preserve">clarifies the account of </w:t>
      </w:r>
      <w:r w:rsidR="000E3F34">
        <w:rPr>
          <w:rFonts w:ascii="Times New Roman" w:hAnsi="Times New Roman" w:cs="Times New Roman"/>
          <w:color w:val="0000FF"/>
        </w:rPr>
        <w:t>recent events</w:t>
      </w:r>
      <w:r w:rsidR="0004148D">
        <w:rPr>
          <w:rFonts w:ascii="Times New Roman" w:hAnsi="Times New Roman" w:cs="Times New Roman"/>
          <w:color w:val="0000FF"/>
        </w:rPr>
        <w:t xml:space="preserve"> implied by the model</w:t>
      </w:r>
      <w:r w:rsidR="00E32CA4">
        <w:rPr>
          <w:rFonts w:ascii="Times New Roman" w:hAnsi="Times New Roman" w:cs="Times New Roman"/>
          <w:color w:val="0000FF"/>
        </w:rPr>
        <w:t xml:space="preserve">. </w:t>
      </w:r>
      <w:r w:rsidR="00E32CA4">
        <w:rPr>
          <w:rFonts w:ascii="Times New Roman" w:hAnsi="Times New Roman" w:cs="Times New Roman"/>
          <w:color w:val="0000FF"/>
        </w:rPr>
        <w:t xml:space="preserve">I believe that this </w:t>
      </w:r>
      <w:r w:rsidR="009A7DB2">
        <w:rPr>
          <w:rFonts w:ascii="Times New Roman" w:hAnsi="Times New Roman" w:cs="Times New Roman"/>
          <w:color w:val="0000FF"/>
        </w:rPr>
        <w:t>re-written</w:t>
      </w:r>
      <w:r w:rsidR="00E32CA4">
        <w:rPr>
          <w:rFonts w:ascii="Times New Roman" w:hAnsi="Times New Roman" w:cs="Times New Roman"/>
          <w:color w:val="0000FF"/>
        </w:rPr>
        <w:t xml:space="preserve"> model-implied account of recent events lines up closely </w:t>
      </w:r>
      <w:r w:rsidR="009A7DB2">
        <w:rPr>
          <w:rFonts w:ascii="Times New Roman" w:hAnsi="Times New Roman" w:cs="Times New Roman"/>
          <w:color w:val="0000FF"/>
        </w:rPr>
        <w:t xml:space="preserve">with </w:t>
      </w:r>
      <w:r w:rsidR="00E32CA4">
        <w:rPr>
          <w:rFonts w:ascii="Times New Roman" w:hAnsi="Times New Roman" w:cs="Times New Roman"/>
          <w:color w:val="0000FF"/>
        </w:rPr>
        <w:t xml:space="preserve">your narrative above and thereby addresses your comment: According to the model, this was a period of large supply shocks, the Fed initially responded little to the increase in inflation, but subsequently switched to a strong and active inflation response. </w:t>
      </w:r>
      <w:r w:rsidR="0004148D">
        <w:rPr>
          <w:rFonts w:ascii="Times New Roman" w:hAnsi="Times New Roman" w:cs="Times New Roman"/>
          <w:color w:val="0000FF"/>
        </w:rPr>
        <w:t xml:space="preserve">The quantitative implications in the revised Table 3 are </w:t>
      </w:r>
      <w:r w:rsidR="009A7DB2">
        <w:rPr>
          <w:rFonts w:ascii="Times New Roman" w:hAnsi="Times New Roman" w:cs="Times New Roman"/>
          <w:color w:val="0000FF"/>
        </w:rPr>
        <w:t xml:space="preserve">very similar to </w:t>
      </w:r>
      <w:r w:rsidR="007F3779">
        <w:rPr>
          <w:rFonts w:ascii="Times New Roman" w:hAnsi="Times New Roman" w:cs="Times New Roman"/>
          <w:color w:val="0000FF"/>
        </w:rPr>
        <w:t>before</w:t>
      </w:r>
      <w:r w:rsidR="0004148D">
        <w:rPr>
          <w:rFonts w:ascii="Times New Roman" w:hAnsi="Times New Roman" w:cs="Times New Roman"/>
          <w:color w:val="0000FF"/>
        </w:rPr>
        <w:t xml:space="preserve">, </w:t>
      </w:r>
      <w:r w:rsidR="006B123A">
        <w:rPr>
          <w:rFonts w:ascii="Times New Roman" w:hAnsi="Times New Roman" w:cs="Times New Roman"/>
          <w:color w:val="0000FF"/>
        </w:rPr>
        <w:t xml:space="preserve">so in that sense </w:t>
      </w:r>
      <w:r w:rsidR="0004148D">
        <w:rPr>
          <w:rFonts w:ascii="Times New Roman" w:hAnsi="Times New Roman" w:cs="Times New Roman"/>
          <w:color w:val="0000FF"/>
        </w:rPr>
        <w:t xml:space="preserve">this account </w:t>
      </w:r>
      <w:r w:rsidR="007F3779">
        <w:rPr>
          <w:rFonts w:ascii="Times New Roman" w:hAnsi="Times New Roman" w:cs="Times New Roman"/>
          <w:color w:val="0000FF"/>
        </w:rPr>
        <w:t xml:space="preserve">of recent events </w:t>
      </w:r>
      <w:r w:rsidR="009A7DB2">
        <w:rPr>
          <w:rFonts w:ascii="Times New Roman" w:hAnsi="Times New Roman" w:cs="Times New Roman"/>
          <w:color w:val="0000FF"/>
        </w:rPr>
        <w:t xml:space="preserve">is not new compared to the previous version of the manuscript. </w:t>
      </w:r>
      <w:r w:rsidR="0004148D">
        <w:rPr>
          <w:rFonts w:ascii="Times New Roman" w:hAnsi="Times New Roman" w:cs="Times New Roman"/>
          <w:color w:val="0000FF"/>
        </w:rPr>
        <w:t xml:space="preserve">But </w:t>
      </w:r>
      <w:r w:rsidR="009A7DB2">
        <w:rPr>
          <w:rFonts w:ascii="Times New Roman" w:hAnsi="Times New Roman" w:cs="Times New Roman"/>
          <w:color w:val="0000FF"/>
        </w:rPr>
        <w:t xml:space="preserve">I realized that </w:t>
      </w:r>
      <w:r w:rsidR="007F3779">
        <w:rPr>
          <w:rFonts w:ascii="Times New Roman" w:hAnsi="Times New Roman" w:cs="Times New Roman"/>
          <w:color w:val="0000FF"/>
        </w:rPr>
        <w:t xml:space="preserve">it did not come across </w:t>
      </w:r>
      <w:r w:rsidR="009A7DB2">
        <w:rPr>
          <w:rFonts w:ascii="Times New Roman" w:hAnsi="Times New Roman" w:cs="Times New Roman"/>
          <w:color w:val="0000FF"/>
        </w:rPr>
        <w:t xml:space="preserve">sufficiently clearly, I completely re-wrote the account of recent events both in the introduction and in the </w:t>
      </w:r>
      <w:r w:rsidR="007F3779">
        <w:rPr>
          <w:rFonts w:ascii="Times New Roman" w:hAnsi="Times New Roman" w:cs="Times New Roman"/>
          <w:color w:val="0000FF"/>
        </w:rPr>
        <w:t xml:space="preserve">new Section 5. </w:t>
      </w:r>
    </w:p>
    <w:p w14:paraId="0BA49CAE" w14:textId="4095891A" w:rsidR="000E3F34" w:rsidRDefault="00E32CA4"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 xml:space="preserve">Section 5 divides </w:t>
      </w:r>
      <w:r w:rsidR="000E3F34">
        <w:rPr>
          <w:rFonts w:ascii="Times New Roman" w:hAnsi="Times New Roman" w:cs="Times New Roman"/>
          <w:color w:val="0000FF"/>
        </w:rPr>
        <w:t xml:space="preserve">the analysis </w:t>
      </w:r>
      <w:r>
        <w:rPr>
          <w:rFonts w:ascii="Times New Roman" w:hAnsi="Times New Roman" w:cs="Times New Roman"/>
          <w:color w:val="0000FF"/>
        </w:rPr>
        <w:t xml:space="preserve">of recent events </w:t>
      </w:r>
      <w:r w:rsidR="000E3F34">
        <w:rPr>
          <w:rFonts w:ascii="Times New Roman" w:hAnsi="Times New Roman" w:cs="Times New Roman"/>
          <w:color w:val="0000FF"/>
        </w:rPr>
        <w:t>into an early post-pandemic (until 2023.Q2) and a late post-pandemic period (2023.Q3-Q4)</w:t>
      </w:r>
      <w:r w:rsidR="000E3F34" w:rsidRPr="00943965">
        <w:rPr>
          <w:rFonts w:ascii="Times New Roman" w:hAnsi="Times New Roman" w:cs="Times New Roman"/>
          <w:b/>
          <w:bCs/>
          <w:color w:val="0000FF"/>
        </w:rPr>
        <w:t>.</w:t>
      </w:r>
      <w:r w:rsidR="000E3F34">
        <w:rPr>
          <w:rFonts w:ascii="Times New Roman" w:hAnsi="Times New Roman" w:cs="Times New Roman"/>
          <w:color w:val="0000FF"/>
        </w:rPr>
        <w:t xml:space="preserve"> </w:t>
      </w:r>
      <w:r w:rsidR="005254DB">
        <w:rPr>
          <w:rFonts w:ascii="Times New Roman" w:hAnsi="Times New Roman" w:cs="Times New Roman"/>
          <w:color w:val="0000FF"/>
        </w:rPr>
        <w:t xml:space="preserve">In short, this Section finds that to explain </w:t>
      </w:r>
      <w:r w:rsidR="000E3F34">
        <w:rPr>
          <w:rFonts w:ascii="Times New Roman" w:hAnsi="Times New Roman" w:cs="Times New Roman"/>
          <w:color w:val="0000FF"/>
        </w:rPr>
        <w:t xml:space="preserve">nominal and real bond-stock betas during </w:t>
      </w:r>
      <w:r>
        <w:rPr>
          <w:rFonts w:ascii="Times New Roman" w:hAnsi="Times New Roman" w:cs="Times New Roman"/>
          <w:color w:val="0000FF"/>
        </w:rPr>
        <w:t>the post-pandemic</w:t>
      </w:r>
      <w:r w:rsidR="005254DB">
        <w:rPr>
          <w:rFonts w:ascii="Times New Roman" w:hAnsi="Times New Roman" w:cs="Times New Roman"/>
          <w:color w:val="0000FF"/>
        </w:rPr>
        <w:t xml:space="preserve">, the model requires a low monetary policy inflation coefficient in the early post-pandemic, but </w:t>
      </w:r>
      <w:r>
        <w:rPr>
          <w:rFonts w:ascii="Times New Roman" w:hAnsi="Times New Roman" w:cs="Times New Roman"/>
          <w:color w:val="0000FF"/>
        </w:rPr>
        <w:t xml:space="preserve">switches to a high monetary policy inflation coefficient in the late post-pandemic. The model also requires macroeconomic shock volatilities </w:t>
      </w:r>
      <w:proofErr w:type="gramStart"/>
      <w:r>
        <w:rPr>
          <w:rFonts w:ascii="Times New Roman" w:hAnsi="Times New Roman" w:cs="Times New Roman"/>
          <w:color w:val="0000FF"/>
        </w:rPr>
        <w:t>similar to</w:t>
      </w:r>
      <w:proofErr w:type="gramEnd"/>
      <w:r>
        <w:rPr>
          <w:rFonts w:ascii="Times New Roman" w:hAnsi="Times New Roman" w:cs="Times New Roman"/>
          <w:color w:val="0000FF"/>
        </w:rPr>
        <w:t xml:space="preserve"> the 1980s for the entire post-pandemic period. </w:t>
      </w:r>
    </w:p>
    <w:p w14:paraId="67D7EBDF" w14:textId="77777777" w:rsidR="007737A8" w:rsidRDefault="00EE681B"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To set the stage, t</w:t>
      </w:r>
      <w:r w:rsidR="00C619F4">
        <w:rPr>
          <w:rFonts w:ascii="Times New Roman" w:hAnsi="Times New Roman" w:cs="Times New Roman"/>
          <w:color w:val="0000FF"/>
        </w:rPr>
        <w:t xml:space="preserve">he </w:t>
      </w:r>
      <w:r w:rsidR="00C619F4" w:rsidRPr="00EE681B">
        <w:rPr>
          <w:rFonts w:ascii="Times New Roman" w:hAnsi="Times New Roman" w:cs="Times New Roman"/>
          <w:b/>
          <w:bCs/>
          <w:color w:val="0000FF"/>
        </w:rPr>
        <w:t xml:space="preserve">new Figure </w:t>
      </w:r>
      <w:r w:rsidR="000E3F34">
        <w:rPr>
          <w:rFonts w:ascii="Times New Roman" w:hAnsi="Times New Roman" w:cs="Times New Roman"/>
          <w:b/>
          <w:bCs/>
          <w:color w:val="0000FF"/>
        </w:rPr>
        <w:t>9</w:t>
      </w:r>
      <w:r w:rsidR="00C619F4">
        <w:rPr>
          <w:rFonts w:ascii="Times New Roman" w:hAnsi="Times New Roman" w:cs="Times New Roman"/>
          <w:color w:val="0000FF"/>
        </w:rPr>
        <w:t xml:space="preserve"> shows </w:t>
      </w:r>
      <w:r w:rsidR="002A3E2E">
        <w:rPr>
          <w:rFonts w:ascii="Times New Roman" w:hAnsi="Times New Roman" w:cs="Times New Roman"/>
          <w:color w:val="0000FF"/>
        </w:rPr>
        <w:t>that the</w:t>
      </w:r>
      <w:r w:rsidR="00C619F4">
        <w:rPr>
          <w:rFonts w:ascii="Times New Roman" w:hAnsi="Times New Roman" w:cs="Times New Roman"/>
          <w:color w:val="0000FF"/>
        </w:rPr>
        <w:t xml:space="preserve"> initial </w:t>
      </w:r>
      <w:r w:rsidR="002A3E2E">
        <w:rPr>
          <w:rFonts w:ascii="Times New Roman" w:hAnsi="Times New Roman" w:cs="Times New Roman"/>
          <w:color w:val="0000FF"/>
        </w:rPr>
        <w:t xml:space="preserve">run-up </w:t>
      </w:r>
      <w:r w:rsidR="00C619F4">
        <w:rPr>
          <w:rFonts w:ascii="Times New Roman" w:hAnsi="Times New Roman" w:cs="Times New Roman"/>
          <w:color w:val="0000FF"/>
        </w:rPr>
        <w:t xml:space="preserve">in inflation during the early post-pandemic </w:t>
      </w:r>
      <w:r w:rsidR="002A3E2E">
        <w:rPr>
          <w:rFonts w:ascii="Times New Roman" w:hAnsi="Times New Roman" w:cs="Times New Roman"/>
          <w:color w:val="0000FF"/>
        </w:rPr>
        <w:t>was accompanied by little change in monetary policy</w:t>
      </w:r>
      <w:r w:rsidR="00247E98">
        <w:rPr>
          <w:rFonts w:ascii="Times New Roman" w:hAnsi="Times New Roman" w:cs="Times New Roman"/>
          <w:color w:val="0000FF"/>
        </w:rPr>
        <w:t xml:space="preserve">. As you point out, the Fed eventually did show an energetic response to inflation, lifting interest rates by more than 500 bps by August 2023. However, this response occurred with a substantial lag relative to the initial run-up of inflation, which already occurred in 2021. </w:t>
      </w:r>
      <w:r w:rsidR="00C619F4" w:rsidRPr="002A3E2E">
        <w:rPr>
          <w:rFonts w:ascii="Times New Roman" w:hAnsi="Times New Roman" w:cs="Times New Roman"/>
          <w:b/>
          <w:bCs/>
          <w:color w:val="0000FF"/>
        </w:rPr>
        <w:t xml:space="preserve">Figure </w:t>
      </w:r>
      <w:r w:rsidR="000E3F34">
        <w:rPr>
          <w:rFonts w:ascii="Times New Roman" w:hAnsi="Times New Roman" w:cs="Times New Roman"/>
          <w:b/>
          <w:bCs/>
          <w:color w:val="0000FF"/>
        </w:rPr>
        <w:t>10</w:t>
      </w:r>
      <w:r w:rsidR="00C619F4">
        <w:rPr>
          <w:rFonts w:ascii="Times New Roman" w:hAnsi="Times New Roman" w:cs="Times New Roman"/>
          <w:color w:val="0000FF"/>
        </w:rPr>
        <w:t xml:space="preserve"> shows rolling nominal and real bond-stock betas and breakeven betas</w:t>
      </w:r>
      <w:r w:rsidR="00C2455A">
        <w:rPr>
          <w:rFonts w:ascii="Times New Roman" w:hAnsi="Times New Roman" w:cs="Times New Roman"/>
          <w:color w:val="0000FF"/>
        </w:rPr>
        <w:t xml:space="preserve">, showing that nominal bond betas remained negative during the early post-pandemic but did turn positive </w:t>
      </w:r>
      <w:r w:rsidR="00397A8A">
        <w:rPr>
          <w:rFonts w:ascii="Times New Roman" w:hAnsi="Times New Roman" w:cs="Times New Roman"/>
          <w:color w:val="0000FF"/>
        </w:rPr>
        <w:t xml:space="preserve">in the second half of 2023, </w:t>
      </w:r>
      <w:r w:rsidR="00C2455A">
        <w:rPr>
          <w:rFonts w:ascii="Times New Roman" w:hAnsi="Times New Roman" w:cs="Times New Roman"/>
          <w:color w:val="0000FF"/>
        </w:rPr>
        <w:t>roughly coinciding with the Fed’s more energetic inflation response</w:t>
      </w:r>
      <w:r w:rsidR="00C619F4">
        <w:rPr>
          <w:rFonts w:ascii="Times New Roman" w:hAnsi="Times New Roman" w:cs="Times New Roman"/>
          <w:color w:val="0000FF"/>
        </w:rPr>
        <w:t xml:space="preserve">. </w:t>
      </w:r>
      <w:r w:rsidR="00C619F4" w:rsidRPr="002A3E2E">
        <w:rPr>
          <w:rFonts w:ascii="Times New Roman" w:hAnsi="Times New Roman" w:cs="Times New Roman"/>
          <w:b/>
          <w:bCs/>
          <w:color w:val="0000FF"/>
        </w:rPr>
        <w:t>Table 3</w:t>
      </w:r>
      <w:r w:rsidR="00C619F4">
        <w:rPr>
          <w:rFonts w:ascii="Times New Roman" w:hAnsi="Times New Roman" w:cs="Times New Roman"/>
          <w:color w:val="0000FF"/>
        </w:rPr>
        <w:t xml:space="preserve"> </w:t>
      </w:r>
      <w:r w:rsidR="00397A8A">
        <w:rPr>
          <w:rFonts w:ascii="Times New Roman" w:hAnsi="Times New Roman" w:cs="Times New Roman"/>
          <w:color w:val="0000FF"/>
        </w:rPr>
        <w:t xml:space="preserve">shows the model-implied monetary policy and shock parameters required to fit </w:t>
      </w:r>
      <w:r w:rsidR="00C619F4">
        <w:rPr>
          <w:rFonts w:ascii="Times New Roman" w:hAnsi="Times New Roman" w:cs="Times New Roman"/>
          <w:color w:val="0000FF"/>
        </w:rPr>
        <w:t>nominal and real bond-stock betas</w:t>
      </w:r>
      <w:r w:rsidR="00397A8A">
        <w:rPr>
          <w:rFonts w:ascii="Times New Roman" w:hAnsi="Times New Roman" w:cs="Times New Roman"/>
          <w:color w:val="0000FF"/>
        </w:rPr>
        <w:t xml:space="preserve"> during the </w:t>
      </w:r>
      <w:r w:rsidR="007737A8">
        <w:rPr>
          <w:rFonts w:ascii="Times New Roman" w:hAnsi="Times New Roman" w:cs="Times New Roman"/>
          <w:color w:val="0000FF"/>
        </w:rPr>
        <w:t>recent</w:t>
      </w:r>
      <w:r w:rsidR="00397A8A">
        <w:rPr>
          <w:rFonts w:ascii="Times New Roman" w:hAnsi="Times New Roman" w:cs="Times New Roman"/>
          <w:color w:val="0000FF"/>
        </w:rPr>
        <w:t xml:space="preserve"> period, dividing the post-pandemic period into an early post-pandemic (</w:t>
      </w:r>
      <w:r w:rsidR="00397A8A" w:rsidRPr="00397A8A">
        <w:rPr>
          <w:rFonts w:ascii="Times New Roman" w:hAnsi="Times New Roman" w:cs="Times New Roman"/>
          <w:color w:val="0000FF"/>
        </w:rPr>
        <w:t>2020.Q2-2023.Q2</w:t>
      </w:r>
      <w:r w:rsidR="00397A8A">
        <w:rPr>
          <w:rFonts w:ascii="Times New Roman" w:hAnsi="Times New Roman" w:cs="Times New Roman"/>
          <w:color w:val="0000FF"/>
        </w:rPr>
        <w:t>) and a late post-pandemic (</w:t>
      </w:r>
      <w:r w:rsidR="00397A8A" w:rsidRPr="00397A8A">
        <w:rPr>
          <w:rFonts w:ascii="Times New Roman" w:hAnsi="Times New Roman" w:cs="Times New Roman"/>
          <w:color w:val="0000FF"/>
        </w:rPr>
        <w:t>2023.Q3-2023.Q4</w:t>
      </w:r>
      <w:r w:rsidR="00397A8A">
        <w:rPr>
          <w:rFonts w:ascii="Times New Roman" w:hAnsi="Times New Roman" w:cs="Times New Roman"/>
          <w:color w:val="0000FF"/>
        </w:rPr>
        <w:t>). I find</w:t>
      </w:r>
      <w:r w:rsidR="00C2455A">
        <w:rPr>
          <w:rFonts w:ascii="Times New Roman" w:hAnsi="Times New Roman" w:cs="Times New Roman"/>
          <w:color w:val="0000FF"/>
        </w:rPr>
        <w:t xml:space="preserve"> that the model can fit bond-stock betas during </w:t>
      </w:r>
      <w:r w:rsidR="00397A8A">
        <w:rPr>
          <w:rFonts w:ascii="Times New Roman" w:hAnsi="Times New Roman" w:cs="Times New Roman"/>
          <w:color w:val="0000FF"/>
        </w:rPr>
        <w:t xml:space="preserve">both </w:t>
      </w:r>
      <w:r w:rsidR="00C2455A">
        <w:rPr>
          <w:rFonts w:ascii="Times New Roman" w:hAnsi="Times New Roman" w:cs="Times New Roman"/>
          <w:color w:val="0000FF"/>
        </w:rPr>
        <w:t>post-pandemic</w:t>
      </w:r>
      <w:r w:rsidR="00397A8A">
        <w:rPr>
          <w:rFonts w:ascii="Times New Roman" w:hAnsi="Times New Roman" w:cs="Times New Roman"/>
          <w:color w:val="0000FF"/>
        </w:rPr>
        <w:t xml:space="preserve"> episodes. To do so, it requires 1980s-style shocks with a high volatility of supply shocks, a low monetary policy inflation coefficient during the early post-pandemic, but a much higher inflation coefficient during the later post-pandemic. </w:t>
      </w:r>
    </w:p>
    <w:p w14:paraId="57828241" w14:textId="77777777" w:rsidR="00B42929" w:rsidRDefault="00B42929" w:rsidP="007737A8">
      <w:pPr>
        <w:autoSpaceDE w:val="0"/>
        <w:autoSpaceDN w:val="0"/>
        <w:adjustRightInd w:val="0"/>
        <w:spacing w:after="0" w:line="240" w:lineRule="auto"/>
        <w:ind w:left="360"/>
        <w:rPr>
          <w:rFonts w:ascii="Times New Roman" w:hAnsi="Times New Roman" w:cs="Times New Roman"/>
          <w:color w:val="0000FF"/>
        </w:rPr>
      </w:pPr>
    </w:p>
    <w:p w14:paraId="640D0F50" w14:textId="0CF584FF" w:rsidR="005B672C" w:rsidRDefault="007737A8" w:rsidP="007737A8">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This model-implied account of recent events lines up with the basic timeline in </w:t>
      </w:r>
      <w:r w:rsidRPr="007737A8">
        <w:rPr>
          <w:rFonts w:ascii="Times New Roman" w:hAnsi="Times New Roman" w:cs="Times New Roman"/>
          <w:color w:val="0000FF"/>
        </w:rPr>
        <w:t>Figure 9</w:t>
      </w:r>
      <w:r>
        <w:rPr>
          <w:rFonts w:ascii="Times New Roman" w:hAnsi="Times New Roman" w:cs="Times New Roman"/>
          <w:color w:val="0000FF"/>
        </w:rPr>
        <w:t xml:space="preserve">. </w:t>
      </w:r>
      <w:r w:rsidRPr="007737A8">
        <w:rPr>
          <w:rFonts w:ascii="Times New Roman" w:hAnsi="Times New Roman" w:cs="Times New Roman"/>
          <w:color w:val="0000FF"/>
        </w:rPr>
        <w:t>The</w:t>
      </w:r>
      <w:r w:rsidRPr="007737A8">
        <w:rPr>
          <w:rFonts w:ascii="Times New Roman" w:hAnsi="Times New Roman" w:cs="Times New Roman"/>
          <w:color w:val="0000FF"/>
        </w:rPr>
        <w:t xml:space="preserve"> substantial but</w:t>
      </w:r>
      <w:r w:rsidRPr="007737A8">
        <w:rPr>
          <w:rFonts w:ascii="Times New Roman" w:hAnsi="Times New Roman" w:cs="Times New Roman"/>
          <w:color w:val="0000FF"/>
        </w:rPr>
        <w:t xml:space="preserve"> late change</w:t>
      </w:r>
      <w:r w:rsidRPr="007737A8">
        <w:rPr>
          <w:rFonts w:ascii="Times New Roman" w:hAnsi="Times New Roman" w:cs="Times New Roman"/>
          <w:color w:val="0000FF"/>
        </w:rPr>
        <w:t xml:space="preserve"> </w:t>
      </w:r>
      <w:r w:rsidRPr="007737A8">
        <w:rPr>
          <w:rFonts w:ascii="Times New Roman" w:hAnsi="Times New Roman" w:cs="Times New Roman"/>
          <w:color w:val="0000FF"/>
        </w:rPr>
        <w:t xml:space="preserve">in the model-implied monetary policy rule is also consistent with </w:t>
      </w:r>
      <w:r>
        <w:rPr>
          <w:rFonts w:ascii="Times New Roman" w:hAnsi="Times New Roman" w:cs="Times New Roman"/>
          <w:color w:val="0000FF"/>
        </w:rPr>
        <w:t xml:space="preserve">empirical </w:t>
      </w:r>
      <w:r w:rsidRPr="007737A8">
        <w:rPr>
          <w:rFonts w:ascii="Times New Roman" w:hAnsi="Times New Roman" w:cs="Times New Roman"/>
          <w:color w:val="0000FF"/>
        </w:rPr>
        <w:t>evidence from rich survey</w:t>
      </w:r>
      <w:r>
        <w:rPr>
          <w:rFonts w:ascii="Times New Roman" w:hAnsi="Times New Roman" w:cs="Times New Roman"/>
          <w:color w:val="0000FF"/>
        </w:rPr>
        <w:t xml:space="preserve"> data</w:t>
      </w:r>
      <w:r w:rsidRPr="007737A8">
        <w:rPr>
          <w:rFonts w:ascii="Times New Roman" w:hAnsi="Times New Roman" w:cs="Times New Roman"/>
          <w:color w:val="0000FF"/>
        </w:rPr>
        <w:t xml:space="preserve"> </w:t>
      </w:r>
      <w:r w:rsidRPr="007737A8">
        <w:rPr>
          <w:rFonts w:ascii="Times New Roman" w:hAnsi="Times New Roman" w:cs="Times New Roman"/>
          <w:color w:val="0000FF"/>
        </w:rPr>
        <w:t xml:space="preserve">(Bauer, </w:t>
      </w:r>
      <w:proofErr w:type="spellStart"/>
      <w:r w:rsidRPr="007737A8">
        <w:rPr>
          <w:rFonts w:ascii="Times New Roman" w:hAnsi="Times New Roman" w:cs="Times New Roman"/>
          <w:color w:val="0000FF"/>
        </w:rPr>
        <w:t>Pueger</w:t>
      </w:r>
      <w:proofErr w:type="spellEnd"/>
      <w:r w:rsidRPr="007737A8">
        <w:rPr>
          <w:rFonts w:ascii="Times New Roman" w:hAnsi="Times New Roman" w:cs="Times New Roman"/>
          <w:color w:val="0000FF"/>
        </w:rPr>
        <w:t xml:space="preserve">, and </w:t>
      </w:r>
      <w:proofErr w:type="spellStart"/>
      <w:r w:rsidRPr="007737A8">
        <w:rPr>
          <w:rFonts w:ascii="Times New Roman" w:hAnsi="Times New Roman" w:cs="Times New Roman"/>
          <w:color w:val="0000FF"/>
        </w:rPr>
        <w:t>Sunderam</w:t>
      </w:r>
      <w:proofErr w:type="spellEnd"/>
      <w:r w:rsidRPr="007737A8">
        <w:rPr>
          <w:rFonts w:ascii="Times New Roman" w:hAnsi="Times New Roman" w:cs="Times New Roman"/>
          <w:color w:val="0000FF"/>
        </w:rPr>
        <w:t xml:space="preserve"> (2024b)).</w:t>
      </w:r>
      <w:r w:rsidRPr="007737A8">
        <w:rPr>
          <w:rFonts w:ascii="Times New Roman" w:hAnsi="Times New Roman" w:cs="Times New Roman"/>
          <w:color w:val="0000FF"/>
        </w:rPr>
        <w:t xml:space="preserve"> </w:t>
      </w:r>
      <w:r>
        <w:rPr>
          <w:rFonts w:ascii="Times New Roman" w:hAnsi="Times New Roman" w:cs="Times New Roman"/>
          <w:color w:val="0000FF"/>
        </w:rPr>
        <w:t xml:space="preserve">This complementary work provides evidence using a completely different approach and data from this paper. </w:t>
      </w:r>
      <w:r w:rsidR="008D1A73">
        <w:rPr>
          <w:rFonts w:ascii="Times New Roman" w:hAnsi="Times New Roman" w:cs="Times New Roman"/>
          <w:color w:val="0000FF"/>
        </w:rPr>
        <w:t xml:space="preserve">To be clear Bauer, Pflueger, and </w:t>
      </w:r>
      <w:proofErr w:type="spellStart"/>
      <w:r w:rsidR="008D1A73">
        <w:rPr>
          <w:rFonts w:ascii="Times New Roman" w:hAnsi="Times New Roman" w:cs="Times New Roman"/>
          <w:color w:val="0000FF"/>
        </w:rPr>
        <w:t>Sunderam</w:t>
      </w:r>
      <w:proofErr w:type="spellEnd"/>
      <w:r w:rsidR="008D1A73">
        <w:rPr>
          <w:rFonts w:ascii="Times New Roman" w:hAnsi="Times New Roman" w:cs="Times New Roman"/>
          <w:color w:val="0000FF"/>
        </w:rPr>
        <w:t xml:space="preserve"> (2024b) do not contain a general equilibrium asset pricing </w:t>
      </w:r>
      <w:proofErr w:type="gramStart"/>
      <w:r w:rsidR="008D1A73">
        <w:rPr>
          <w:rFonts w:ascii="Times New Roman" w:hAnsi="Times New Roman" w:cs="Times New Roman"/>
          <w:color w:val="0000FF"/>
        </w:rPr>
        <w:t>model</w:t>
      </w:r>
      <w:proofErr w:type="gramEnd"/>
      <w:r w:rsidR="008D1A73">
        <w:rPr>
          <w:rFonts w:ascii="Times New Roman" w:hAnsi="Times New Roman" w:cs="Times New Roman"/>
          <w:color w:val="0000FF"/>
        </w:rPr>
        <w:t xml:space="preserve"> nor do they study bond-stock betas</w:t>
      </w:r>
      <w:r>
        <w:rPr>
          <w:rFonts w:ascii="Times New Roman" w:hAnsi="Times New Roman" w:cs="Times New Roman"/>
          <w:color w:val="0000FF"/>
        </w:rPr>
        <w:t>, so the current manuscript has the unique ability to explain bond-stock betas</w:t>
      </w:r>
      <w:r w:rsidR="008D1A73">
        <w:rPr>
          <w:rFonts w:ascii="Times New Roman" w:hAnsi="Times New Roman" w:cs="Times New Roman"/>
          <w:color w:val="0000FF"/>
        </w:rPr>
        <w:t xml:space="preserve">. </w:t>
      </w:r>
      <w:r w:rsidR="008D1A73">
        <w:rPr>
          <w:rFonts w:ascii="Times New Roman" w:hAnsi="Times New Roman" w:cs="Times New Roman"/>
          <w:color w:val="0000FF"/>
        </w:rPr>
        <w:lastRenderedPageBreak/>
        <w:t xml:space="preserve">The </w:t>
      </w:r>
      <w:r>
        <w:rPr>
          <w:rFonts w:ascii="Times New Roman" w:hAnsi="Times New Roman" w:cs="Times New Roman"/>
          <w:color w:val="0000FF"/>
        </w:rPr>
        <w:t>distinction</w:t>
      </w:r>
      <w:r w:rsidR="008D1A73">
        <w:rPr>
          <w:rFonts w:ascii="Times New Roman" w:hAnsi="Times New Roman" w:cs="Times New Roman"/>
          <w:color w:val="0000FF"/>
        </w:rPr>
        <w:t xml:space="preserve"> of </w:t>
      </w:r>
      <w:r>
        <w:rPr>
          <w:rFonts w:ascii="Times New Roman" w:hAnsi="Times New Roman" w:cs="Times New Roman"/>
          <w:color w:val="0000FF"/>
        </w:rPr>
        <w:t>the present manuscript</w:t>
      </w:r>
      <w:r w:rsidR="008D1A73">
        <w:rPr>
          <w:rFonts w:ascii="Times New Roman" w:hAnsi="Times New Roman" w:cs="Times New Roman"/>
          <w:color w:val="0000FF"/>
        </w:rPr>
        <w:t xml:space="preserve"> over Bauer, Pflueger, and </w:t>
      </w:r>
      <w:proofErr w:type="spellStart"/>
      <w:r w:rsidR="008D1A73">
        <w:rPr>
          <w:rFonts w:ascii="Times New Roman" w:hAnsi="Times New Roman" w:cs="Times New Roman"/>
          <w:color w:val="0000FF"/>
        </w:rPr>
        <w:t>Sunderam</w:t>
      </w:r>
      <w:proofErr w:type="spellEnd"/>
      <w:r w:rsidR="008D1A73">
        <w:rPr>
          <w:rFonts w:ascii="Times New Roman" w:hAnsi="Times New Roman" w:cs="Times New Roman"/>
          <w:color w:val="0000FF"/>
        </w:rPr>
        <w:t>, (2024</w:t>
      </w:r>
      <w:proofErr w:type="gramStart"/>
      <w:r w:rsidR="008D1A73">
        <w:rPr>
          <w:rFonts w:ascii="Times New Roman" w:hAnsi="Times New Roman" w:cs="Times New Roman"/>
          <w:color w:val="0000FF"/>
        </w:rPr>
        <w:t>a,b</w:t>
      </w:r>
      <w:proofErr w:type="gramEnd"/>
      <w:r w:rsidR="008D1A73">
        <w:rPr>
          <w:rFonts w:ascii="Times New Roman" w:hAnsi="Times New Roman" w:cs="Times New Roman"/>
          <w:color w:val="0000FF"/>
        </w:rPr>
        <w:t>)</w:t>
      </w:r>
      <w:r>
        <w:rPr>
          <w:rFonts w:ascii="Times New Roman" w:hAnsi="Times New Roman" w:cs="Times New Roman"/>
          <w:color w:val="0000FF"/>
        </w:rPr>
        <w:t xml:space="preserve"> is discussed in the introduction</w:t>
      </w:r>
      <w:r w:rsidR="008D1A73">
        <w:rPr>
          <w:rFonts w:ascii="Times New Roman" w:hAnsi="Times New Roman" w:cs="Times New Roman"/>
          <w:color w:val="0000FF"/>
        </w:rPr>
        <w:t xml:space="preserve"> (</w:t>
      </w:r>
      <w:r w:rsidR="00F04E93" w:rsidRPr="00F04E93">
        <w:rPr>
          <w:rFonts w:ascii="Times New Roman" w:hAnsi="Times New Roman" w:cs="Times New Roman"/>
          <w:b/>
          <w:bCs/>
          <w:color w:val="0000FF"/>
        </w:rPr>
        <w:t xml:space="preserve">p.6, </w:t>
      </w:r>
      <w:r w:rsidR="008D1A73" w:rsidRPr="00F04E93">
        <w:rPr>
          <w:rFonts w:ascii="Times New Roman" w:hAnsi="Times New Roman" w:cs="Times New Roman"/>
          <w:b/>
          <w:bCs/>
          <w:color w:val="0000FF"/>
        </w:rPr>
        <w:t xml:space="preserve">“Complementary to this paper, Bauer, Pflueger, and </w:t>
      </w:r>
      <w:proofErr w:type="spellStart"/>
      <w:r w:rsidR="008D1A73" w:rsidRPr="00F04E93">
        <w:rPr>
          <w:rFonts w:ascii="Times New Roman" w:hAnsi="Times New Roman" w:cs="Times New Roman"/>
          <w:b/>
          <w:bCs/>
          <w:color w:val="0000FF"/>
        </w:rPr>
        <w:t>Sunderam</w:t>
      </w:r>
      <w:proofErr w:type="spellEnd"/>
      <w:r w:rsidR="008D1A73" w:rsidRPr="00F04E93">
        <w:rPr>
          <w:rFonts w:ascii="Times New Roman" w:hAnsi="Times New Roman" w:cs="Times New Roman"/>
          <w:b/>
          <w:bCs/>
          <w:color w:val="0000FF"/>
        </w:rPr>
        <w:t xml:space="preserve"> (2024a,b) (…)”</w:t>
      </w:r>
      <w:r w:rsidR="008D1A73">
        <w:rPr>
          <w:rFonts w:ascii="Times New Roman" w:hAnsi="Times New Roman" w:cs="Times New Roman"/>
          <w:color w:val="0000FF"/>
        </w:rPr>
        <w:t>).</w:t>
      </w:r>
    </w:p>
    <w:p w14:paraId="06B9037B" w14:textId="77777777" w:rsidR="00EE36D3" w:rsidRDefault="00EE36D3" w:rsidP="007737A8">
      <w:pPr>
        <w:autoSpaceDE w:val="0"/>
        <w:autoSpaceDN w:val="0"/>
        <w:adjustRightInd w:val="0"/>
        <w:spacing w:after="0" w:line="240" w:lineRule="auto"/>
        <w:ind w:left="360"/>
        <w:rPr>
          <w:rFonts w:ascii="Times New Roman" w:hAnsi="Times New Roman" w:cs="Times New Roman"/>
          <w:color w:val="0000FF"/>
        </w:rPr>
      </w:pPr>
    </w:p>
    <w:p w14:paraId="1492C651" w14:textId="604C9107" w:rsidR="00E5273E" w:rsidRDefault="00B42929" w:rsidP="00BE4CC5">
      <w:pPr>
        <w:autoSpaceDE w:val="0"/>
        <w:autoSpaceDN w:val="0"/>
        <w:adjustRightInd w:val="0"/>
        <w:spacing w:after="0" w:line="240" w:lineRule="auto"/>
        <w:ind w:left="360"/>
        <w:rPr>
          <w:rFonts w:ascii="Times New Roman" w:eastAsiaTheme="minorEastAsia" w:hAnsi="Times New Roman" w:cs="Times New Roman"/>
          <w:color w:val="0000FF"/>
        </w:rPr>
      </w:pPr>
      <w:r>
        <w:rPr>
          <w:rFonts w:ascii="Times New Roman" w:hAnsi="Times New Roman" w:cs="Times New Roman"/>
          <w:color w:val="0000FF"/>
        </w:rPr>
        <w:t xml:space="preserve">More broadly, </w:t>
      </w:r>
      <w:r>
        <w:rPr>
          <w:rFonts w:ascii="Times New Roman" w:hAnsi="Times New Roman" w:cs="Times New Roman"/>
          <w:color w:val="0000FF"/>
        </w:rPr>
        <w:t xml:space="preserve">the formal general equilibrium framework in this paper provides a tool to </w:t>
      </w:r>
      <w:r w:rsidR="009A7DB2">
        <w:rPr>
          <w:rFonts w:ascii="Times New Roman" w:hAnsi="Times New Roman" w:cs="Times New Roman"/>
          <w:color w:val="0000FF"/>
        </w:rPr>
        <w:t>unify</w:t>
      </w:r>
      <w:r>
        <w:rPr>
          <w:rFonts w:ascii="Times New Roman" w:hAnsi="Times New Roman" w:cs="Times New Roman"/>
          <w:color w:val="0000FF"/>
        </w:rPr>
        <w:t xml:space="preserve"> various channels priced in bond-stock betas. The model accounts for</w:t>
      </w:r>
      <w:r w:rsidR="004B38DD">
        <w:rPr>
          <w:rFonts w:ascii="Times New Roman" w:hAnsi="Times New Roman" w:cs="Times New Roman"/>
          <w:color w:val="0000FF"/>
        </w:rPr>
        <w:t xml:space="preserve"> a variety of </w:t>
      </w:r>
      <w:r>
        <w:rPr>
          <w:rFonts w:ascii="Times New Roman" w:hAnsi="Times New Roman" w:cs="Times New Roman"/>
          <w:color w:val="0000FF"/>
        </w:rPr>
        <w:t>channels in a relatively parsimonious manner</w:t>
      </w:r>
      <w:r w:rsidR="004B38DD">
        <w:rPr>
          <w:rFonts w:ascii="Times New Roman" w:hAnsi="Times New Roman" w:cs="Times New Roman"/>
          <w:color w:val="0000FF"/>
        </w:rPr>
        <w:t xml:space="preserve">, including </w:t>
      </w:r>
      <w:r w:rsidR="00542E09">
        <w:rPr>
          <w:rFonts w:ascii="Times New Roman" w:hAnsi="Times New Roman" w:cs="Times New Roman"/>
          <w:color w:val="0000FF"/>
        </w:rPr>
        <w:t xml:space="preserve">“sentiment” or risk premium shocks, </w:t>
      </w:r>
      <w:r w:rsidR="00061E83">
        <w:rPr>
          <w:rFonts w:ascii="Times New Roman" w:hAnsi="Times New Roman" w:cs="Times New Roman"/>
          <w:color w:val="0000FF"/>
        </w:rPr>
        <w:t xml:space="preserve">the rationality of inflation expectations, </w:t>
      </w:r>
      <w:r w:rsidR="00542E09">
        <w:rPr>
          <w:rFonts w:ascii="Times New Roman" w:hAnsi="Times New Roman" w:cs="Times New Roman"/>
          <w:color w:val="0000FF"/>
        </w:rPr>
        <w:t xml:space="preserve">and </w:t>
      </w:r>
      <w:r>
        <w:rPr>
          <w:rFonts w:ascii="Times New Roman" w:hAnsi="Times New Roman" w:cs="Times New Roman"/>
          <w:color w:val="0000FF"/>
        </w:rPr>
        <w:t>the monetary policy response to macroeconomic shocks.</w:t>
      </w:r>
      <w:r w:rsidR="00454C0C">
        <w:rPr>
          <w:rFonts w:ascii="Times New Roman" w:hAnsi="Times New Roman" w:cs="Times New Roman"/>
          <w:color w:val="0000FF"/>
        </w:rPr>
        <w:t xml:space="preserve"> </w:t>
      </w:r>
      <w:r>
        <w:rPr>
          <w:rFonts w:ascii="Times New Roman" w:hAnsi="Times New Roman" w:cs="Times New Roman"/>
          <w:color w:val="0000FF"/>
        </w:rPr>
        <w:t xml:space="preserve"> </w:t>
      </w:r>
      <w:r w:rsidR="00A332B6">
        <w:rPr>
          <w:rFonts w:ascii="Times New Roman" w:hAnsi="Times New Roman" w:cs="Times New Roman"/>
          <w:color w:val="0000FF"/>
        </w:rPr>
        <w:t xml:space="preserve">By incorporating these various channels, the new Section 5 </w:t>
      </w:r>
      <w:r w:rsidR="00EE36D3">
        <w:rPr>
          <w:rFonts w:ascii="Times New Roman" w:hAnsi="Times New Roman" w:cs="Times New Roman"/>
          <w:color w:val="0000FF"/>
        </w:rPr>
        <w:t xml:space="preserve">ties together the channels mentioned in your comment </w:t>
      </w:r>
      <w:r w:rsidR="00A332B6">
        <w:rPr>
          <w:rFonts w:ascii="Times New Roman" w:hAnsi="Times New Roman" w:cs="Times New Roman"/>
          <w:color w:val="0000FF"/>
        </w:rPr>
        <w:t xml:space="preserve">in an equilibrium framework. </w:t>
      </w:r>
      <w:r w:rsidR="00EE36D3">
        <w:rPr>
          <w:rFonts w:ascii="Times New Roman" w:hAnsi="Times New Roman" w:cs="Times New Roman"/>
          <w:color w:val="0000FF"/>
        </w:rPr>
        <w:t>I newly describe this contribution of my paper in the introduction (</w:t>
      </w:r>
      <w:r w:rsidR="00EE36D3" w:rsidRPr="00EE36D3">
        <w:rPr>
          <w:rFonts w:ascii="Times New Roman" w:hAnsi="Times New Roman" w:cs="Times New Roman"/>
          <w:b/>
          <w:bCs/>
          <w:color w:val="0000FF"/>
        </w:rPr>
        <w:t>p.5, “</w:t>
      </w:r>
      <w:r w:rsidR="00EE36D3" w:rsidRPr="00EE36D3">
        <w:rPr>
          <w:rFonts w:ascii="Times New Roman" w:hAnsi="Times New Roman" w:cs="Times New Roman"/>
          <w:b/>
          <w:bCs/>
          <w:color w:val="0000FF"/>
        </w:rPr>
        <w:t>The model in this paper incorporates these channels in a relatively</w:t>
      </w:r>
      <w:r w:rsidR="00EE36D3" w:rsidRPr="00EE36D3">
        <w:rPr>
          <w:rFonts w:ascii="Times New Roman" w:hAnsi="Times New Roman" w:cs="Times New Roman"/>
          <w:b/>
          <w:bCs/>
          <w:color w:val="0000FF"/>
        </w:rPr>
        <w:t xml:space="preserve"> </w:t>
      </w:r>
      <w:r w:rsidR="00EE36D3" w:rsidRPr="00EE36D3">
        <w:rPr>
          <w:rFonts w:ascii="Times New Roman" w:hAnsi="Times New Roman" w:cs="Times New Roman"/>
          <w:b/>
          <w:bCs/>
          <w:color w:val="0000FF"/>
        </w:rPr>
        <w:t>parsimonious setup</w:t>
      </w:r>
      <w:r w:rsidR="00EE36D3" w:rsidRPr="00EE36D3">
        <w:rPr>
          <w:rFonts w:ascii="Times New Roman" w:hAnsi="Times New Roman" w:cs="Times New Roman"/>
          <w:b/>
          <w:bCs/>
          <w:color w:val="0000FF"/>
        </w:rPr>
        <w:t xml:space="preserve"> (…)”</w:t>
      </w:r>
      <w:r w:rsidR="00EE36D3" w:rsidRPr="00EE36D3">
        <w:rPr>
          <w:rFonts w:ascii="Times New Roman" w:hAnsi="Times New Roman" w:cs="Times New Roman"/>
          <w:color w:val="0000FF"/>
        </w:rPr>
        <w:t>)</w:t>
      </w:r>
      <w:r w:rsidR="00EE36D3">
        <w:rPr>
          <w:rFonts w:ascii="Times New Roman" w:hAnsi="Times New Roman" w:cs="Times New Roman"/>
          <w:color w:val="0000FF"/>
        </w:rPr>
        <w:t>.</w:t>
      </w:r>
      <w:r w:rsidR="00BE4CC5">
        <w:rPr>
          <w:rFonts w:ascii="Times New Roman" w:hAnsi="Times New Roman" w:cs="Times New Roman"/>
          <w:color w:val="0000FF"/>
        </w:rPr>
        <w:t xml:space="preserve"> </w:t>
      </w:r>
      <w:r w:rsidR="00A332B6">
        <w:rPr>
          <w:rFonts w:ascii="Times New Roman" w:hAnsi="Times New Roman" w:cs="Times New Roman"/>
          <w:color w:val="0000FF"/>
        </w:rPr>
        <w:t xml:space="preserve">The revised Section 4 makes clear how “sentiment” shocks are accounted for in the model </w:t>
      </w:r>
      <w:r w:rsidR="00ED1DAA">
        <w:rPr>
          <w:rFonts w:ascii="Times New Roman" w:hAnsi="Times New Roman" w:cs="Times New Roman"/>
          <w:color w:val="0000FF"/>
        </w:rPr>
        <w:t>(</w:t>
      </w:r>
      <w:r w:rsidR="00ED1DAA" w:rsidRPr="00ED1DAA">
        <w:rPr>
          <w:rFonts w:ascii="Times New Roman" w:hAnsi="Times New Roman" w:cs="Times New Roman"/>
          <w:b/>
          <w:bCs/>
          <w:color w:val="0000FF"/>
        </w:rPr>
        <w:t xml:space="preserve">p. </w:t>
      </w:r>
      <w:r w:rsidR="002E2FAE">
        <w:rPr>
          <w:rFonts w:ascii="Times New Roman" w:hAnsi="Times New Roman" w:cs="Times New Roman"/>
          <w:b/>
          <w:bCs/>
          <w:color w:val="0000FF"/>
        </w:rPr>
        <w:t>29</w:t>
      </w:r>
      <w:r w:rsidR="00ED1DAA" w:rsidRPr="00ED1DAA">
        <w:rPr>
          <w:rFonts w:ascii="Times New Roman" w:hAnsi="Times New Roman" w:cs="Times New Roman"/>
          <w:b/>
          <w:bCs/>
          <w:color w:val="0000FF"/>
        </w:rPr>
        <w:t xml:space="preserve">, “One might wonder whether </w:t>
      </w:r>
      <w:r w:rsidR="005204C7">
        <w:rPr>
          <w:rFonts w:ascii="Times New Roman" w:hAnsi="Times New Roman" w:cs="Times New Roman"/>
          <w:b/>
          <w:bCs/>
          <w:color w:val="0000FF"/>
        </w:rPr>
        <w:t>“</w:t>
      </w:r>
      <w:r w:rsidR="00ED1DAA" w:rsidRPr="00ED1DAA">
        <w:rPr>
          <w:rFonts w:ascii="Times New Roman" w:hAnsi="Times New Roman" w:cs="Times New Roman"/>
          <w:b/>
          <w:bCs/>
          <w:color w:val="0000FF"/>
        </w:rPr>
        <w:t>sentiment</w:t>
      </w:r>
      <w:r w:rsidR="005204C7">
        <w:rPr>
          <w:rFonts w:ascii="Times New Roman" w:hAnsi="Times New Roman" w:cs="Times New Roman"/>
          <w:b/>
          <w:bCs/>
          <w:color w:val="0000FF"/>
        </w:rPr>
        <w:t>”</w:t>
      </w:r>
      <w:r w:rsidR="00ED1DAA" w:rsidRPr="00ED1DAA">
        <w:rPr>
          <w:rFonts w:ascii="Times New Roman" w:hAnsi="Times New Roman" w:cs="Times New Roman"/>
          <w:b/>
          <w:bCs/>
          <w:color w:val="0000FF"/>
        </w:rPr>
        <w:t xml:space="preserve"> shocks could turn bond-stock betas negative</w:t>
      </w:r>
      <w:r w:rsidR="008803A6">
        <w:rPr>
          <w:rFonts w:ascii="Times New Roman" w:hAnsi="Times New Roman" w:cs="Times New Roman"/>
          <w:b/>
          <w:bCs/>
          <w:color w:val="0000FF"/>
        </w:rPr>
        <w:t xml:space="preserve"> (</w:t>
      </w:r>
      <w:r w:rsidR="00ED1DAA" w:rsidRPr="00ED1DAA">
        <w:rPr>
          <w:rFonts w:ascii="Times New Roman" w:hAnsi="Times New Roman" w:cs="Times New Roman"/>
          <w:b/>
          <w:bCs/>
          <w:color w:val="0000FF"/>
        </w:rPr>
        <w:t>…</w:t>
      </w:r>
      <w:r w:rsidR="008803A6">
        <w:rPr>
          <w:rFonts w:ascii="Times New Roman" w:hAnsi="Times New Roman" w:cs="Times New Roman"/>
          <w:b/>
          <w:bCs/>
          <w:color w:val="0000FF"/>
        </w:rPr>
        <w:t>)</w:t>
      </w:r>
      <w:r w:rsidR="00ED1DAA" w:rsidRPr="00ED1DAA">
        <w:rPr>
          <w:rFonts w:ascii="Times New Roman" w:hAnsi="Times New Roman" w:cs="Times New Roman"/>
          <w:b/>
          <w:bCs/>
          <w:color w:val="0000FF"/>
        </w:rPr>
        <w:t>”</w:t>
      </w:r>
      <w:r w:rsidR="00ED1DAA">
        <w:rPr>
          <w:rFonts w:ascii="Times New Roman" w:hAnsi="Times New Roman" w:cs="Times New Roman"/>
          <w:color w:val="0000FF"/>
        </w:rPr>
        <w:t xml:space="preserve">). </w:t>
      </w:r>
      <w:r w:rsidR="00BE4CC5">
        <w:rPr>
          <w:rFonts w:ascii="Times New Roman" w:hAnsi="Times New Roman" w:cs="Times New Roman"/>
          <w:color w:val="0000FF"/>
        </w:rPr>
        <w:t xml:space="preserve">To address your comment about the anchoring of inflation expectations during the recent period, </w:t>
      </w:r>
      <w:proofErr w:type="gramStart"/>
      <w:r w:rsidR="00BE4CC5">
        <w:rPr>
          <w:rFonts w:ascii="Times New Roman" w:hAnsi="Times New Roman" w:cs="Times New Roman"/>
          <w:color w:val="0000FF"/>
        </w:rPr>
        <w:t xml:space="preserve">the </w:t>
      </w:r>
      <w:r w:rsidR="00B144D1">
        <w:rPr>
          <w:rFonts w:ascii="Times New Roman" w:eastAsiaTheme="minorEastAsia" w:hAnsi="Times New Roman" w:cs="Times New Roman"/>
          <w:color w:val="0000FF"/>
        </w:rPr>
        <w:t xml:space="preserve"> revised</w:t>
      </w:r>
      <w:proofErr w:type="gramEnd"/>
      <w:r w:rsidR="00B144D1">
        <w:rPr>
          <w:rFonts w:ascii="Times New Roman" w:eastAsiaTheme="minorEastAsia" w:hAnsi="Times New Roman" w:cs="Times New Roman"/>
          <w:color w:val="0000FF"/>
        </w:rPr>
        <w:t xml:space="preserve"> manuscript </w:t>
      </w:r>
      <w:r w:rsidR="003F1E09">
        <w:rPr>
          <w:rFonts w:ascii="Times New Roman" w:eastAsiaTheme="minorEastAsia" w:hAnsi="Times New Roman" w:cs="Times New Roman"/>
          <w:color w:val="0000FF"/>
        </w:rPr>
        <w:t xml:space="preserve">makes clear that inflation expectations for the recent period are assumed to be rational </w:t>
      </w:r>
      <w:r w:rsidR="00091B11">
        <w:rPr>
          <w:rFonts w:ascii="Times New Roman" w:eastAsiaTheme="minorEastAsia" w:hAnsi="Times New Roman" w:cs="Times New Roman"/>
          <w:color w:val="0000FF"/>
        </w:rPr>
        <w:t xml:space="preserve">at the top of </w:t>
      </w:r>
      <w:r w:rsidR="00E039E1" w:rsidRPr="00E039E1">
        <w:rPr>
          <w:rFonts w:ascii="Times New Roman" w:eastAsiaTheme="minorEastAsia" w:hAnsi="Times New Roman" w:cs="Times New Roman"/>
          <w:b/>
          <w:bCs/>
          <w:color w:val="0000FF"/>
        </w:rPr>
        <w:t>p.3</w:t>
      </w:r>
      <w:r w:rsidR="00091B11">
        <w:rPr>
          <w:rFonts w:ascii="Times New Roman" w:eastAsiaTheme="minorEastAsia" w:hAnsi="Times New Roman" w:cs="Times New Roman"/>
          <w:b/>
          <w:bCs/>
          <w:color w:val="0000FF"/>
        </w:rPr>
        <w:t xml:space="preserve">7 </w:t>
      </w:r>
      <w:r w:rsidR="00091B11" w:rsidRPr="00091B11">
        <w:rPr>
          <w:rFonts w:ascii="Times New Roman" w:eastAsiaTheme="minorEastAsia" w:hAnsi="Times New Roman" w:cs="Times New Roman"/>
          <w:color w:val="0000FF"/>
        </w:rPr>
        <w:t>(</w:t>
      </w:r>
      <w:r w:rsidR="00E039E1" w:rsidRPr="00E039E1">
        <w:rPr>
          <w:rFonts w:ascii="Times New Roman" w:eastAsiaTheme="minorEastAsia" w:hAnsi="Times New Roman" w:cs="Times New Roman"/>
          <w:b/>
          <w:bCs/>
          <w:color w:val="0000FF"/>
        </w:rPr>
        <w:t xml:space="preserve">“To account for strongly anchored long-term inflation expectations </w:t>
      </w:r>
      <w:r w:rsidR="004D260C">
        <w:rPr>
          <w:rFonts w:ascii="Times New Roman" w:eastAsiaTheme="minorEastAsia" w:hAnsi="Times New Roman" w:cs="Times New Roman"/>
          <w:b/>
          <w:bCs/>
          <w:color w:val="0000FF"/>
        </w:rPr>
        <w:t xml:space="preserve">during the recent period </w:t>
      </w:r>
      <w:r w:rsidR="00091B11">
        <w:rPr>
          <w:rFonts w:ascii="Times New Roman" w:eastAsiaTheme="minorEastAsia" w:hAnsi="Times New Roman" w:cs="Times New Roman"/>
          <w:b/>
          <w:bCs/>
          <w:color w:val="0000FF"/>
        </w:rPr>
        <w:t>(…)</w:t>
      </w:r>
      <w:r w:rsidR="00E039E1">
        <w:rPr>
          <w:rFonts w:ascii="Times New Roman" w:eastAsiaTheme="minorEastAsia" w:hAnsi="Times New Roman" w:cs="Times New Roman"/>
          <w:b/>
          <w:bCs/>
          <w:color w:val="0000FF"/>
        </w:rPr>
        <w:t>”</w:t>
      </w:r>
      <w:r w:rsidR="00091B11" w:rsidRPr="00091B11">
        <w:rPr>
          <w:rFonts w:ascii="Times New Roman" w:eastAsiaTheme="minorEastAsia" w:hAnsi="Times New Roman" w:cs="Times New Roman"/>
          <w:color w:val="0000FF"/>
        </w:rPr>
        <w:t>)</w:t>
      </w:r>
      <w:r w:rsidR="00091B11">
        <w:rPr>
          <w:rFonts w:ascii="Times New Roman" w:eastAsiaTheme="minorEastAsia" w:hAnsi="Times New Roman" w:cs="Times New Roman"/>
          <w:color w:val="0000FF"/>
        </w:rPr>
        <w:t>.</w:t>
      </w:r>
    </w:p>
    <w:p w14:paraId="534E5310"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5DF7CD82"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71719B88"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001B7022"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7973C30B"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6A731008"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7D66EF38"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611B4906"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58896CB0"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594290CA"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0B3FE01F"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22D8E7A4"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5C969FBC"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16329903"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5236BB9B"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4D588D07"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4BDD906E"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6435F574"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42AF6987"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10137FAD"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7ADBC2D6"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1C4926C5"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4F8B94D4"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09897C84"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4893852D"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7C224CF3"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4B911431"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508462AF"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59FDCF90" w14:textId="77777777" w:rsid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103F441C" w14:textId="77777777" w:rsidR="00BE4CC5" w:rsidRPr="00BE4CC5" w:rsidRDefault="00BE4CC5" w:rsidP="00BE4CC5">
      <w:pPr>
        <w:autoSpaceDE w:val="0"/>
        <w:autoSpaceDN w:val="0"/>
        <w:adjustRightInd w:val="0"/>
        <w:spacing w:after="0" w:line="240" w:lineRule="auto"/>
        <w:ind w:left="360"/>
        <w:rPr>
          <w:rFonts w:ascii="Times New Roman" w:eastAsiaTheme="minorEastAsia" w:hAnsi="Times New Roman" w:cs="Times New Roman"/>
          <w:color w:val="0000FF"/>
        </w:rPr>
      </w:pPr>
    </w:p>
    <w:p w14:paraId="1DF6A348" w14:textId="114AAF2E" w:rsidR="008B07AC" w:rsidRPr="00B84221" w:rsidRDefault="008B07AC" w:rsidP="00A75284">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lastRenderedPageBreak/>
        <w:t xml:space="preserve">Responses to Referee </w:t>
      </w:r>
      <w:r>
        <w:rPr>
          <w:rFonts w:ascii="Times New Roman" w:hAnsi="Times New Roman" w:cs="Times New Roman"/>
          <w:b/>
          <w:bCs/>
          <w:u w:val="single"/>
        </w:rPr>
        <w:t>2</w:t>
      </w:r>
    </w:p>
    <w:p w14:paraId="19E2C3B2" w14:textId="77777777" w:rsidR="008B07AC" w:rsidRDefault="008B07AC" w:rsidP="00A75284">
      <w:pPr>
        <w:adjustRightInd w:val="0"/>
        <w:spacing w:after="0" w:line="240" w:lineRule="auto"/>
        <w:rPr>
          <w:rFonts w:ascii="Times New Roman" w:hAnsi="Times New Roman" w:cs="Times New Roman"/>
          <w:b/>
          <w:bCs/>
        </w:rPr>
      </w:pPr>
    </w:p>
    <w:p w14:paraId="2B7A4288" w14:textId="530000A7" w:rsidR="008B07AC" w:rsidRDefault="008B07AC" w:rsidP="00A75284">
      <w:pPr>
        <w:adjustRightInd w:val="0"/>
        <w:spacing w:after="0" w:line="240" w:lineRule="auto"/>
        <w:rPr>
          <w:rFonts w:ascii="Times New Roman" w:hAnsi="Times New Roman" w:cs="Times New Roman"/>
          <w:color w:val="0000FF"/>
        </w:rPr>
      </w:pPr>
      <w:r w:rsidRPr="00E81D4B">
        <w:rPr>
          <w:rFonts w:ascii="Times New Roman" w:hAnsi="Times New Roman" w:cs="Times New Roman"/>
          <w:color w:val="0000FF"/>
        </w:rPr>
        <w:t xml:space="preserve">Thank you for </w:t>
      </w:r>
      <w:r>
        <w:rPr>
          <w:rFonts w:ascii="Times New Roman" w:hAnsi="Times New Roman" w:cs="Times New Roman"/>
          <w:color w:val="0000FF"/>
        </w:rPr>
        <w:t>your suggestions, and especially your lucid discussion of the literature. Following your and the AE’s suggestion</w:t>
      </w:r>
      <w:r w:rsidR="0050191E">
        <w:rPr>
          <w:rFonts w:ascii="Times New Roman" w:hAnsi="Times New Roman" w:cs="Times New Roman"/>
          <w:color w:val="0000FF"/>
        </w:rPr>
        <w:t>s</w:t>
      </w:r>
      <w:r>
        <w:rPr>
          <w:rFonts w:ascii="Times New Roman" w:hAnsi="Times New Roman" w:cs="Times New Roman"/>
          <w:color w:val="0000FF"/>
        </w:rPr>
        <w:t>,</w:t>
      </w:r>
      <w:r w:rsidR="0050191E">
        <w:rPr>
          <w:rFonts w:ascii="Times New Roman" w:hAnsi="Times New Roman" w:cs="Times New Roman"/>
          <w:color w:val="0000FF"/>
        </w:rPr>
        <w:t xml:space="preserve"> I re-wrote the introduction to delineate more clearly how </w:t>
      </w:r>
      <w:r>
        <w:rPr>
          <w:rFonts w:ascii="Times New Roman" w:hAnsi="Times New Roman" w:cs="Times New Roman"/>
          <w:color w:val="0000FF"/>
        </w:rPr>
        <w:t xml:space="preserve">the current manuscript stands out from the existing literature. </w:t>
      </w:r>
      <w:r w:rsidR="0050191E">
        <w:rPr>
          <w:rFonts w:ascii="Times New Roman" w:hAnsi="Times New Roman" w:cs="Times New Roman"/>
          <w:color w:val="0000FF"/>
        </w:rPr>
        <w:t xml:space="preserve">The revised paper also contains </w:t>
      </w:r>
      <w:r w:rsidR="0050191E" w:rsidRPr="00980B93">
        <w:rPr>
          <w:rFonts w:ascii="Times New Roman" w:hAnsi="Times New Roman" w:cs="Times New Roman"/>
          <w:color w:val="0000FF"/>
        </w:rPr>
        <w:t xml:space="preserve">additional discussion and results </w:t>
      </w:r>
      <w:r w:rsidR="0050191E">
        <w:rPr>
          <w:rFonts w:ascii="Times New Roman" w:hAnsi="Times New Roman" w:cs="Times New Roman"/>
          <w:color w:val="0000FF"/>
        </w:rPr>
        <w:t>supporting</w:t>
      </w:r>
      <w:r w:rsidR="0050191E" w:rsidRPr="00980B93">
        <w:rPr>
          <w:rFonts w:ascii="Times New Roman" w:hAnsi="Times New Roman" w:cs="Times New Roman"/>
          <w:color w:val="0000FF"/>
        </w:rPr>
        <w:t xml:space="preserve"> the calibration for the first subperiod.</w:t>
      </w:r>
      <w:r w:rsidR="0050191E">
        <w:rPr>
          <w:rFonts w:ascii="Times New Roman" w:hAnsi="Times New Roman" w:cs="Times New Roman"/>
          <w:color w:val="0000FF"/>
        </w:rPr>
        <w:t xml:space="preserve"> </w:t>
      </w:r>
      <w:r>
        <w:rPr>
          <w:rFonts w:ascii="Times New Roman" w:hAnsi="Times New Roman" w:cs="Times New Roman"/>
          <w:color w:val="0000FF"/>
        </w:rPr>
        <w:t xml:space="preserve">Detailed point-by-point responses to your comments are included below. </w:t>
      </w:r>
    </w:p>
    <w:p w14:paraId="7BB20C3E" w14:textId="77777777" w:rsidR="00730FE5" w:rsidRDefault="00730FE5" w:rsidP="00A75284">
      <w:pPr>
        <w:adjustRightInd w:val="0"/>
        <w:spacing w:after="0" w:line="240" w:lineRule="auto"/>
        <w:rPr>
          <w:rFonts w:ascii="Times New Roman" w:hAnsi="Times New Roman" w:cs="Times New Roman"/>
          <w:color w:val="0000FF"/>
        </w:rPr>
      </w:pPr>
    </w:p>
    <w:p w14:paraId="61A2380A" w14:textId="77777777" w:rsidR="004A54B1" w:rsidRDefault="004A54B1" w:rsidP="00A75284">
      <w:pPr>
        <w:adjustRightInd w:val="0"/>
        <w:spacing w:after="0" w:line="240" w:lineRule="auto"/>
        <w:rPr>
          <w:rFonts w:ascii="Times New Roman" w:hAnsi="Times New Roman" w:cs="Times New Roman"/>
        </w:rPr>
      </w:pPr>
      <w:r>
        <w:rPr>
          <w:rFonts w:ascii="Times New Roman" w:hAnsi="Times New Roman" w:cs="Times New Roman"/>
        </w:rPr>
        <w:t>In</w:t>
      </w:r>
      <w:r>
        <w:rPr>
          <w:rFonts w:ascii="Times New Roman" w:hAnsi="Times New Roman" w:cs="Times New Roman" w:hint="eastAsia"/>
        </w:rPr>
        <w:t xml:space="preserve"> this sense, the paper</w:t>
      </w:r>
      <w:r>
        <w:rPr>
          <w:rFonts w:ascii="Times New Roman" w:hAnsi="Times New Roman" w:cs="Times New Roman"/>
        </w:rPr>
        <w:t>’</w:t>
      </w:r>
      <w:r>
        <w:rPr>
          <w:rFonts w:ascii="Times New Roman" w:hAnsi="Times New Roman" w:cs="Times New Roman" w:hint="eastAsia"/>
        </w:rPr>
        <w:t>s setup builds on the author</w:t>
      </w:r>
      <w:r>
        <w:rPr>
          <w:rFonts w:ascii="Times New Roman" w:hAnsi="Times New Roman" w:cs="Times New Roman"/>
        </w:rPr>
        <w:t>’</w:t>
      </w:r>
      <w:r>
        <w:rPr>
          <w:rFonts w:ascii="Times New Roman" w:hAnsi="Times New Roman" w:cs="Times New Roman" w:hint="eastAsia"/>
        </w:rPr>
        <w:t xml:space="preserve">s previous two published papers,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and Pflueger and Rinaldi (2022), as they both include (P1) and (P2). While the model (P1) in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is not as micro-founded as the one in the current paper, (P1) in Pflueger and Rinaldi (2022) is very similar, but with some important changes such as enriching structural shocks to include both demand and supply, and considering adaptive subjective inflation expectations.</w:t>
      </w:r>
    </w:p>
    <w:p w14:paraId="4804354E" w14:textId="77777777" w:rsidR="004A54B1" w:rsidRDefault="004A54B1" w:rsidP="00A75284">
      <w:pPr>
        <w:adjustRightInd w:val="0"/>
        <w:spacing w:after="0" w:line="240" w:lineRule="auto"/>
        <w:rPr>
          <w:rFonts w:ascii="Times New Roman" w:hAnsi="Times New Roman" w:cs="Times New Roman"/>
        </w:rPr>
      </w:pPr>
    </w:p>
    <w:p w14:paraId="4A159A78" w14:textId="274CCA93" w:rsidR="00730FE5" w:rsidRPr="009A39D9"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The calibration of the model for two distinct subperiods sets the current paper apart from Pflueger</w:t>
      </w:r>
      <w:r>
        <w:rPr>
          <w:rFonts w:ascii="Times New Roman" w:hAnsi="Times New Roman" w:cs="Times New Roman" w:hint="eastAsia"/>
        </w:rPr>
        <w:t xml:space="preserve"> </w:t>
      </w:r>
      <w:r w:rsidRPr="009A39D9">
        <w:rPr>
          <w:rFonts w:ascii="Times New Roman" w:hAnsi="Times New Roman" w:cs="Times New Roman"/>
        </w:rPr>
        <w:t>and Rinaldi (2022), while its unique ability to perform counterfactual exercises assessing the impact of</w:t>
      </w:r>
      <w:r>
        <w:rPr>
          <w:rFonts w:ascii="Times New Roman" w:hAnsi="Times New Roman" w:cs="Times New Roman" w:hint="eastAsia"/>
        </w:rPr>
        <w:t xml:space="preserve"> </w:t>
      </w:r>
      <w:r w:rsidRPr="009A39D9">
        <w:rPr>
          <w:rFonts w:ascii="Times New Roman" w:hAnsi="Times New Roman" w:cs="Times New Roman"/>
        </w:rPr>
        <w:t>Taylor-rule coefficients and macroeconomic shock volatilities on bond-stock betas amplifies its significance.</w:t>
      </w:r>
    </w:p>
    <w:p w14:paraId="39D3D2BF" w14:textId="77777777" w:rsidR="00730FE5" w:rsidRDefault="00730FE5" w:rsidP="00A75284">
      <w:pPr>
        <w:adjustRightInd w:val="0"/>
        <w:spacing w:after="0" w:line="240" w:lineRule="auto"/>
        <w:rPr>
          <w:rFonts w:ascii="Times New Roman" w:hAnsi="Times New Roman" w:cs="Times New Roman"/>
        </w:rPr>
      </w:pPr>
    </w:p>
    <w:p w14:paraId="0E48CB79" w14:textId="77777777"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In the literature, various channels explain bond-stock comovement, including the inflation-risk narrative</w:t>
      </w:r>
      <w:r>
        <w:rPr>
          <w:rFonts w:ascii="Times New Roman" w:hAnsi="Times New Roman" w:cs="Times New Roman" w:hint="eastAsia"/>
        </w:rPr>
        <w:t xml:space="preserve"> </w:t>
      </w:r>
      <w:r w:rsidRPr="009A39D9">
        <w:rPr>
          <w:rFonts w:ascii="Times New Roman" w:hAnsi="Times New Roman" w:cs="Times New Roman"/>
        </w:rPr>
        <w:t xml:space="preserve">proposed by David and Veronesi (2013), Song (2017), Campbell, Pflueger, and </w:t>
      </w:r>
      <w:proofErr w:type="spellStart"/>
      <w:r w:rsidRPr="009A39D9">
        <w:rPr>
          <w:rFonts w:ascii="Times New Roman" w:hAnsi="Times New Roman" w:cs="Times New Roman"/>
        </w:rPr>
        <w:t>Viceira</w:t>
      </w:r>
      <w:proofErr w:type="spellEnd"/>
      <w:r w:rsidRPr="009A39D9">
        <w:rPr>
          <w:rFonts w:ascii="Times New Roman" w:hAnsi="Times New Roman" w:cs="Times New Roman"/>
        </w:rPr>
        <w:t xml:space="preserve"> (2020),</w:t>
      </w:r>
      <w:r>
        <w:rPr>
          <w:rFonts w:ascii="Times New Roman" w:hAnsi="Times New Roman" w:cs="Times New Roman" w:hint="eastAsia"/>
        </w:rPr>
        <w:t xml:space="preserve"> </w:t>
      </w:r>
      <w:proofErr w:type="spellStart"/>
      <w:r w:rsidRPr="009A39D9">
        <w:rPr>
          <w:rFonts w:ascii="Times New Roman" w:hAnsi="Times New Roman" w:cs="Times New Roman"/>
        </w:rPr>
        <w:t>Gourio</w:t>
      </w:r>
      <w:proofErr w:type="spellEnd"/>
      <w:r w:rsidRPr="009A39D9">
        <w:rPr>
          <w:rFonts w:ascii="Times New Roman" w:hAnsi="Times New Roman" w:cs="Times New Roman"/>
        </w:rPr>
        <w:t xml:space="preserve"> and Ngo (2020), and Fang, Liu, and </w:t>
      </w:r>
      <w:proofErr w:type="spellStart"/>
      <w:r w:rsidRPr="009A39D9">
        <w:rPr>
          <w:rFonts w:ascii="Times New Roman" w:hAnsi="Times New Roman" w:cs="Times New Roman"/>
        </w:rPr>
        <w:t>Roussanov</w:t>
      </w:r>
      <w:proofErr w:type="spellEnd"/>
      <w:r w:rsidRPr="009A39D9">
        <w:rPr>
          <w:rFonts w:ascii="Times New Roman" w:hAnsi="Times New Roman" w:cs="Times New Roman"/>
        </w:rPr>
        <w:t xml:space="preserve"> (2022); the liquidity, flight-to-safety, and time</w:t>
      </w:r>
      <w:r>
        <w:rPr>
          <w:rFonts w:ascii="Times New Roman" w:hAnsi="Times New Roman" w:cs="Times New Roman" w:hint="eastAsia"/>
        </w:rPr>
        <w:t>-</w:t>
      </w:r>
      <w:r w:rsidRPr="009A39D9">
        <w:rPr>
          <w:rFonts w:ascii="Times New Roman" w:hAnsi="Times New Roman" w:cs="Times New Roman"/>
        </w:rPr>
        <w:t>varying</w:t>
      </w:r>
      <w:r>
        <w:rPr>
          <w:rFonts w:ascii="Times New Roman" w:hAnsi="Times New Roman" w:cs="Times New Roman" w:hint="eastAsia"/>
        </w:rPr>
        <w:t xml:space="preserve"> </w:t>
      </w:r>
      <w:r w:rsidRPr="009A39D9">
        <w:rPr>
          <w:rFonts w:ascii="Times New Roman" w:hAnsi="Times New Roman" w:cs="Times New Roman"/>
        </w:rPr>
        <w:t xml:space="preserve">risk aversion argument presented by Baele, Bekaert, and </w:t>
      </w:r>
      <w:proofErr w:type="spellStart"/>
      <w:r w:rsidRPr="009A39D9">
        <w:rPr>
          <w:rFonts w:ascii="Times New Roman" w:hAnsi="Times New Roman" w:cs="Times New Roman"/>
        </w:rPr>
        <w:t>Inghelbrecht</w:t>
      </w:r>
      <w:proofErr w:type="spellEnd"/>
      <w:r w:rsidRPr="009A39D9">
        <w:rPr>
          <w:rFonts w:ascii="Times New Roman" w:hAnsi="Times New Roman" w:cs="Times New Roman"/>
        </w:rPr>
        <w:t xml:space="preserve"> (2010), Kozak (2022),</w:t>
      </w:r>
      <w:r>
        <w:rPr>
          <w:rFonts w:ascii="Times New Roman" w:hAnsi="Times New Roman" w:cs="Times New Roman" w:hint="eastAsia"/>
        </w:rPr>
        <w:t xml:space="preserve"> </w:t>
      </w:r>
      <w:r w:rsidRPr="009A39D9">
        <w:rPr>
          <w:rFonts w:ascii="Times New Roman" w:hAnsi="Times New Roman" w:cs="Times New Roman"/>
        </w:rPr>
        <w:t xml:space="preserve">and </w:t>
      </w:r>
      <w:proofErr w:type="spellStart"/>
      <w:r w:rsidRPr="009A39D9">
        <w:rPr>
          <w:rFonts w:ascii="Times New Roman" w:hAnsi="Times New Roman" w:cs="Times New Roman"/>
        </w:rPr>
        <w:t>Laarits</w:t>
      </w:r>
      <w:proofErr w:type="spellEnd"/>
      <w:r w:rsidRPr="009A39D9">
        <w:rPr>
          <w:rFonts w:ascii="Times New Roman" w:hAnsi="Times New Roman" w:cs="Times New Roman"/>
        </w:rPr>
        <w:t xml:space="preserve"> (2022); examination of permanent-transitory compositional changes discussed by Chernov,</w:t>
      </w:r>
      <w:r>
        <w:rPr>
          <w:rFonts w:ascii="Times New Roman" w:hAnsi="Times New Roman" w:cs="Times New Roman" w:hint="eastAsia"/>
        </w:rPr>
        <w:t xml:space="preserve"> </w:t>
      </w:r>
      <w:proofErr w:type="spellStart"/>
      <w:r w:rsidRPr="009A39D9">
        <w:rPr>
          <w:rFonts w:ascii="Times New Roman" w:hAnsi="Times New Roman" w:cs="Times New Roman"/>
        </w:rPr>
        <w:t>Lochstoer</w:t>
      </w:r>
      <w:proofErr w:type="spellEnd"/>
      <w:r w:rsidRPr="009A39D9">
        <w:rPr>
          <w:rFonts w:ascii="Times New Roman" w:hAnsi="Times New Roman" w:cs="Times New Roman"/>
        </w:rPr>
        <w:t>, and Song (2021); and the examination of monetary-fiscal mix regimes explored by Li, Zha,</w:t>
      </w:r>
      <w:r>
        <w:rPr>
          <w:rFonts w:ascii="Times New Roman" w:hAnsi="Times New Roman" w:cs="Times New Roman" w:hint="eastAsia"/>
        </w:rPr>
        <w:t xml:space="preserve"> </w:t>
      </w:r>
      <w:r w:rsidRPr="009A39D9">
        <w:rPr>
          <w:rFonts w:ascii="Times New Roman" w:hAnsi="Times New Roman" w:cs="Times New Roman"/>
        </w:rPr>
        <w:t>Zhang, and Zhou (2022), among others.</w:t>
      </w:r>
    </w:p>
    <w:p w14:paraId="19B28B85" w14:textId="77777777" w:rsidR="00730FE5" w:rsidRPr="009A39D9" w:rsidRDefault="00730FE5" w:rsidP="00A75284">
      <w:pPr>
        <w:adjustRightInd w:val="0"/>
        <w:spacing w:after="0" w:line="240" w:lineRule="auto"/>
        <w:rPr>
          <w:rFonts w:ascii="Times New Roman" w:hAnsi="Times New Roman" w:cs="Times New Roman"/>
        </w:rPr>
      </w:pPr>
    </w:p>
    <w:p w14:paraId="48C509CB" w14:textId="719F2762"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What sets the current paper apart is its remarkable ability to integrate these popular narratives</w:t>
      </w:r>
      <w:r>
        <w:rPr>
          <w:rFonts w:ascii="Times New Roman" w:hAnsi="Times New Roman" w:cs="Times New Roman" w:hint="eastAsia"/>
        </w:rPr>
        <w:t xml:space="preserve"> </w:t>
      </w:r>
      <w:r w:rsidRPr="009A39D9">
        <w:rPr>
          <w:rFonts w:ascii="Times New Roman" w:hAnsi="Times New Roman" w:cs="Times New Roman"/>
        </w:rPr>
        <w:t>within a relatively simple unified framework. It adeptly incorporates elements such as the inflation</w:t>
      </w:r>
      <w:r>
        <w:rPr>
          <w:rFonts w:ascii="Times New Roman" w:hAnsi="Times New Roman" w:cs="Times New Roman" w:hint="eastAsia"/>
        </w:rPr>
        <w:t xml:space="preserve"> </w:t>
      </w:r>
      <w:r w:rsidRPr="009A39D9">
        <w:rPr>
          <w:rFonts w:ascii="Times New Roman" w:hAnsi="Times New Roman" w:cs="Times New Roman"/>
        </w:rPr>
        <w:t>risk</w:t>
      </w:r>
      <w:r>
        <w:rPr>
          <w:rFonts w:ascii="Times New Roman" w:hAnsi="Times New Roman" w:cs="Times New Roman" w:hint="eastAsia"/>
        </w:rPr>
        <w:t xml:space="preserve"> </w:t>
      </w:r>
      <w:r w:rsidRPr="009A39D9">
        <w:rPr>
          <w:rFonts w:ascii="Times New Roman" w:hAnsi="Times New Roman" w:cs="Times New Roman"/>
        </w:rPr>
        <w:t>narrative through the differentiation of demand versus supply shocks, time-varying risk aversion via</w:t>
      </w:r>
      <w:r>
        <w:rPr>
          <w:rFonts w:ascii="Times New Roman" w:hAnsi="Times New Roman" w:cs="Times New Roman" w:hint="eastAsia"/>
        </w:rPr>
        <w:t xml:space="preserve"> </w:t>
      </w:r>
      <w:r w:rsidRPr="009A39D9">
        <w:rPr>
          <w:rFonts w:ascii="Times New Roman" w:hAnsi="Times New Roman" w:cs="Times New Roman"/>
        </w:rPr>
        <w:t>habit-formation preferences, adjustments in the persistence of state variables, achieved by calibrating</w:t>
      </w:r>
      <w:r>
        <w:rPr>
          <w:rFonts w:ascii="Times New Roman" w:hAnsi="Times New Roman" w:cs="Times New Roman" w:hint="eastAsia"/>
        </w:rPr>
        <w:t xml:space="preserve"> </w:t>
      </w:r>
      <w:r w:rsidRPr="009A39D9">
        <w:rPr>
          <w:rFonts w:ascii="Times New Roman" w:hAnsi="Times New Roman" w:cs="Times New Roman"/>
        </w:rPr>
        <w:t>the model for two distinct subperiods, and modifications in the monetary policy rule, all contributing</w:t>
      </w:r>
      <w:r>
        <w:rPr>
          <w:rFonts w:ascii="Times New Roman" w:hAnsi="Times New Roman" w:cs="Times New Roman" w:hint="eastAsia"/>
        </w:rPr>
        <w:t xml:space="preserve"> </w:t>
      </w:r>
      <w:r w:rsidRPr="009A39D9">
        <w:rPr>
          <w:rFonts w:ascii="Times New Roman" w:hAnsi="Times New Roman" w:cs="Times New Roman"/>
        </w:rPr>
        <w:t>to a comprehensive understanding of bond-stock comovement.</w:t>
      </w:r>
    </w:p>
    <w:p w14:paraId="2115D19E" w14:textId="77777777" w:rsidR="00730FE5" w:rsidRPr="00C62C29"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 xml:space="preserve">Overall, I believe the paper merits publication in the </w:t>
      </w:r>
      <w:r w:rsidRPr="00C62C29">
        <w:rPr>
          <w:rFonts w:ascii="Times New Roman" w:hAnsi="Times New Roman" w:cs="Times New Roman"/>
          <w:i/>
          <w:iCs/>
        </w:rPr>
        <w:t>Journal of Financial Economics</w:t>
      </w:r>
      <w:r w:rsidRPr="00C62C29">
        <w:rPr>
          <w:rFonts w:ascii="Times New Roman" w:hAnsi="Times New Roman" w:cs="Times New Roman"/>
        </w:rPr>
        <w:t>. While I find</w:t>
      </w:r>
      <w:r>
        <w:rPr>
          <w:rFonts w:ascii="Times New Roman" w:hAnsi="Times New Roman" w:cs="Times New Roman" w:hint="eastAsia"/>
        </w:rPr>
        <w:t xml:space="preserve"> </w:t>
      </w:r>
      <w:r w:rsidRPr="00C62C29">
        <w:rPr>
          <w:rFonts w:ascii="Times New Roman" w:hAnsi="Times New Roman" w:cs="Times New Roman"/>
        </w:rPr>
        <w:t>the current paper already quite clear, I will only raise two relatively minor points.</w:t>
      </w:r>
    </w:p>
    <w:p w14:paraId="5D175F8E" w14:textId="77777777" w:rsidR="00730FE5"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Firstly, considering that the paper’s primary contribution focuses on explaining changing bond-stock</w:t>
      </w:r>
      <w:r>
        <w:rPr>
          <w:rFonts w:ascii="Times New Roman" w:hAnsi="Times New Roman" w:cs="Times New Roman" w:hint="eastAsia"/>
        </w:rPr>
        <w:t xml:space="preserve"> </w:t>
      </w:r>
      <w:r w:rsidRPr="00C62C29">
        <w:rPr>
          <w:rFonts w:ascii="Times New Roman" w:hAnsi="Times New Roman" w:cs="Times New Roman"/>
        </w:rPr>
        <w:t>comovement, I recommend that the author provide a more precise explanation of her contribution to</w:t>
      </w:r>
      <w:r>
        <w:rPr>
          <w:rFonts w:ascii="Times New Roman" w:hAnsi="Times New Roman" w:cs="Times New Roman" w:hint="eastAsia"/>
        </w:rPr>
        <w:t xml:space="preserve"> </w:t>
      </w:r>
      <w:r w:rsidRPr="00C62C29">
        <w:rPr>
          <w:rFonts w:ascii="Times New Roman" w:hAnsi="Times New Roman" w:cs="Times New Roman"/>
        </w:rPr>
        <w:t>the literature. Although the author cites most of the papers mentioned above in the paper, many</w:t>
      </w:r>
      <w:r>
        <w:rPr>
          <w:rFonts w:ascii="Times New Roman" w:hAnsi="Times New Roman" w:cs="Times New Roman" w:hint="eastAsia"/>
        </w:rPr>
        <w:t xml:space="preserve"> </w:t>
      </w:r>
      <w:r w:rsidRPr="00C62C29">
        <w:rPr>
          <w:rFonts w:ascii="Times New Roman" w:hAnsi="Times New Roman" w:cs="Times New Roman"/>
        </w:rPr>
        <w:t>of them are relegated to footnotes. For example, among the more pertinent papers, the author’s</w:t>
      </w:r>
      <w:r>
        <w:rPr>
          <w:rFonts w:ascii="Times New Roman" w:hAnsi="Times New Roman" w:cs="Times New Roman" w:hint="eastAsia"/>
        </w:rPr>
        <w:t xml:space="preserve"> </w:t>
      </w:r>
      <w:r w:rsidRPr="00C62C29">
        <w:rPr>
          <w:rFonts w:ascii="Times New Roman" w:hAnsi="Times New Roman" w:cs="Times New Roman"/>
        </w:rPr>
        <w:t xml:space="preserve">paper undoubtedly </w:t>
      </w:r>
      <w:r w:rsidRPr="00D024F0">
        <w:rPr>
          <w:rFonts w:ascii="Times New Roman" w:hAnsi="Times New Roman" w:cs="Times New Roman"/>
        </w:rPr>
        <w:t>presents advancements beyond Song (2017), which also discussed changes in the</w:t>
      </w:r>
      <w:r w:rsidRPr="00D024F0">
        <w:rPr>
          <w:rFonts w:ascii="Times New Roman" w:hAnsi="Times New Roman" w:cs="Times New Roman" w:hint="eastAsia"/>
        </w:rPr>
        <w:t xml:space="preserve"> </w:t>
      </w:r>
      <w:r w:rsidRPr="00D024F0">
        <w:rPr>
          <w:rFonts w:ascii="Times New Roman" w:hAnsi="Times New Roman" w:cs="Times New Roman"/>
        </w:rPr>
        <w:t xml:space="preserve">monetary policy rule within an endowment economy, and it extends Campbell, Pflueger, and </w:t>
      </w:r>
      <w:proofErr w:type="spellStart"/>
      <w:r w:rsidRPr="00D024F0">
        <w:rPr>
          <w:rFonts w:ascii="Times New Roman" w:hAnsi="Times New Roman" w:cs="Times New Roman"/>
        </w:rPr>
        <w:t>Viceira</w:t>
      </w:r>
      <w:proofErr w:type="spellEnd"/>
      <w:r w:rsidRPr="00D024F0">
        <w:rPr>
          <w:rFonts w:ascii="Times New Roman" w:hAnsi="Times New Roman" w:cs="Times New Roman" w:hint="eastAsia"/>
        </w:rPr>
        <w:t xml:space="preserve"> </w:t>
      </w:r>
      <w:r w:rsidRPr="00D024F0">
        <w:rPr>
          <w:rFonts w:ascii="Times New Roman" w:hAnsi="Times New Roman" w:cs="Times New Roman"/>
        </w:rPr>
        <w:t>(2020), where the monetary policy rule isn’t specified. None of the production-based papers mentioned</w:t>
      </w:r>
      <w:r w:rsidRPr="00D024F0">
        <w:rPr>
          <w:rFonts w:ascii="Times New Roman" w:hAnsi="Times New Roman" w:cs="Times New Roman" w:hint="eastAsia"/>
        </w:rPr>
        <w:t xml:space="preserve"> </w:t>
      </w:r>
      <w:r w:rsidRPr="00D024F0">
        <w:rPr>
          <w:rFonts w:ascii="Times New Roman" w:hAnsi="Times New Roman" w:cs="Times New Roman"/>
        </w:rPr>
        <w:t xml:space="preserve">above, such as </w:t>
      </w:r>
      <w:proofErr w:type="spellStart"/>
      <w:r w:rsidRPr="00D024F0">
        <w:rPr>
          <w:rFonts w:ascii="Times New Roman" w:hAnsi="Times New Roman" w:cs="Times New Roman"/>
        </w:rPr>
        <w:t>Gourio</w:t>
      </w:r>
      <w:proofErr w:type="spellEnd"/>
      <w:r w:rsidRPr="00D024F0">
        <w:rPr>
          <w:rFonts w:ascii="Times New Roman" w:hAnsi="Times New Roman" w:cs="Times New Roman"/>
        </w:rPr>
        <w:t xml:space="preserve"> and Ngo (2020), Fang, Liu, and </w:t>
      </w:r>
      <w:proofErr w:type="spellStart"/>
      <w:r w:rsidRPr="00D024F0">
        <w:rPr>
          <w:rFonts w:ascii="Times New Roman" w:hAnsi="Times New Roman" w:cs="Times New Roman"/>
        </w:rPr>
        <w:t>Roussanov</w:t>
      </w:r>
      <w:proofErr w:type="spellEnd"/>
      <w:r w:rsidRPr="00D024F0">
        <w:rPr>
          <w:rFonts w:ascii="Times New Roman" w:hAnsi="Times New Roman" w:cs="Times New Roman"/>
        </w:rPr>
        <w:t xml:space="preserve"> (2022), and Kozak (2022), incorporate</w:t>
      </w:r>
      <w:r w:rsidRPr="00D024F0">
        <w:rPr>
          <w:rFonts w:ascii="Times New Roman" w:hAnsi="Times New Roman" w:cs="Times New Roman" w:hint="eastAsia"/>
        </w:rPr>
        <w:t xml:space="preserve"> </w:t>
      </w:r>
      <w:r w:rsidRPr="00D024F0">
        <w:rPr>
          <w:rFonts w:ascii="Times New Roman" w:hAnsi="Times New Roman" w:cs="Times New Roman"/>
        </w:rPr>
        <w:t>changes in the monetary policy rule. However, the work of Li, Zha, Zhang, and Zhou (2022) is somewhat</w:t>
      </w:r>
      <w:r w:rsidRPr="00D024F0">
        <w:rPr>
          <w:rFonts w:ascii="Times New Roman" w:hAnsi="Times New Roman" w:cs="Times New Roman" w:hint="eastAsia"/>
        </w:rPr>
        <w:t xml:space="preserve"> </w:t>
      </w:r>
      <w:r w:rsidRPr="00D024F0">
        <w:rPr>
          <w:rFonts w:ascii="Times New Roman" w:hAnsi="Times New Roman" w:cs="Times New Roman"/>
        </w:rPr>
        <w:t>unclear, as it also explores changes in policy rules, encompassing both monetary</w:t>
      </w:r>
      <w:r w:rsidRPr="00C62C29">
        <w:rPr>
          <w:rFonts w:ascii="Times New Roman" w:hAnsi="Times New Roman" w:cs="Times New Roman"/>
        </w:rPr>
        <w:t xml:space="preserve"> and fiscal aspects.</w:t>
      </w:r>
      <w:r>
        <w:rPr>
          <w:rFonts w:ascii="Times New Roman" w:hAnsi="Times New Roman" w:cs="Times New Roman" w:hint="eastAsia"/>
        </w:rPr>
        <w:t xml:space="preserve"> </w:t>
      </w:r>
      <w:r w:rsidRPr="00C62C29">
        <w:rPr>
          <w:rFonts w:ascii="Times New Roman" w:hAnsi="Times New Roman" w:cs="Times New Roman"/>
        </w:rPr>
        <w:t xml:space="preserve">The distinction </w:t>
      </w:r>
      <w:r w:rsidRPr="00C62C29">
        <w:rPr>
          <w:rFonts w:ascii="Times New Roman" w:hAnsi="Times New Roman" w:cs="Times New Roman"/>
        </w:rPr>
        <w:lastRenderedPageBreak/>
        <w:t>may lie in the fact that Li, Zha, Zhang, and Zhou (2022) do not consider changes in</w:t>
      </w:r>
      <w:r>
        <w:rPr>
          <w:rFonts w:ascii="Times New Roman" w:hAnsi="Times New Roman" w:cs="Times New Roman" w:hint="eastAsia"/>
        </w:rPr>
        <w:t xml:space="preserve"> </w:t>
      </w:r>
      <w:r w:rsidRPr="00C62C29">
        <w:rPr>
          <w:rFonts w:ascii="Times New Roman" w:hAnsi="Times New Roman" w:cs="Times New Roman"/>
        </w:rPr>
        <w:t>volatility related to structural shocks. Clarifying both the precise contribution of this paper and that</w:t>
      </w:r>
      <w:r>
        <w:rPr>
          <w:rFonts w:ascii="Times New Roman" w:hAnsi="Times New Roman" w:cs="Times New Roman" w:hint="eastAsia"/>
        </w:rPr>
        <w:t xml:space="preserve"> </w:t>
      </w:r>
      <w:r w:rsidRPr="00C62C29">
        <w:rPr>
          <w:rFonts w:ascii="Times New Roman" w:hAnsi="Times New Roman" w:cs="Times New Roman"/>
        </w:rPr>
        <w:t>of others would be beneficial for readers to comprehend its position in the literature.</w:t>
      </w:r>
    </w:p>
    <w:p w14:paraId="3D40ADB7" w14:textId="77777777" w:rsidR="00A94F9C" w:rsidRDefault="00A94F9C" w:rsidP="00A94F9C">
      <w:pPr>
        <w:adjustRightInd w:val="0"/>
        <w:spacing w:after="0" w:line="240" w:lineRule="auto"/>
        <w:rPr>
          <w:rFonts w:ascii="Times New Roman" w:hAnsi="Times New Roman" w:cs="Times New Roman"/>
          <w:b/>
          <w:bCs/>
          <w:color w:val="0000FF"/>
        </w:rPr>
      </w:pPr>
    </w:p>
    <w:p w14:paraId="665C089B" w14:textId="6482767E" w:rsidR="00A94F9C" w:rsidRDefault="00A94F9C" w:rsidP="001C00B9">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I liked your summary a lot and found it very helpful to clarify the current manuscript’s relationship to the literature. The revised manuscript now highlights the papers’ key difference relative to </w:t>
      </w:r>
      <w:r w:rsidR="00D1179F">
        <w:rPr>
          <w:rFonts w:ascii="Times New Roman" w:hAnsi="Times New Roman" w:cs="Times New Roman"/>
          <w:color w:val="0000FF"/>
        </w:rPr>
        <w:t>the key papers you mentioned</w:t>
      </w:r>
      <w:r>
        <w:rPr>
          <w:rFonts w:ascii="Times New Roman" w:hAnsi="Times New Roman" w:cs="Times New Roman"/>
          <w:color w:val="0000FF"/>
        </w:rPr>
        <w:t xml:space="preserve"> at the very beginning of the introduction </w:t>
      </w:r>
      <w:r w:rsidRPr="00C10E55">
        <w:rPr>
          <w:rFonts w:ascii="Times New Roman" w:hAnsi="Times New Roman" w:cs="Times New Roman"/>
          <w:b/>
          <w:bCs/>
          <w:color w:val="0000FF"/>
        </w:rPr>
        <w:t>(</w:t>
      </w:r>
      <w:r>
        <w:rPr>
          <w:rFonts w:ascii="Times New Roman" w:hAnsi="Times New Roman" w:cs="Times New Roman"/>
          <w:b/>
          <w:bCs/>
          <w:color w:val="0000FF"/>
        </w:rPr>
        <w:t xml:space="preserve">see </w:t>
      </w:r>
      <w:r w:rsidRPr="00C10E55">
        <w:rPr>
          <w:rFonts w:ascii="Times New Roman" w:hAnsi="Times New Roman" w:cs="Times New Roman"/>
          <w:b/>
          <w:bCs/>
          <w:color w:val="0000FF"/>
        </w:rPr>
        <w:t>p.1, paragraph starting "</w:t>
      </w:r>
      <w:r w:rsidR="00D1179F" w:rsidRPr="00D1179F">
        <w:rPr>
          <w:rFonts w:ascii="Times New Roman" w:hAnsi="Times New Roman" w:cs="Times New Roman"/>
          <w:b/>
          <w:bCs/>
          <w:color w:val="0000FF"/>
        </w:rPr>
        <w:t>Despite the substantial literature studying bond-stock comovements</w:t>
      </w:r>
      <w:r w:rsidR="00D1179F" w:rsidRPr="00C10E55">
        <w:rPr>
          <w:rFonts w:ascii="Times New Roman" w:hAnsi="Times New Roman" w:cs="Times New Roman"/>
          <w:b/>
          <w:bCs/>
          <w:color w:val="0000FF"/>
        </w:rPr>
        <w:t xml:space="preserve"> </w:t>
      </w:r>
      <w:r w:rsidRPr="00C10E55">
        <w:rPr>
          <w:rFonts w:ascii="Times New Roman" w:hAnsi="Times New Roman" w:cs="Times New Roman"/>
          <w:b/>
          <w:bCs/>
          <w:color w:val="0000FF"/>
        </w:rPr>
        <w:t>(…)”</w:t>
      </w:r>
      <w:r>
        <w:rPr>
          <w:rFonts w:ascii="Times New Roman" w:hAnsi="Times New Roman" w:cs="Times New Roman"/>
          <w:b/>
          <w:bCs/>
          <w:color w:val="0000FF"/>
        </w:rPr>
        <w:t>)</w:t>
      </w:r>
      <w:r w:rsidRPr="00D1179F">
        <w:rPr>
          <w:rFonts w:ascii="Times New Roman" w:hAnsi="Times New Roman" w:cs="Times New Roman"/>
          <w:b/>
          <w:bCs/>
          <w:color w:val="0000FF"/>
        </w:rPr>
        <w:t>.</w:t>
      </w:r>
      <w:r>
        <w:rPr>
          <w:rFonts w:ascii="Times New Roman" w:hAnsi="Times New Roman" w:cs="Times New Roman"/>
          <w:color w:val="0000FF"/>
        </w:rPr>
        <w:t xml:space="preserve"> </w:t>
      </w:r>
    </w:p>
    <w:p w14:paraId="1F6BF4A3" w14:textId="77777777" w:rsidR="00A94F9C" w:rsidRDefault="00A94F9C" w:rsidP="001C00B9">
      <w:pPr>
        <w:adjustRightInd w:val="0"/>
        <w:spacing w:after="0" w:line="240" w:lineRule="auto"/>
        <w:ind w:left="360"/>
        <w:rPr>
          <w:rFonts w:ascii="Times New Roman" w:hAnsi="Times New Roman" w:cs="Times New Roman"/>
          <w:color w:val="0000FF"/>
        </w:rPr>
      </w:pPr>
    </w:p>
    <w:p w14:paraId="4B1FC0DD" w14:textId="04B83067" w:rsidR="00A94F9C" w:rsidRDefault="00A94F9C" w:rsidP="001C00B9">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A </w:t>
      </w:r>
      <w:r w:rsidR="00566033">
        <w:rPr>
          <w:rFonts w:ascii="Times New Roman" w:hAnsi="Times New Roman" w:cs="Times New Roman"/>
          <w:color w:val="0000FF"/>
        </w:rPr>
        <w:t xml:space="preserve">new </w:t>
      </w:r>
      <w:r>
        <w:rPr>
          <w:rFonts w:ascii="Times New Roman" w:hAnsi="Times New Roman" w:cs="Times New Roman"/>
          <w:color w:val="0000FF"/>
        </w:rPr>
        <w:t xml:space="preserve">detailed discussion of how this paper contributes over the broader literature </w:t>
      </w:r>
      <w:r w:rsidR="00CD4E6E">
        <w:rPr>
          <w:rFonts w:ascii="Times New Roman" w:hAnsi="Times New Roman" w:cs="Times New Roman"/>
          <w:color w:val="0000FF"/>
        </w:rPr>
        <w:t xml:space="preserve">on bond-stock betas </w:t>
      </w:r>
      <w:r>
        <w:rPr>
          <w:rFonts w:ascii="Times New Roman" w:hAnsi="Times New Roman" w:cs="Times New Roman"/>
          <w:color w:val="0000FF"/>
        </w:rPr>
        <w:t>is</w:t>
      </w:r>
      <w:r w:rsidR="00566033">
        <w:rPr>
          <w:rFonts w:ascii="Times New Roman" w:hAnsi="Times New Roman" w:cs="Times New Roman"/>
          <w:color w:val="0000FF"/>
        </w:rPr>
        <w:t xml:space="preserve"> </w:t>
      </w:r>
      <w:r>
        <w:rPr>
          <w:rFonts w:ascii="Times New Roman" w:hAnsi="Times New Roman" w:cs="Times New Roman"/>
          <w:color w:val="0000FF"/>
        </w:rPr>
        <w:t>included at the end of the introduction (</w:t>
      </w:r>
      <w:r w:rsidR="00566033" w:rsidRPr="00566033">
        <w:rPr>
          <w:rFonts w:ascii="Times New Roman" w:hAnsi="Times New Roman" w:cs="Times New Roman"/>
          <w:b/>
          <w:bCs/>
          <w:color w:val="0000FF"/>
        </w:rPr>
        <w:t xml:space="preserve">starting at the bottom of p.4 </w:t>
      </w:r>
      <w:r w:rsidRPr="00566033">
        <w:rPr>
          <w:rFonts w:ascii="Times New Roman" w:hAnsi="Times New Roman" w:cs="Times New Roman"/>
          <w:b/>
          <w:bCs/>
          <w:color w:val="0000FF"/>
        </w:rPr>
        <w:t>“</w:t>
      </w:r>
      <w:r w:rsidR="00566033" w:rsidRPr="00566033">
        <w:rPr>
          <w:rFonts w:ascii="Times New Roman" w:hAnsi="Times New Roman" w:cs="Times New Roman"/>
          <w:b/>
          <w:bCs/>
          <w:color w:val="0000FF"/>
        </w:rPr>
        <w:t>This paper contains distinct contributions over the broader literature studying changing bond-stock comovements. (…)”</w:t>
      </w:r>
      <w:r w:rsidR="00566033" w:rsidRPr="00566033">
        <w:rPr>
          <w:rFonts w:ascii="Times New Roman" w:hAnsi="Times New Roman" w:cs="Times New Roman"/>
          <w:color w:val="0000FF"/>
        </w:rPr>
        <w:t xml:space="preserve">) </w:t>
      </w:r>
      <w:r>
        <w:rPr>
          <w:rFonts w:ascii="Times New Roman" w:hAnsi="Times New Roman" w:cs="Times New Roman"/>
          <w:color w:val="0000FF"/>
        </w:rPr>
        <w:t xml:space="preserve">All papers </w:t>
      </w:r>
      <w:r w:rsidR="006E1431">
        <w:rPr>
          <w:rFonts w:ascii="Times New Roman" w:hAnsi="Times New Roman" w:cs="Times New Roman"/>
          <w:color w:val="0000FF"/>
        </w:rPr>
        <w:t xml:space="preserve">mentioned in your report </w:t>
      </w:r>
      <w:r>
        <w:rPr>
          <w:rFonts w:ascii="Times New Roman" w:hAnsi="Times New Roman" w:cs="Times New Roman"/>
          <w:color w:val="0000FF"/>
        </w:rPr>
        <w:t xml:space="preserve">are now described in the text of the introduction, </w:t>
      </w:r>
      <w:proofErr w:type="gramStart"/>
      <w:r>
        <w:rPr>
          <w:rFonts w:ascii="Times New Roman" w:hAnsi="Times New Roman" w:cs="Times New Roman"/>
          <w:color w:val="0000FF"/>
        </w:rPr>
        <w:t>and</w:t>
      </w:r>
      <w:r w:rsidR="00401C8E">
        <w:rPr>
          <w:rFonts w:ascii="Times New Roman" w:hAnsi="Times New Roman" w:cs="Times New Roman"/>
          <w:color w:val="0000FF"/>
        </w:rPr>
        <w:t xml:space="preserve"> </w:t>
      </w:r>
      <w:r w:rsidR="00566033">
        <w:rPr>
          <w:rFonts w:ascii="Times New Roman" w:hAnsi="Times New Roman" w:cs="Times New Roman"/>
          <w:color w:val="0000FF"/>
        </w:rPr>
        <w:t xml:space="preserve"> previous</w:t>
      </w:r>
      <w:proofErr w:type="gramEnd"/>
      <w:r w:rsidR="00566033">
        <w:rPr>
          <w:rFonts w:ascii="Times New Roman" w:hAnsi="Times New Roman" w:cs="Times New Roman"/>
          <w:color w:val="0000FF"/>
        </w:rPr>
        <w:t xml:space="preserve"> footnotes </w:t>
      </w:r>
      <w:r w:rsidR="00D3442E">
        <w:rPr>
          <w:rFonts w:ascii="Times New Roman" w:hAnsi="Times New Roman" w:cs="Times New Roman"/>
          <w:color w:val="0000FF"/>
        </w:rPr>
        <w:t>containing</w:t>
      </w:r>
      <w:r w:rsidR="00566033">
        <w:rPr>
          <w:rFonts w:ascii="Times New Roman" w:hAnsi="Times New Roman" w:cs="Times New Roman"/>
          <w:color w:val="0000FF"/>
        </w:rPr>
        <w:t xml:space="preserve"> these references have been moved to the main text. </w:t>
      </w:r>
    </w:p>
    <w:p w14:paraId="7DC4F2AA" w14:textId="77777777" w:rsidR="006E1431" w:rsidRPr="00C62C29" w:rsidRDefault="006E1431" w:rsidP="00A94F9C">
      <w:pPr>
        <w:adjustRightInd w:val="0"/>
        <w:spacing w:after="0" w:line="240" w:lineRule="auto"/>
        <w:rPr>
          <w:rFonts w:ascii="Times New Roman" w:hAnsi="Times New Roman" w:cs="Times New Roman"/>
        </w:rPr>
      </w:pPr>
    </w:p>
    <w:p w14:paraId="4E24FE85" w14:textId="64B9BD86" w:rsidR="00730FE5" w:rsidRDefault="00730FE5" w:rsidP="00A75284">
      <w:pPr>
        <w:adjustRightInd w:val="0"/>
        <w:spacing w:after="0" w:line="240" w:lineRule="auto"/>
        <w:rPr>
          <w:rFonts w:ascii="Times New Roman" w:hAnsi="Times New Roman" w:cs="Times New Roman"/>
        </w:rPr>
      </w:pPr>
      <w:r w:rsidRPr="00C62C29">
        <w:rPr>
          <w:rFonts w:ascii="Times New Roman" w:hAnsi="Times New Roman" w:cs="Times New Roman"/>
        </w:rPr>
        <w:t>Secondly, while I generally agree with the author’s calibration across two periods, denoted as R1</w:t>
      </w:r>
      <w:r>
        <w:rPr>
          <w:rFonts w:ascii="Times New Roman" w:hAnsi="Times New Roman" w:cs="Times New Roman" w:hint="eastAsia"/>
        </w:rPr>
        <w:t xml:space="preserve"> </w:t>
      </w:r>
      <w:r w:rsidRPr="00C62C29">
        <w:rPr>
          <w:rFonts w:ascii="Times New Roman" w:hAnsi="Times New Roman" w:cs="Times New Roman"/>
        </w:rPr>
        <w:t>and R2 in my report, I recommend that the author provide more discussion regarding the existing</w:t>
      </w:r>
      <w:r>
        <w:rPr>
          <w:rFonts w:ascii="Times New Roman" w:hAnsi="Times New Roman" w:cs="Times New Roman" w:hint="eastAsia"/>
        </w:rPr>
        <w:t xml:space="preserve"> </w:t>
      </w:r>
      <w:r w:rsidRPr="00C62C29">
        <w:rPr>
          <w:rFonts w:ascii="Times New Roman" w:hAnsi="Times New Roman" w:cs="Times New Roman"/>
        </w:rPr>
        <w:t>macro literature on calibration. The author has touched upon this to some extent in footnote 4,</w:t>
      </w:r>
      <w:r>
        <w:rPr>
          <w:rFonts w:ascii="Times New Roman" w:hAnsi="Times New Roman" w:cs="Times New Roman" w:hint="eastAsia"/>
        </w:rPr>
        <w:t xml:space="preserve"> </w:t>
      </w:r>
      <w:r w:rsidRPr="00C62C29">
        <w:rPr>
          <w:rFonts w:ascii="Times New Roman" w:hAnsi="Times New Roman" w:cs="Times New Roman"/>
        </w:rPr>
        <w:t>where she discussed the shift to a more inertial monetary policy rule with greater emphasis on output,</w:t>
      </w:r>
      <w:r>
        <w:rPr>
          <w:rFonts w:ascii="Times New Roman" w:hAnsi="Times New Roman" w:cs="Times New Roman" w:hint="eastAsia"/>
        </w:rPr>
        <w:t xml:space="preserve"> </w:t>
      </w:r>
      <w:r w:rsidRPr="00C62C29">
        <w:rPr>
          <w:rFonts w:ascii="Times New Roman" w:hAnsi="Times New Roman" w:cs="Times New Roman"/>
        </w:rPr>
        <w:t>aligning with anecdotal evidence. However, the part concerning dominant supply shocks in the 80s</w:t>
      </w:r>
      <w:r>
        <w:rPr>
          <w:rFonts w:ascii="Times New Roman" w:hAnsi="Times New Roman" w:cs="Times New Roman" w:hint="eastAsia"/>
        </w:rPr>
        <w:t xml:space="preserve"> </w:t>
      </w:r>
      <w:r w:rsidRPr="00C62C29">
        <w:rPr>
          <w:rFonts w:ascii="Times New Roman" w:hAnsi="Times New Roman" w:cs="Times New Roman"/>
        </w:rPr>
        <w:t xml:space="preserve">versus demand shocks in the 00s may warrant further discussion. </w:t>
      </w:r>
      <w:proofErr w:type="gramStart"/>
      <w:r w:rsidRPr="00C62C29">
        <w:rPr>
          <w:rFonts w:ascii="Times New Roman" w:hAnsi="Times New Roman" w:cs="Times New Roman"/>
        </w:rPr>
        <w:t>In particular, Table</w:t>
      </w:r>
      <w:proofErr w:type="gramEnd"/>
      <w:r w:rsidRPr="00C62C29">
        <w:rPr>
          <w:rFonts w:ascii="Times New Roman" w:hAnsi="Times New Roman" w:cs="Times New Roman"/>
        </w:rPr>
        <w:t xml:space="preserve"> 1 highlights a</w:t>
      </w:r>
      <w:r>
        <w:rPr>
          <w:rFonts w:ascii="Times New Roman" w:hAnsi="Times New Roman" w:cs="Times New Roman" w:hint="eastAsia"/>
        </w:rPr>
        <w:t xml:space="preserve"> </w:t>
      </w:r>
      <w:r w:rsidRPr="00C62C29">
        <w:rPr>
          <w:rFonts w:ascii="Times New Roman" w:hAnsi="Times New Roman" w:cs="Times New Roman"/>
        </w:rPr>
        <w:t xml:space="preserve">substantial difference in the </w:t>
      </w:r>
      <w:r w:rsidRPr="00A43011">
        <w:rPr>
          <w:rFonts w:ascii="Times New Roman" w:hAnsi="Times New Roman" w:cs="Times New Roman"/>
        </w:rPr>
        <w:t xml:space="preserve">magnitudes of volatilities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oMath>
      <w:r w:rsidRPr="00A43011">
        <w:rPr>
          <w:rFonts w:ascii="Times New Roman" w:hAnsi="Times New Roman" w:cs="Times New Roman"/>
        </w:rPr>
        <w:t xml:space="preserve"> for </w:t>
      </w:r>
      <m:oMath>
        <m:r>
          <w:rPr>
            <w:rFonts w:ascii="Cambria Math" w:hAnsi="Cambria Math" w:cs="Times New Roman"/>
          </w:rPr>
          <m:t xml:space="preserve">j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x,</m:t>
        </m:r>
        <m:r>
          <m:rPr>
            <m:sty m:val="p"/>
          </m:rPr>
          <w:rPr>
            <w:rFonts w:ascii="Cambria Math" w:hAnsi="Cambria Math" w:cs="Times New Roman"/>
          </w:rPr>
          <m:t>π</m:t>
        </m:r>
        <m:r>
          <w:rPr>
            <w:rFonts w:ascii="Cambria Math" w:hAnsi="Cambria Math" w:cs="Times New Roman"/>
          </w:rPr>
          <m:t>, i</m:t>
        </m:r>
        <m:r>
          <m:rPr>
            <m:lit/>
          </m:rPr>
          <w:rPr>
            <w:rFonts w:ascii="Cambria Math" w:hAnsi="Cambria Math" w:cs="Times New Roman"/>
          </w:rPr>
          <m:t>}</m:t>
        </m:r>
      </m:oMath>
      <w:r w:rsidRPr="00A43011">
        <w:rPr>
          <w:rFonts w:ascii="Times New Roman" w:hAnsi="Times New Roman" w:cs="Times New Roman" w:hint="eastAsia"/>
        </w:rPr>
        <w:t xml:space="preserve"> </w:t>
      </w:r>
      <w:r w:rsidRPr="00A43011">
        <w:rPr>
          <w:rFonts w:ascii="Times New Roman" w:hAnsi="Times New Roman" w:cs="Times New Roman"/>
        </w:rPr>
        <w:t>across the two periods. Two</w:t>
      </w:r>
      <w:r w:rsidRPr="00A43011">
        <w:rPr>
          <w:rFonts w:ascii="Times New Roman" w:hAnsi="Times New Roman" w:cs="Times New Roman" w:hint="eastAsia"/>
        </w:rPr>
        <w:t xml:space="preserve"> </w:t>
      </w:r>
      <w:r w:rsidRPr="00A43011">
        <w:rPr>
          <w:rFonts w:ascii="Times New Roman" w:hAnsi="Times New Roman" w:cs="Times New Roman"/>
        </w:rPr>
        <w:t xml:space="preserve">notable references, Liu, Waggoner, and Zha (2011) and Bianchi and </w:t>
      </w:r>
      <w:proofErr w:type="spellStart"/>
      <w:r w:rsidRPr="00A43011">
        <w:rPr>
          <w:rFonts w:ascii="Times New Roman" w:hAnsi="Times New Roman" w:cs="Times New Roman"/>
        </w:rPr>
        <w:t>Ilut</w:t>
      </w:r>
      <w:proofErr w:type="spellEnd"/>
      <w:r w:rsidRPr="00A43011">
        <w:rPr>
          <w:rFonts w:ascii="Times New Roman" w:hAnsi="Times New Roman" w:cs="Times New Roman"/>
        </w:rPr>
        <w:t xml:space="preserve"> (2017), offer diverse volatility</w:t>
      </w:r>
      <w:r w:rsidRPr="00A43011">
        <w:rPr>
          <w:rFonts w:ascii="Times New Roman" w:hAnsi="Times New Roman" w:cs="Times New Roman" w:hint="eastAsia"/>
        </w:rPr>
        <w:t xml:space="preserve"> </w:t>
      </w:r>
      <w:r w:rsidRPr="00A43011">
        <w:rPr>
          <w:rFonts w:ascii="Times New Roman" w:hAnsi="Times New Roman" w:cs="Times New Roman"/>
        </w:rPr>
        <w:t>estimates within regime-switching New Keynesian models, both of which are highly cited. However,</w:t>
      </w:r>
      <w:r w:rsidRPr="00A43011">
        <w:rPr>
          <w:rFonts w:ascii="Times New Roman" w:hAnsi="Times New Roman" w:cs="Times New Roman" w:hint="eastAsia"/>
        </w:rPr>
        <w:t xml:space="preserve"> </w:t>
      </w:r>
      <w:r w:rsidRPr="00A43011">
        <w:rPr>
          <w:rFonts w:ascii="Times New Roman" w:hAnsi="Times New Roman" w:cs="Times New Roman"/>
        </w:rPr>
        <w:t>given the intricacies of their respective frameworks, which incorporate</w:t>
      </w:r>
      <w:r w:rsidRPr="00166411">
        <w:rPr>
          <w:rFonts w:ascii="Times New Roman" w:hAnsi="Times New Roman" w:cs="Times New Roman"/>
        </w:rPr>
        <w:t xml:space="preserve"> a broader array of structural</w:t>
      </w:r>
      <w:r w:rsidRPr="00166411">
        <w:rPr>
          <w:rFonts w:ascii="Times New Roman" w:hAnsi="Times New Roman" w:cs="Times New Roman" w:hint="eastAsia"/>
        </w:rPr>
        <w:t xml:space="preserve"> </w:t>
      </w:r>
      <w:r w:rsidRPr="00166411">
        <w:rPr>
          <w:rFonts w:ascii="Times New Roman" w:hAnsi="Times New Roman" w:cs="Times New Roman"/>
        </w:rPr>
        <w:t xml:space="preserve">shocks, direct comparisons may be challenging. </w:t>
      </w:r>
      <w:proofErr w:type="gramStart"/>
      <w:r w:rsidRPr="00166411">
        <w:rPr>
          <w:rFonts w:ascii="Times New Roman" w:hAnsi="Times New Roman" w:cs="Times New Roman"/>
        </w:rPr>
        <w:t>In light of</w:t>
      </w:r>
      <w:proofErr w:type="gramEnd"/>
      <w:r w:rsidRPr="00166411">
        <w:rPr>
          <w:rFonts w:ascii="Times New Roman" w:hAnsi="Times New Roman" w:cs="Times New Roman"/>
        </w:rPr>
        <w:t xml:space="preserve"> this complexity, it becomes imperative</w:t>
      </w:r>
      <w:r w:rsidRPr="00166411">
        <w:rPr>
          <w:rFonts w:ascii="Times New Roman" w:hAnsi="Times New Roman" w:cs="Times New Roman" w:hint="eastAsia"/>
        </w:rPr>
        <w:t xml:space="preserve"> </w:t>
      </w:r>
      <w:r w:rsidRPr="00166411">
        <w:rPr>
          <w:rFonts w:ascii="Times New Roman" w:hAnsi="Times New Roman" w:cs="Times New Roman"/>
        </w:rPr>
        <w:t>for the reader to discern whether the current paper’s calibration, particularly on (P1), aligns broadly</w:t>
      </w:r>
      <w:r w:rsidRPr="00166411">
        <w:rPr>
          <w:rFonts w:ascii="Times New Roman" w:hAnsi="Times New Roman" w:cs="Times New Roman" w:hint="eastAsia"/>
        </w:rPr>
        <w:t xml:space="preserve"> </w:t>
      </w:r>
      <w:r w:rsidRPr="00166411">
        <w:rPr>
          <w:rFonts w:ascii="Times New Roman" w:hAnsi="Times New Roman" w:cs="Times New Roman"/>
        </w:rPr>
        <w:t>with the trends observed in the macro DSGE literature. Should disparities arise, elucidating</w:t>
      </w:r>
      <w:r w:rsidRPr="00C62C29">
        <w:rPr>
          <w:rFonts w:ascii="Times New Roman" w:hAnsi="Times New Roman" w:cs="Times New Roman"/>
        </w:rPr>
        <w:t xml:space="preserve"> the</w:t>
      </w:r>
      <w:r>
        <w:rPr>
          <w:rFonts w:ascii="Times New Roman" w:hAnsi="Times New Roman" w:cs="Times New Roman" w:hint="eastAsia"/>
        </w:rPr>
        <w:t xml:space="preserve"> </w:t>
      </w:r>
      <w:r w:rsidRPr="00C62C29">
        <w:rPr>
          <w:rFonts w:ascii="Times New Roman" w:hAnsi="Times New Roman" w:cs="Times New Roman"/>
        </w:rPr>
        <w:t>rationale behind such deviations becomes essential. This clarity is paramount, especially considering</w:t>
      </w:r>
      <w:r>
        <w:rPr>
          <w:rFonts w:ascii="Times New Roman" w:hAnsi="Times New Roman" w:cs="Times New Roman" w:hint="eastAsia"/>
        </w:rPr>
        <w:t xml:space="preserve"> </w:t>
      </w:r>
      <w:r w:rsidRPr="00C62C29">
        <w:rPr>
          <w:rFonts w:ascii="Times New Roman" w:hAnsi="Times New Roman" w:cs="Times New Roman"/>
        </w:rPr>
        <w:t>that subsequent counterfactual analyses pivot critically on the calibration values delineated in Table 1.</w:t>
      </w:r>
    </w:p>
    <w:p w14:paraId="261D2DEB" w14:textId="77777777" w:rsidR="001C00B9" w:rsidRDefault="001C00B9" w:rsidP="00A75284">
      <w:pPr>
        <w:adjustRightInd w:val="0"/>
        <w:spacing w:after="0" w:line="240" w:lineRule="auto"/>
        <w:rPr>
          <w:rFonts w:ascii="Times New Roman" w:hAnsi="Times New Roman" w:cs="Times New Roman"/>
        </w:rPr>
      </w:pPr>
    </w:p>
    <w:p w14:paraId="525EACED" w14:textId="6ACFDA0C" w:rsidR="00D40AFE" w:rsidRDefault="001C00B9" w:rsidP="00D40AFE">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w:t>
      </w:r>
      <w:r w:rsidR="00D40AFE">
        <w:rPr>
          <w:rFonts w:ascii="Times New Roman" w:hAnsi="Times New Roman" w:cs="Times New Roman"/>
          <w:color w:val="0000FF"/>
        </w:rPr>
        <w:t>Thank you for this helpful comment. I added a detailed discussion of the shock volatility calibrations</w:t>
      </w:r>
      <w:r w:rsidR="006B15A0">
        <w:rPr>
          <w:rFonts w:ascii="Times New Roman" w:hAnsi="Times New Roman" w:cs="Times New Roman"/>
          <w:color w:val="0000FF"/>
        </w:rPr>
        <w:t xml:space="preserve"> and their relationship to the DSGE literature with regime switches</w:t>
      </w:r>
      <w:r w:rsidR="008742AB">
        <w:rPr>
          <w:rFonts w:ascii="Times New Roman" w:hAnsi="Times New Roman" w:cs="Times New Roman"/>
          <w:color w:val="0000FF"/>
        </w:rPr>
        <w:t xml:space="preserve"> to the revised manuscript</w:t>
      </w:r>
      <w:r w:rsidR="006B15A0">
        <w:rPr>
          <w:rFonts w:ascii="Times New Roman" w:hAnsi="Times New Roman" w:cs="Times New Roman"/>
          <w:color w:val="0000FF"/>
        </w:rPr>
        <w:t xml:space="preserve">. </w:t>
      </w:r>
    </w:p>
    <w:p w14:paraId="0063DCEA" w14:textId="77777777" w:rsidR="00D40AFE" w:rsidRDefault="00D40AFE" w:rsidP="00D40AFE">
      <w:pPr>
        <w:adjustRightInd w:val="0"/>
        <w:spacing w:after="0" w:line="240" w:lineRule="auto"/>
        <w:ind w:left="360"/>
        <w:rPr>
          <w:rFonts w:ascii="Times New Roman" w:hAnsi="Times New Roman" w:cs="Times New Roman"/>
          <w:color w:val="0000FF"/>
        </w:rPr>
      </w:pPr>
    </w:p>
    <w:p w14:paraId="0B9499C0" w14:textId="77777777" w:rsidR="006B15A0" w:rsidRDefault="00D40AFE" w:rsidP="00D40AFE">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Liu, Waggoner and Zha (2011) and Bianchi and </w:t>
      </w:r>
      <w:proofErr w:type="spellStart"/>
      <w:r>
        <w:rPr>
          <w:rFonts w:ascii="Times New Roman" w:hAnsi="Times New Roman" w:cs="Times New Roman"/>
          <w:color w:val="0000FF"/>
        </w:rPr>
        <w:t>Ilut</w:t>
      </w:r>
      <w:proofErr w:type="spellEnd"/>
      <w:r>
        <w:rPr>
          <w:rFonts w:ascii="Times New Roman" w:hAnsi="Times New Roman" w:cs="Times New Roman"/>
          <w:color w:val="0000FF"/>
        </w:rPr>
        <w:t xml:space="preserve"> (2017) </w:t>
      </w:r>
      <w:r w:rsidR="0042698B">
        <w:rPr>
          <w:rFonts w:ascii="Times New Roman" w:hAnsi="Times New Roman" w:cs="Times New Roman"/>
          <w:color w:val="0000FF"/>
        </w:rPr>
        <w:t>both rely on</w:t>
      </w:r>
      <w:r w:rsidR="008661BE">
        <w:rPr>
          <w:rFonts w:ascii="Times New Roman" w:hAnsi="Times New Roman" w:cs="Times New Roman"/>
          <w:color w:val="0000FF"/>
        </w:rPr>
        <w:t xml:space="preserve"> sample</w:t>
      </w:r>
      <w:r w:rsidR="0042698B">
        <w:rPr>
          <w:rFonts w:ascii="Times New Roman" w:hAnsi="Times New Roman" w:cs="Times New Roman"/>
          <w:color w:val="0000FF"/>
        </w:rPr>
        <w:t>s</w:t>
      </w:r>
      <w:r w:rsidR="008661BE">
        <w:rPr>
          <w:rFonts w:ascii="Times New Roman" w:hAnsi="Times New Roman" w:cs="Times New Roman"/>
          <w:color w:val="0000FF"/>
        </w:rPr>
        <w:t xml:space="preserve"> that start significantly earlier and end earlier than </w:t>
      </w:r>
      <w:r w:rsidR="0042698B">
        <w:rPr>
          <w:rFonts w:ascii="Times New Roman" w:hAnsi="Times New Roman" w:cs="Times New Roman"/>
          <w:color w:val="0000FF"/>
        </w:rPr>
        <w:t>the one in this paper, and allow only for two different volatility regimes</w:t>
      </w:r>
      <w:r w:rsidR="00684F25">
        <w:rPr>
          <w:rFonts w:ascii="Times New Roman" w:hAnsi="Times New Roman" w:cs="Times New Roman"/>
          <w:color w:val="0000FF"/>
        </w:rPr>
        <w:t xml:space="preserve">. As a result, they </w:t>
      </w:r>
      <w:r w:rsidR="0042698B">
        <w:rPr>
          <w:rFonts w:ascii="Times New Roman" w:hAnsi="Times New Roman" w:cs="Times New Roman"/>
          <w:color w:val="0000FF"/>
        </w:rPr>
        <w:t xml:space="preserve">naturally </w:t>
      </w:r>
      <w:r w:rsidR="00684F25">
        <w:rPr>
          <w:rFonts w:ascii="Times New Roman" w:hAnsi="Times New Roman" w:cs="Times New Roman"/>
          <w:color w:val="0000FF"/>
        </w:rPr>
        <w:t xml:space="preserve">detect one switch in shock volatilities around </w:t>
      </w:r>
      <w:r w:rsidR="00294589">
        <w:rPr>
          <w:rFonts w:ascii="Times New Roman" w:hAnsi="Times New Roman" w:cs="Times New Roman"/>
          <w:color w:val="0000FF"/>
        </w:rPr>
        <w:t xml:space="preserve">or shortly after 1980, </w:t>
      </w:r>
      <w:r w:rsidR="00DD21D5">
        <w:rPr>
          <w:rFonts w:ascii="Times New Roman" w:hAnsi="Times New Roman" w:cs="Times New Roman"/>
          <w:color w:val="0000FF"/>
        </w:rPr>
        <w:t>characterized by a roughly proportional decline in the volatilities of all shocks</w:t>
      </w:r>
      <w:r w:rsidR="0042698B">
        <w:rPr>
          <w:rFonts w:ascii="Times New Roman" w:hAnsi="Times New Roman" w:cs="Times New Roman"/>
          <w:color w:val="0000FF"/>
        </w:rPr>
        <w:t>. My sample starts roughly at the time of th</w:t>
      </w:r>
      <w:r w:rsidR="00684F25">
        <w:rPr>
          <w:rFonts w:ascii="Times New Roman" w:hAnsi="Times New Roman" w:cs="Times New Roman"/>
          <w:color w:val="0000FF"/>
        </w:rPr>
        <w:t>eir</w:t>
      </w:r>
      <w:r w:rsidR="0042698B">
        <w:rPr>
          <w:rFonts w:ascii="Times New Roman" w:hAnsi="Times New Roman" w:cs="Times New Roman"/>
          <w:color w:val="0000FF"/>
        </w:rPr>
        <w:t xml:space="preserve"> </w:t>
      </w:r>
      <w:r w:rsidR="00684F25">
        <w:rPr>
          <w:rFonts w:ascii="Times New Roman" w:hAnsi="Times New Roman" w:cs="Times New Roman"/>
          <w:color w:val="0000FF"/>
        </w:rPr>
        <w:t>switch in volatilities</w:t>
      </w:r>
      <w:r w:rsidR="0042698B">
        <w:rPr>
          <w:rFonts w:ascii="Times New Roman" w:hAnsi="Times New Roman" w:cs="Times New Roman"/>
          <w:color w:val="0000FF"/>
        </w:rPr>
        <w:t xml:space="preserve">. I </w:t>
      </w:r>
      <w:r w:rsidR="00684F25">
        <w:rPr>
          <w:rFonts w:ascii="Times New Roman" w:hAnsi="Times New Roman" w:cs="Times New Roman"/>
          <w:color w:val="0000FF"/>
        </w:rPr>
        <w:t xml:space="preserve">therefore </w:t>
      </w:r>
      <w:r w:rsidR="0042698B">
        <w:rPr>
          <w:rFonts w:ascii="Times New Roman" w:hAnsi="Times New Roman" w:cs="Times New Roman"/>
          <w:color w:val="0000FF"/>
        </w:rPr>
        <w:t xml:space="preserve">cannot detect the shift from high volatility to low volatility that they </w:t>
      </w:r>
      <w:r w:rsidR="006C295A">
        <w:rPr>
          <w:rFonts w:ascii="Times New Roman" w:hAnsi="Times New Roman" w:cs="Times New Roman"/>
          <w:color w:val="0000FF"/>
        </w:rPr>
        <w:t>focus on</w:t>
      </w:r>
      <w:r w:rsidR="0042698B">
        <w:rPr>
          <w:rFonts w:ascii="Times New Roman" w:hAnsi="Times New Roman" w:cs="Times New Roman"/>
          <w:color w:val="0000FF"/>
        </w:rPr>
        <w:t xml:space="preserve">. </w:t>
      </w:r>
      <w:r w:rsidR="006C295A">
        <w:rPr>
          <w:rFonts w:ascii="Times New Roman" w:hAnsi="Times New Roman" w:cs="Times New Roman"/>
          <w:color w:val="0000FF"/>
        </w:rPr>
        <w:t>I use a break around 2000 and estimate a shift in the relative volatilities of supply-type v. demand-type shocks</w:t>
      </w:r>
      <w:r w:rsidR="009445BB">
        <w:rPr>
          <w:rFonts w:ascii="Times New Roman" w:hAnsi="Times New Roman" w:cs="Times New Roman"/>
          <w:color w:val="0000FF"/>
        </w:rPr>
        <w:t xml:space="preserve">. This </w:t>
      </w:r>
      <w:r w:rsidR="006B15A0">
        <w:rPr>
          <w:rFonts w:ascii="Times New Roman" w:hAnsi="Times New Roman" w:cs="Times New Roman"/>
          <w:color w:val="0000FF"/>
        </w:rPr>
        <w:t xml:space="preserve">break date is supported by the </w:t>
      </w:r>
      <w:r w:rsidR="006C295A">
        <w:rPr>
          <w:rFonts w:ascii="Times New Roman" w:hAnsi="Times New Roman" w:cs="Times New Roman"/>
          <w:color w:val="0000FF"/>
        </w:rPr>
        <w:t>more reduced-form approach to regime switches of Sims and Zha (2006) and the monetary policy model with term premia of Bianchi, Lettau, and Ludvigson (2022)</w:t>
      </w:r>
      <w:r w:rsidR="009445BB">
        <w:rPr>
          <w:rFonts w:ascii="Times New Roman" w:hAnsi="Times New Roman" w:cs="Times New Roman"/>
          <w:color w:val="0000FF"/>
        </w:rPr>
        <w:t>, who also detect switches around 2000</w:t>
      </w:r>
      <w:r w:rsidR="006C295A">
        <w:rPr>
          <w:rFonts w:ascii="Times New Roman" w:hAnsi="Times New Roman" w:cs="Times New Roman"/>
          <w:color w:val="0000FF"/>
        </w:rPr>
        <w:t xml:space="preserve">.  </w:t>
      </w:r>
    </w:p>
    <w:p w14:paraId="51256B10" w14:textId="77777777" w:rsidR="006B15A0" w:rsidRDefault="006B15A0" w:rsidP="00D40AFE">
      <w:pPr>
        <w:adjustRightInd w:val="0"/>
        <w:spacing w:after="0" w:line="240" w:lineRule="auto"/>
        <w:ind w:left="360"/>
        <w:rPr>
          <w:rFonts w:ascii="Times New Roman" w:hAnsi="Times New Roman" w:cs="Times New Roman"/>
          <w:color w:val="0000FF"/>
        </w:rPr>
      </w:pPr>
    </w:p>
    <w:p w14:paraId="4C11B700" w14:textId="6B3C29D5" w:rsidR="00434C5E" w:rsidRDefault="00FD0098" w:rsidP="005560B4">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In addition,</w:t>
      </w:r>
      <w:r w:rsidR="006B15A0">
        <w:rPr>
          <w:rFonts w:ascii="Times New Roman" w:hAnsi="Times New Roman" w:cs="Times New Roman"/>
          <w:color w:val="0000FF"/>
        </w:rPr>
        <w:t xml:space="preserve"> a common shift in all volatilities would leave regression coefficients, such as the target moments depicted in Figure 2, unchanged, so my calibration procedure naturally </w:t>
      </w:r>
      <w:r w:rsidR="003D54B5">
        <w:rPr>
          <w:rFonts w:ascii="Times New Roman" w:hAnsi="Times New Roman" w:cs="Times New Roman"/>
          <w:color w:val="0000FF"/>
        </w:rPr>
        <w:t>is more sensitive to</w:t>
      </w:r>
      <w:r w:rsidR="006B15A0">
        <w:rPr>
          <w:rFonts w:ascii="Times New Roman" w:hAnsi="Times New Roman" w:cs="Times New Roman"/>
          <w:color w:val="0000FF"/>
        </w:rPr>
        <w:t xml:space="preserve"> </w:t>
      </w:r>
      <w:r w:rsidR="006B15A0">
        <w:rPr>
          <w:rFonts w:ascii="Times New Roman" w:hAnsi="Times New Roman" w:cs="Times New Roman"/>
          <w:color w:val="0000FF"/>
        </w:rPr>
        <w:lastRenderedPageBreak/>
        <w:t xml:space="preserve">relative shifts in </w:t>
      </w:r>
      <w:r w:rsidR="003D54B5">
        <w:rPr>
          <w:rFonts w:ascii="Times New Roman" w:hAnsi="Times New Roman" w:cs="Times New Roman"/>
          <w:color w:val="0000FF"/>
        </w:rPr>
        <w:t xml:space="preserve">the volatilities of shocks. </w:t>
      </w:r>
      <w:r w:rsidR="0042698B">
        <w:rPr>
          <w:rFonts w:ascii="Times New Roman" w:hAnsi="Times New Roman" w:cs="Times New Roman"/>
          <w:color w:val="0000FF"/>
        </w:rPr>
        <w:t>The overall volatilit</w:t>
      </w:r>
      <w:r w:rsidR="003C7A80">
        <w:rPr>
          <w:rFonts w:ascii="Times New Roman" w:hAnsi="Times New Roman" w:cs="Times New Roman"/>
          <w:color w:val="0000FF"/>
        </w:rPr>
        <w:t>y</w:t>
      </w:r>
      <w:r w:rsidR="0042698B">
        <w:rPr>
          <w:rFonts w:ascii="Times New Roman" w:hAnsi="Times New Roman" w:cs="Times New Roman"/>
          <w:color w:val="0000FF"/>
        </w:rPr>
        <w:t xml:space="preserve"> of shocks is identified in my calibration </w:t>
      </w:r>
      <w:r w:rsidR="0070572D">
        <w:rPr>
          <w:rFonts w:ascii="Times New Roman" w:hAnsi="Times New Roman" w:cs="Times New Roman"/>
          <w:color w:val="0000FF"/>
        </w:rPr>
        <w:t xml:space="preserve">from </w:t>
      </w:r>
      <w:r w:rsidR="0042698B">
        <w:rPr>
          <w:rFonts w:ascii="Times New Roman" w:hAnsi="Times New Roman" w:cs="Times New Roman"/>
          <w:color w:val="0000FF"/>
        </w:rPr>
        <w:t xml:space="preserve">the macroeconomic volatilities in the bottom panel of Table 3, but </w:t>
      </w:r>
      <w:r w:rsidR="004800D7">
        <w:rPr>
          <w:rFonts w:ascii="Times New Roman" w:hAnsi="Times New Roman" w:cs="Times New Roman"/>
          <w:color w:val="0000FF"/>
        </w:rPr>
        <w:t xml:space="preserve">it </w:t>
      </w:r>
      <w:r w:rsidR="0070572D">
        <w:rPr>
          <w:rFonts w:ascii="Times New Roman" w:hAnsi="Times New Roman" w:cs="Times New Roman"/>
          <w:color w:val="0000FF"/>
        </w:rPr>
        <w:t>is less central to the question studied here than in</w:t>
      </w:r>
      <w:r w:rsidR="005240CC">
        <w:rPr>
          <w:rFonts w:ascii="Times New Roman" w:hAnsi="Times New Roman" w:cs="Times New Roman"/>
          <w:color w:val="0000FF"/>
        </w:rPr>
        <w:t xml:space="preserve"> the </w:t>
      </w:r>
      <w:r w:rsidR="006C295A">
        <w:rPr>
          <w:rFonts w:ascii="Times New Roman" w:hAnsi="Times New Roman" w:cs="Times New Roman"/>
          <w:color w:val="0000FF"/>
        </w:rPr>
        <w:t>macroeconomics literature on regime switches.</w:t>
      </w:r>
      <w:r w:rsidR="00D40AFE">
        <w:rPr>
          <w:rFonts w:ascii="Times New Roman" w:hAnsi="Times New Roman" w:cs="Times New Roman"/>
          <w:color w:val="0000FF"/>
        </w:rPr>
        <w:t xml:space="preserve"> </w:t>
      </w:r>
      <w:r w:rsidR="00113AF3">
        <w:rPr>
          <w:rFonts w:ascii="Times New Roman" w:hAnsi="Times New Roman" w:cs="Times New Roman"/>
          <w:color w:val="0000FF"/>
        </w:rPr>
        <w:t xml:space="preserve">The revised manuscript clarifies the relationship to Liu, Waggoner, and Zha (2011) and Bianchi and </w:t>
      </w:r>
      <w:proofErr w:type="spellStart"/>
      <w:r w:rsidR="00113AF3">
        <w:rPr>
          <w:rFonts w:ascii="Times New Roman" w:hAnsi="Times New Roman" w:cs="Times New Roman"/>
          <w:color w:val="0000FF"/>
        </w:rPr>
        <w:t>Ilut</w:t>
      </w:r>
      <w:proofErr w:type="spellEnd"/>
      <w:r w:rsidR="00113AF3">
        <w:rPr>
          <w:rFonts w:ascii="Times New Roman" w:hAnsi="Times New Roman" w:cs="Times New Roman"/>
          <w:color w:val="0000FF"/>
        </w:rPr>
        <w:t xml:space="preserve"> (2017) in the introduction (</w:t>
      </w:r>
      <w:r w:rsidR="00113AF3" w:rsidRPr="00113AF3">
        <w:rPr>
          <w:rFonts w:ascii="Times New Roman" w:hAnsi="Times New Roman" w:cs="Times New Roman"/>
          <w:b/>
          <w:bCs/>
          <w:color w:val="0000FF"/>
        </w:rPr>
        <w:t>p.</w:t>
      </w:r>
      <w:r w:rsidR="004800D7">
        <w:rPr>
          <w:rFonts w:ascii="Times New Roman" w:hAnsi="Times New Roman" w:cs="Times New Roman"/>
          <w:b/>
          <w:bCs/>
          <w:color w:val="0000FF"/>
        </w:rPr>
        <w:t>6</w:t>
      </w:r>
      <w:r w:rsidR="00113AF3" w:rsidRPr="00113AF3">
        <w:rPr>
          <w:rFonts w:ascii="Times New Roman" w:hAnsi="Times New Roman" w:cs="Times New Roman"/>
          <w:b/>
          <w:bCs/>
          <w:color w:val="0000FF"/>
        </w:rPr>
        <w:t xml:space="preserve"> “</w:t>
      </w:r>
      <w:r w:rsidR="004800D7">
        <w:rPr>
          <w:rFonts w:ascii="Times New Roman" w:hAnsi="Times New Roman" w:cs="Times New Roman"/>
          <w:b/>
          <w:bCs/>
          <w:color w:val="0000FF"/>
        </w:rPr>
        <w:t>This paper is also complementary to a long-standing literature on DSGE models with regime switches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 xml:space="preserve">) </w:t>
      </w:r>
      <w:r w:rsidR="00113AF3">
        <w:rPr>
          <w:rFonts w:ascii="Times New Roman" w:hAnsi="Times New Roman" w:cs="Times New Roman"/>
          <w:color w:val="0000FF"/>
        </w:rPr>
        <w:t>and in the calibration section (</w:t>
      </w:r>
      <w:r w:rsidR="00113AF3" w:rsidRPr="00113AF3">
        <w:rPr>
          <w:rFonts w:ascii="Times New Roman" w:hAnsi="Times New Roman" w:cs="Times New Roman"/>
          <w:b/>
          <w:bCs/>
          <w:color w:val="0000FF"/>
        </w:rPr>
        <w:t>p.21, paragraph starting “</w:t>
      </w:r>
      <w:r w:rsidR="00AF5E68">
        <w:rPr>
          <w:rFonts w:ascii="Times New Roman" w:hAnsi="Times New Roman" w:cs="Times New Roman"/>
          <w:b/>
          <w:bCs/>
          <w:color w:val="0000FF"/>
        </w:rPr>
        <w:t>The change in the shock volatilities in Table 1 is consistent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w:t>
      </w:r>
      <w:r w:rsidR="00113AF3">
        <w:t xml:space="preserve"> </w:t>
      </w:r>
      <w:r w:rsidR="00113AF3">
        <w:rPr>
          <w:rFonts w:ascii="Times New Roman" w:hAnsi="Times New Roman" w:cs="Times New Roman"/>
          <w:color w:val="0000FF"/>
        </w:rPr>
        <w:t xml:space="preserve"> </w:t>
      </w:r>
    </w:p>
    <w:p w14:paraId="3946A139" w14:textId="77777777" w:rsidR="005560B4" w:rsidRDefault="005560B4" w:rsidP="005560B4">
      <w:pPr>
        <w:adjustRightInd w:val="0"/>
        <w:spacing w:after="0" w:line="240" w:lineRule="auto"/>
        <w:ind w:left="360"/>
        <w:rPr>
          <w:rFonts w:ascii="Times New Roman" w:hAnsi="Times New Roman" w:cs="Times New Roman"/>
          <w:color w:val="0000FF"/>
        </w:rPr>
      </w:pPr>
    </w:p>
    <w:p w14:paraId="59CE9804" w14:textId="29B51683" w:rsidR="005560B4" w:rsidRDefault="002C148B" w:rsidP="005560B4">
      <w:pPr>
        <w:adjustRightInd w:val="0"/>
        <w:spacing w:after="0" w:line="240" w:lineRule="auto"/>
        <w:ind w:left="360"/>
        <w:rPr>
          <w:rFonts w:ascii="Times New Roman" w:hAnsi="Times New Roman" w:cs="Times New Roman"/>
          <w:b/>
          <w:bCs/>
          <w:color w:val="0000FF"/>
        </w:rPr>
      </w:pPr>
      <w:r>
        <w:rPr>
          <w:rFonts w:ascii="Times New Roman" w:hAnsi="Times New Roman" w:cs="Times New Roman"/>
          <w:color w:val="0000FF"/>
        </w:rPr>
        <w:t xml:space="preserve">To further support the </w:t>
      </w:r>
      <w:r w:rsidR="005560B4">
        <w:rPr>
          <w:rFonts w:ascii="Times New Roman" w:hAnsi="Times New Roman" w:cs="Times New Roman"/>
          <w:color w:val="0000FF"/>
        </w:rPr>
        <w:t xml:space="preserve">high </w:t>
      </w:r>
      <w:r>
        <w:rPr>
          <w:rFonts w:ascii="Times New Roman" w:hAnsi="Times New Roman" w:cs="Times New Roman"/>
          <w:color w:val="0000FF"/>
        </w:rPr>
        <w:t xml:space="preserve">supply shock volatility </w:t>
      </w:r>
      <w:r w:rsidR="005560B4">
        <w:rPr>
          <w:rFonts w:ascii="Times New Roman" w:hAnsi="Times New Roman" w:cs="Times New Roman"/>
          <w:color w:val="0000FF"/>
        </w:rPr>
        <w:t xml:space="preserve">in </w:t>
      </w:r>
      <w:r w:rsidR="003C7A80">
        <w:rPr>
          <w:rFonts w:ascii="Times New Roman" w:hAnsi="Times New Roman" w:cs="Times New Roman"/>
          <w:color w:val="0000FF"/>
        </w:rPr>
        <w:t>my</w:t>
      </w:r>
      <w:r w:rsidR="005560B4">
        <w:rPr>
          <w:rFonts w:ascii="Times New Roman" w:hAnsi="Times New Roman" w:cs="Times New Roman"/>
          <w:color w:val="0000FF"/>
        </w:rPr>
        <w:t xml:space="preserve"> 1980s calibration</w:t>
      </w:r>
      <w:r>
        <w:rPr>
          <w:rFonts w:ascii="Times New Roman" w:hAnsi="Times New Roman" w:cs="Times New Roman"/>
          <w:color w:val="0000FF"/>
        </w:rPr>
        <w:t xml:space="preserve">, </w:t>
      </w:r>
      <w:r w:rsidR="004F63CD">
        <w:rPr>
          <w:rFonts w:ascii="Times New Roman" w:hAnsi="Times New Roman" w:cs="Times New Roman"/>
          <w:color w:val="0000FF"/>
        </w:rPr>
        <w:t>I added</w:t>
      </w:r>
      <w:r>
        <w:rPr>
          <w:rFonts w:ascii="Times New Roman" w:hAnsi="Times New Roman" w:cs="Times New Roman"/>
          <w:color w:val="0000FF"/>
        </w:rPr>
        <w:t xml:space="preserve"> </w:t>
      </w:r>
      <w:r w:rsidR="004F63CD">
        <w:rPr>
          <w:rFonts w:ascii="Times New Roman" w:hAnsi="Times New Roman" w:cs="Times New Roman"/>
          <w:color w:val="0000FF"/>
        </w:rPr>
        <w:t xml:space="preserve">a </w:t>
      </w:r>
      <w:r>
        <w:rPr>
          <w:rFonts w:ascii="Times New Roman" w:hAnsi="Times New Roman" w:cs="Times New Roman"/>
          <w:color w:val="0000FF"/>
        </w:rPr>
        <w:t xml:space="preserve">discussion </w:t>
      </w:r>
      <w:r w:rsidR="004F63CD">
        <w:rPr>
          <w:rFonts w:ascii="Times New Roman" w:hAnsi="Times New Roman" w:cs="Times New Roman"/>
          <w:color w:val="0000FF"/>
        </w:rPr>
        <w:t xml:space="preserve">of examples of supply shocks during this period, </w:t>
      </w:r>
      <w:r>
        <w:rPr>
          <w:rFonts w:ascii="Times New Roman" w:hAnsi="Times New Roman" w:cs="Times New Roman"/>
          <w:color w:val="0000FF"/>
        </w:rPr>
        <w:t>and a simple newspaper count exercise to the revised manuscript</w:t>
      </w:r>
      <w:r w:rsidR="005560B4">
        <w:rPr>
          <w:rFonts w:ascii="Times New Roman" w:hAnsi="Times New Roman" w:cs="Times New Roman"/>
          <w:color w:val="0000FF"/>
        </w:rPr>
        <w:t xml:space="preserve">. </w:t>
      </w:r>
      <w:r w:rsidR="00F97951">
        <w:rPr>
          <w:rFonts w:ascii="Times New Roman" w:hAnsi="Times New Roman" w:cs="Times New Roman"/>
          <w:color w:val="0000FF"/>
        </w:rPr>
        <w:t xml:space="preserve">The newspaper count exercise is shown in the </w:t>
      </w:r>
      <w:r w:rsidR="00F97951" w:rsidRPr="002C148B">
        <w:rPr>
          <w:rFonts w:ascii="Times New Roman" w:hAnsi="Times New Roman" w:cs="Times New Roman"/>
          <w:b/>
          <w:bCs/>
          <w:color w:val="0000FF"/>
        </w:rPr>
        <w:t>new Appendix Figure A1</w:t>
      </w:r>
      <w:r w:rsidR="00F97951">
        <w:rPr>
          <w:rFonts w:ascii="Times New Roman" w:hAnsi="Times New Roman" w:cs="Times New Roman"/>
          <w:color w:val="0000FF"/>
        </w:rPr>
        <w:t xml:space="preserve">, reproduced below for your convenience. </w:t>
      </w:r>
      <w:r w:rsidR="00EC41F8">
        <w:rPr>
          <w:rFonts w:ascii="Times New Roman" w:hAnsi="Times New Roman" w:cs="Times New Roman"/>
          <w:color w:val="0000FF"/>
        </w:rPr>
        <w:t>See the introduction (</w:t>
      </w:r>
      <w:r w:rsidR="003D54B5" w:rsidRPr="003D54B5">
        <w:rPr>
          <w:rFonts w:ascii="Times New Roman" w:hAnsi="Times New Roman" w:cs="Times New Roman"/>
          <w:b/>
          <w:bCs/>
          <w:color w:val="0000FF"/>
        </w:rPr>
        <w:t>p.3</w:t>
      </w:r>
      <w:r w:rsidR="003D54B5">
        <w:rPr>
          <w:rFonts w:ascii="Times New Roman" w:hAnsi="Times New Roman" w:cs="Times New Roman"/>
          <w:b/>
          <w:bCs/>
          <w:color w:val="0000FF"/>
        </w:rPr>
        <w:t xml:space="preserve"> </w:t>
      </w:r>
      <w:r w:rsidR="00EC41F8" w:rsidRPr="00EC41F8">
        <w:rPr>
          <w:rFonts w:ascii="Times New Roman" w:hAnsi="Times New Roman" w:cs="Times New Roman"/>
          <w:b/>
          <w:bCs/>
          <w:color w:val="0000FF"/>
        </w:rPr>
        <w:t>“The calibrated changes in the monetary policy rule and the nature of macroeconomic shocks are consistent with anecdotal evidence…”</w:t>
      </w:r>
      <w:r w:rsidR="00EC41F8">
        <w:rPr>
          <w:rFonts w:ascii="Times New Roman" w:hAnsi="Times New Roman" w:cs="Times New Roman"/>
          <w:color w:val="0000FF"/>
        </w:rPr>
        <w:t>)</w:t>
      </w:r>
      <w:r>
        <w:rPr>
          <w:rFonts w:ascii="Times New Roman" w:hAnsi="Times New Roman" w:cs="Times New Roman"/>
          <w:color w:val="0000FF"/>
        </w:rPr>
        <w:t xml:space="preserve"> and the calibration section </w:t>
      </w:r>
      <w:r w:rsidR="00113AF3" w:rsidRPr="003D54B5">
        <w:rPr>
          <w:rFonts w:ascii="Times New Roman" w:hAnsi="Times New Roman" w:cs="Times New Roman"/>
          <w:color w:val="0000FF"/>
        </w:rPr>
        <w:t>(</w:t>
      </w:r>
      <w:r w:rsidR="003D54B5">
        <w:rPr>
          <w:rFonts w:ascii="Times New Roman" w:hAnsi="Times New Roman" w:cs="Times New Roman"/>
          <w:b/>
          <w:bCs/>
          <w:color w:val="0000FF"/>
        </w:rPr>
        <w:t>last paragraph on p.18, and new footnote 14</w:t>
      </w:r>
      <w:r w:rsidR="003D54B5" w:rsidRPr="003D54B5">
        <w:rPr>
          <w:rFonts w:ascii="Times New Roman" w:hAnsi="Times New Roman" w:cs="Times New Roman"/>
          <w:color w:val="0000FF"/>
        </w:rPr>
        <w:t>)</w:t>
      </w:r>
      <w:r w:rsidR="003D54B5">
        <w:rPr>
          <w:rFonts w:ascii="Times New Roman" w:hAnsi="Times New Roman" w:cs="Times New Roman"/>
          <w:b/>
          <w:bCs/>
          <w:color w:val="0000FF"/>
        </w:rPr>
        <w:t xml:space="preserve">. </w:t>
      </w:r>
    </w:p>
    <w:p w14:paraId="186B8FCE" w14:textId="77777777" w:rsidR="00113AF3" w:rsidRDefault="00113AF3" w:rsidP="005560B4">
      <w:pPr>
        <w:adjustRightInd w:val="0"/>
        <w:spacing w:after="0" w:line="240" w:lineRule="auto"/>
        <w:ind w:left="360"/>
        <w:rPr>
          <w:rFonts w:ascii="Times New Roman" w:hAnsi="Times New Roman" w:cs="Times New Roman"/>
        </w:rPr>
      </w:pPr>
    </w:p>
    <w:p w14:paraId="0A59BB96"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p>
    <w:p w14:paraId="2F7E2E5A" w14:textId="77777777" w:rsidR="00F97951" w:rsidRPr="00911C0D" w:rsidRDefault="00F97951" w:rsidP="00F97951">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t>Figure A1: Relative Frequency of Supply and Inflation in WSJ Articles</w:t>
      </w:r>
    </w:p>
    <w:p w14:paraId="16C509C4"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20145A3B" wp14:editId="47D63B7C">
            <wp:extent cx="5562161" cy="2990850"/>
            <wp:effectExtent l="0" t="0" r="635" b="0"/>
            <wp:docPr id="990170991"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6569440" w14:textId="2BA3D403" w:rsidR="004F63CD" w:rsidRDefault="004F63CD"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Following the suggestion of the AE, I also added a new reverse-engineering exercise showing that a high volatility of supply shocks is needed to explain the bond-stock betas of the 1980s starting from the 2000s calibration. These results are shown in the </w:t>
      </w:r>
      <w:r w:rsidRPr="004F63CD">
        <w:rPr>
          <w:rFonts w:ascii="Times New Roman" w:hAnsi="Times New Roman" w:cs="Times New Roman"/>
          <w:b/>
          <w:bCs/>
          <w:color w:val="0000FF"/>
        </w:rPr>
        <w:t>new Figure 8</w:t>
      </w:r>
      <w:r>
        <w:rPr>
          <w:rFonts w:ascii="Times New Roman" w:hAnsi="Times New Roman" w:cs="Times New Roman"/>
          <w:color w:val="0000FF"/>
        </w:rPr>
        <w:t xml:space="preserve"> in the paper and discussed in the </w:t>
      </w:r>
      <w:r w:rsidRPr="004F63CD">
        <w:rPr>
          <w:rFonts w:ascii="Times New Roman" w:hAnsi="Times New Roman" w:cs="Times New Roman"/>
          <w:b/>
          <w:bCs/>
          <w:color w:val="0000FF"/>
        </w:rPr>
        <w:t>new Section 4.4 starting on p.30</w:t>
      </w:r>
      <w:r>
        <w:rPr>
          <w:rFonts w:ascii="Times New Roman" w:hAnsi="Times New Roman" w:cs="Times New Roman"/>
          <w:color w:val="0000FF"/>
        </w:rPr>
        <w:t xml:space="preserve">.  </w:t>
      </w:r>
    </w:p>
    <w:p w14:paraId="75FD1D4B" w14:textId="77777777" w:rsidR="00F97951" w:rsidRDefault="00F97951"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2E24AC8C" w14:textId="53648975" w:rsidR="00113AF3" w:rsidRDefault="00113AF3"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3B119808" w14:textId="4B256448" w:rsidR="00113AF3" w:rsidRPr="005560B4" w:rsidRDefault="00113AF3" w:rsidP="005560B4">
      <w:pPr>
        <w:adjustRightInd w:val="0"/>
        <w:spacing w:after="0" w:line="240" w:lineRule="auto"/>
        <w:ind w:left="360"/>
        <w:rPr>
          <w:rFonts w:ascii="Times New Roman" w:hAnsi="Times New Roman" w:cs="Times New Roman"/>
          <w:color w:val="0000FF"/>
        </w:rPr>
      </w:pPr>
    </w:p>
    <w:sectPr w:rsidR="00113AF3" w:rsidRPr="005560B4" w:rsidSect="00A81ECC">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rolin Pflueger" w:date="2024-12-17T15:13:00Z" w:initials="CP">
    <w:p w14:paraId="01CE9F91" w14:textId="77777777" w:rsidR="006175AA" w:rsidRDefault="006175AA" w:rsidP="006175AA">
      <w:pPr>
        <w:pStyle w:val="CommentText"/>
      </w:pPr>
      <w:r>
        <w:rPr>
          <w:rStyle w:val="CommentReference"/>
        </w:rPr>
        <w:annotationRef/>
      </w:r>
      <w:r>
        <w:t>Same as AE comment 1</w:t>
      </w:r>
    </w:p>
  </w:comment>
  <w:comment w:id="1" w:author="Carolin Pflueger" w:date="2024-10-30T10:55:00Z" w:initials="CP">
    <w:p w14:paraId="2924F60A" w14:textId="77777777" w:rsidR="0079087F" w:rsidRDefault="0079087F" w:rsidP="0079087F">
      <w:pPr>
        <w:pStyle w:val="CommentText"/>
      </w:pPr>
      <w:r>
        <w:rPr>
          <w:rStyle w:val="CommentReference"/>
        </w:rPr>
        <w:annotationRef/>
      </w:r>
      <w:r>
        <w:t>Slightly different from AE reply</w:t>
      </w:r>
    </w:p>
  </w:comment>
  <w:comment w:id="2" w:author="Carolin Pflueger" w:date="2024-12-17T16:06:00Z" w:initials="CP">
    <w:p w14:paraId="7400AAB1" w14:textId="77777777" w:rsidR="000E3F34" w:rsidRDefault="000E3F34" w:rsidP="000E3F34">
      <w:pPr>
        <w:pStyle w:val="CommentText"/>
      </w:pPr>
      <w:r>
        <w:rPr>
          <w:rStyle w:val="CommentReference"/>
        </w:rPr>
        <w:annotationRef/>
      </w:r>
      <w:r>
        <w:t>It was not just that see BPS_JH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CE9F91" w15:done="0"/>
  <w15:commentEx w15:paraId="2924F60A" w15:done="0"/>
  <w15:commentEx w15:paraId="7400A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BDB9444" w16cex:dateUtc="2024-12-17T21:13:00Z"/>
  <w16cex:commentExtensible w16cex:durableId="1DFE0413" w16cex:dateUtc="2024-10-30T15:55:00Z"/>
  <w16cex:commentExtensible w16cex:durableId="00D705B6" w16cex:dateUtc="2024-12-17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CE9F91" w16cid:durableId="7BDB9444"/>
  <w16cid:commentId w16cid:paraId="2924F60A" w16cid:durableId="1DFE0413"/>
  <w16cid:commentId w16cid:paraId="7400AAB1" w16cid:durableId="00D705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FD587D" w14:textId="77777777" w:rsidR="002112FA" w:rsidRDefault="002112FA" w:rsidP="00C04384">
      <w:pPr>
        <w:spacing w:after="0" w:line="240" w:lineRule="auto"/>
      </w:pPr>
      <w:r>
        <w:separator/>
      </w:r>
    </w:p>
  </w:endnote>
  <w:endnote w:type="continuationSeparator" w:id="0">
    <w:p w14:paraId="62565004" w14:textId="77777777" w:rsidR="002112FA" w:rsidRDefault="002112FA"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847B8" w14:textId="77777777" w:rsidR="002112FA" w:rsidRDefault="002112FA" w:rsidP="00C04384">
      <w:pPr>
        <w:spacing w:after="0" w:line="240" w:lineRule="auto"/>
      </w:pPr>
      <w:r>
        <w:separator/>
      </w:r>
    </w:p>
  </w:footnote>
  <w:footnote w:type="continuationSeparator" w:id="0">
    <w:p w14:paraId="51D26473" w14:textId="77777777" w:rsidR="002112FA" w:rsidRDefault="002112FA" w:rsidP="00C04384">
      <w:pPr>
        <w:spacing w:after="0" w:line="240" w:lineRule="auto"/>
      </w:pPr>
      <w:r>
        <w:continuationSeparator/>
      </w:r>
    </w:p>
  </w:footnote>
  <w:footnote w:id="1">
    <w:p w14:paraId="326EE25E" w14:textId="77777777" w:rsidR="00F303D9" w:rsidRPr="00AE5C04" w:rsidRDefault="00F303D9" w:rsidP="00F303D9">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 https://www.aeaweb.org/articles?id=10.1257/jep.21.4.47</w:t>
      </w:r>
    </w:p>
  </w:footnote>
  <w:footnote w:id="2">
    <w:p w14:paraId="62EEECC3" w14:textId="77777777" w:rsidR="00F303D9" w:rsidRPr="00130791" w:rsidRDefault="00F303D9" w:rsidP="00F303D9">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 xml:space="preserve">ects stock prices more than bond prices). These shocks are </w:t>
      </w:r>
      <w:proofErr w:type="gramStart"/>
      <w:r w:rsidRPr="00130791">
        <w:rPr>
          <w:rFonts w:ascii="Times New Roman" w:hAnsi="Times New Roman" w:cs="Times New Roman"/>
        </w:rPr>
        <w:t>common</w:t>
      </w:r>
      <w:proofErr w:type="gramEnd"/>
      <w:r w:rsidRPr="00130791">
        <w:rPr>
          <w:rFonts w:ascii="Times New Roman" w:hAnsi="Times New Roman" w:cs="Times New Roman"/>
        </w:rPr>
        <w:t xml:space="preserve">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022F4E"/>
    <w:multiLevelType w:val="hybridMultilevel"/>
    <w:tmpl w:val="1DD8494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5"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148"/>
    <w:multiLevelType w:val="hybridMultilevel"/>
    <w:tmpl w:val="FD4E64AE"/>
    <w:lvl w:ilvl="0" w:tplc="FFFFFFFF">
      <w:start w:val="1"/>
      <w:numFmt w:val="decimal"/>
      <w:lvlText w:val="%1."/>
      <w:lvlJc w:val="left"/>
      <w:pPr>
        <w:ind w:left="800" w:hanging="360"/>
      </w:pPr>
      <w:rPr>
        <w:rFonts w:hint="default"/>
      </w:rPr>
    </w:lvl>
    <w:lvl w:ilvl="1" w:tplc="04090001">
      <w:start w:val="1"/>
      <w:numFmt w:val="bullet"/>
      <w:lvlText w:val=""/>
      <w:lvlJc w:val="left"/>
      <w:pPr>
        <w:ind w:left="1240" w:hanging="360"/>
      </w:pPr>
      <w:rPr>
        <w:rFonts w:ascii="Symbol" w:hAnsi="Symbol"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9"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54103"/>
    <w:multiLevelType w:val="hybridMultilevel"/>
    <w:tmpl w:val="66425788"/>
    <w:lvl w:ilvl="0" w:tplc="FFFFFFFF">
      <w:start w:val="1"/>
      <w:numFmt w:val="decimal"/>
      <w:lvlText w:val="%1."/>
      <w:lvlJc w:val="left"/>
      <w:pPr>
        <w:ind w:left="1240" w:hanging="440"/>
      </w:pPr>
    </w:lvl>
    <w:lvl w:ilvl="1" w:tplc="FFFFFFFF">
      <w:start w:val="1"/>
      <w:numFmt w:val="bullet"/>
      <w:lvlText w:val=""/>
      <w:lvlJc w:val="left"/>
      <w:pPr>
        <w:ind w:left="1680" w:hanging="440"/>
      </w:pPr>
      <w:rPr>
        <w:rFonts w:ascii="Wingdings" w:hAnsi="Wingdings" w:hint="default"/>
      </w:rPr>
    </w:lvl>
    <w:lvl w:ilvl="2" w:tplc="04090001">
      <w:start w:val="1"/>
      <w:numFmt w:val="bullet"/>
      <w:lvlText w:val=""/>
      <w:lvlJc w:val="left"/>
      <w:pPr>
        <w:ind w:left="2040" w:hanging="360"/>
      </w:pPr>
      <w:rPr>
        <w:rFonts w:ascii="Symbol" w:hAnsi="Symbol" w:hint="default"/>
      </w:r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1"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908CB"/>
    <w:multiLevelType w:val="hybridMultilevel"/>
    <w:tmpl w:val="9474BF40"/>
    <w:lvl w:ilvl="0" w:tplc="9716CDC6">
      <w:start w:val="1"/>
      <w:numFmt w:val="decimal"/>
      <w:lvlText w:val="%1."/>
      <w:lvlJc w:val="left"/>
      <w:pPr>
        <w:ind w:left="800" w:hanging="360"/>
      </w:pPr>
      <w:rPr>
        <w:rFonts w:hint="default"/>
      </w:rPr>
    </w:lvl>
    <w:lvl w:ilvl="1" w:tplc="04090001">
      <w:start w:val="1"/>
      <w:numFmt w:val="bullet"/>
      <w:lvlText w:val=""/>
      <w:lvlJc w:val="left"/>
      <w:pPr>
        <w:ind w:left="2040" w:hanging="360"/>
      </w:pPr>
      <w:rPr>
        <w:rFonts w:ascii="Symbol" w:hAnsi="Symbol"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4"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60743"/>
    <w:multiLevelType w:val="hybridMultilevel"/>
    <w:tmpl w:val="83C498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F334AD"/>
    <w:multiLevelType w:val="hybridMultilevel"/>
    <w:tmpl w:val="0CFC61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23" w15:restartNumberingAfterBreak="0">
    <w:nsid w:val="6CC6253B"/>
    <w:multiLevelType w:val="hybridMultilevel"/>
    <w:tmpl w:val="8BF0FA5A"/>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520" w:hanging="36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24"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7"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8"/>
  </w:num>
  <w:num w:numId="2" w16cid:durableId="757366061">
    <w:abstractNumId w:val="20"/>
  </w:num>
  <w:num w:numId="3" w16cid:durableId="544024557">
    <w:abstractNumId w:val="14"/>
  </w:num>
  <w:num w:numId="4" w16cid:durableId="831681105">
    <w:abstractNumId w:val="8"/>
  </w:num>
  <w:num w:numId="5" w16cid:durableId="1234853715">
    <w:abstractNumId w:val="26"/>
  </w:num>
  <w:num w:numId="6" w16cid:durableId="1201435851">
    <w:abstractNumId w:val="4"/>
  </w:num>
  <w:num w:numId="7" w16cid:durableId="1211268208">
    <w:abstractNumId w:val="27"/>
  </w:num>
  <w:num w:numId="8" w16cid:durableId="561408953">
    <w:abstractNumId w:val="11"/>
  </w:num>
  <w:num w:numId="9" w16cid:durableId="1988703194">
    <w:abstractNumId w:val="15"/>
  </w:num>
  <w:num w:numId="10" w16cid:durableId="284385945">
    <w:abstractNumId w:val="5"/>
  </w:num>
  <w:num w:numId="11" w16cid:durableId="613056324">
    <w:abstractNumId w:val="1"/>
  </w:num>
  <w:num w:numId="12" w16cid:durableId="1545632130">
    <w:abstractNumId w:val="24"/>
  </w:num>
  <w:num w:numId="13" w16cid:durableId="2089694804">
    <w:abstractNumId w:val="7"/>
  </w:num>
  <w:num w:numId="14" w16cid:durableId="570577411">
    <w:abstractNumId w:val="9"/>
  </w:num>
  <w:num w:numId="15" w16cid:durableId="2066827734">
    <w:abstractNumId w:val="2"/>
  </w:num>
  <w:num w:numId="16" w16cid:durableId="839856700">
    <w:abstractNumId w:val="16"/>
  </w:num>
  <w:num w:numId="17" w16cid:durableId="549223316">
    <w:abstractNumId w:val="17"/>
  </w:num>
  <w:num w:numId="18" w16cid:durableId="1289316116">
    <w:abstractNumId w:val="23"/>
  </w:num>
  <w:num w:numId="19" w16cid:durableId="14963411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 w:numId="22" w16cid:durableId="537476318">
    <w:abstractNumId w:val="13"/>
  </w:num>
  <w:num w:numId="23" w16cid:durableId="1054700509">
    <w:abstractNumId w:val="10"/>
  </w:num>
  <w:num w:numId="24" w16cid:durableId="17900541">
    <w:abstractNumId w:val="12"/>
  </w:num>
  <w:num w:numId="25" w16cid:durableId="451368903">
    <w:abstractNumId w:val="25"/>
  </w:num>
  <w:num w:numId="26" w16cid:durableId="1218205134">
    <w:abstractNumId w:val="6"/>
  </w:num>
  <w:num w:numId="27" w16cid:durableId="1102535666">
    <w:abstractNumId w:val="3"/>
  </w:num>
  <w:num w:numId="28" w16cid:durableId="80955255">
    <w:abstractNumId w:val="21"/>
  </w:num>
  <w:num w:numId="29" w16cid:durableId="29039856">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in Pflueger">
    <w15:presenceInfo w15:providerId="AD" w15:userId="S::cpflueger@UCHICAGO.EDU::a02219aa-9165-4d55-ad01-be907e6f4a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5F98"/>
    <w:rsid w:val="00006F28"/>
    <w:rsid w:val="000077A2"/>
    <w:rsid w:val="00007A6A"/>
    <w:rsid w:val="000141BD"/>
    <w:rsid w:val="000148B5"/>
    <w:rsid w:val="00014EED"/>
    <w:rsid w:val="000157E3"/>
    <w:rsid w:val="00015E53"/>
    <w:rsid w:val="000162F6"/>
    <w:rsid w:val="0001757A"/>
    <w:rsid w:val="000179F5"/>
    <w:rsid w:val="00017D94"/>
    <w:rsid w:val="0002171C"/>
    <w:rsid w:val="00024DFF"/>
    <w:rsid w:val="00025B82"/>
    <w:rsid w:val="000269E1"/>
    <w:rsid w:val="00027037"/>
    <w:rsid w:val="00033994"/>
    <w:rsid w:val="000360EC"/>
    <w:rsid w:val="00036C51"/>
    <w:rsid w:val="00037903"/>
    <w:rsid w:val="00037C07"/>
    <w:rsid w:val="0004148D"/>
    <w:rsid w:val="00043178"/>
    <w:rsid w:val="000431BF"/>
    <w:rsid w:val="00045F40"/>
    <w:rsid w:val="000506C0"/>
    <w:rsid w:val="000528D6"/>
    <w:rsid w:val="00053C34"/>
    <w:rsid w:val="00054D89"/>
    <w:rsid w:val="00057113"/>
    <w:rsid w:val="000600BB"/>
    <w:rsid w:val="000611F6"/>
    <w:rsid w:val="00061A65"/>
    <w:rsid w:val="00061ABE"/>
    <w:rsid w:val="00061E83"/>
    <w:rsid w:val="00062D0B"/>
    <w:rsid w:val="000641E5"/>
    <w:rsid w:val="000659BB"/>
    <w:rsid w:val="00066045"/>
    <w:rsid w:val="00070DA1"/>
    <w:rsid w:val="00070F1E"/>
    <w:rsid w:val="00073E9C"/>
    <w:rsid w:val="00074D07"/>
    <w:rsid w:val="000760D0"/>
    <w:rsid w:val="000763E6"/>
    <w:rsid w:val="00080FFB"/>
    <w:rsid w:val="0008110E"/>
    <w:rsid w:val="0008122B"/>
    <w:rsid w:val="000817BE"/>
    <w:rsid w:val="00084743"/>
    <w:rsid w:val="00085681"/>
    <w:rsid w:val="000856BF"/>
    <w:rsid w:val="00085C83"/>
    <w:rsid w:val="000878E8"/>
    <w:rsid w:val="00091AD5"/>
    <w:rsid w:val="00091B11"/>
    <w:rsid w:val="00092419"/>
    <w:rsid w:val="00092EE9"/>
    <w:rsid w:val="000936BB"/>
    <w:rsid w:val="00095407"/>
    <w:rsid w:val="00097D16"/>
    <w:rsid w:val="000A0CD9"/>
    <w:rsid w:val="000A0FE8"/>
    <w:rsid w:val="000A172D"/>
    <w:rsid w:val="000A2257"/>
    <w:rsid w:val="000A2927"/>
    <w:rsid w:val="000A4251"/>
    <w:rsid w:val="000B0584"/>
    <w:rsid w:val="000B31B5"/>
    <w:rsid w:val="000B3971"/>
    <w:rsid w:val="000B4932"/>
    <w:rsid w:val="000B5A51"/>
    <w:rsid w:val="000B5F7C"/>
    <w:rsid w:val="000B6244"/>
    <w:rsid w:val="000B640A"/>
    <w:rsid w:val="000B7E91"/>
    <w:rsid w:val="000C0459"/>
    <w:rsid w:val="000C0484"/>
    <w:rsid w:val="000C15DB"/>
    <w:rsid w:val="000C1662"/>
    <w:rsid w:val="000C19B6"/>
    <w:rsid w:val="000C38F7"/>
    <w:rsid w:val="000C4021"/>
    <w:rsid w:val="000C4316"/>
    <w:rsid w:val="000C4A8D"/>
    <w:rsid w:val="000D1D41"/>
    <w:rsid w:val="000D1F33"/>
    <w:rsid w:val="000D2B97"/>
    <w:rsid w:val="000D32FD"/>
    <w:rsid w:val="000D4CED"/>
    <w:rsid w:val="000D4D8D"/>
    <w:rsid w:val="000D537A"/>
    <w:rsid w:val="000E06AB"/>
    <w:rsid w:val="000E1941"/>
    <w:rsid w:val="000E19FE"/>
    <w:rsid w:val="000E3F34"/>
    <w:rsid w:val="000E585F"/>
    <w:rsid w:val="000E5C4D"/>
    <w:rsid w:val="000E7455"/>
    <w:rsid w:val="000E763A"/>
    <w:rsid w:val="000F3DA5"/>
    <w:rsid w:val="000F4BFD"/>
    <w:rsid w:val="000F566E"/>
    <w:rsid w:val="000F68DE"/>
    <w:rsid w:val="000F7252"/>
    <w:rsid w:val="000F7EEC"/>
    <w:rsid w:val="001011AB"/>
    <w:rsid w:val="00104516"/>
    <w:rsid w:val="0010666E"/>
    <w:rsid w:val="00111E78"/>
    <w:rsid w:val="001129F4"/>
    <w:rsid w:val="00113AF3"/>
    <w:rsid w:val="00114566"/>
    <w:rsid w:val="00117F9A"/>
    <w:rsid w:val="001206FE"/>
    <w:rsid w:val="00120BDE"/>
    <w:rsid w:val="00120D8E"/>
    <w:rsid w:val="00123542"/>
    <w:rsid w:val="00123CD5"/>
    <w:rsid w:val="001261B3"/>
    <w:rsid w:val="001264C5"/>
    <w:rsid w:val="00126AA8"/>
    <w:rsid w:val="0012738F"/>
    <w:rsid w:val="00127520"/>
    <w:rsid w:val="001302C0"/>
    <w:rsid w:val="001346EE"/>
    <w:rsid w:val="00134DD0"/>
    <w:rsid w:val="00135A08"/>
    <w:rsid w:val="00135E25"/>
    <w:rsid w:val="00136761"/>
    <w:rsid w:val="00136FBD"/>
    <w:rsid w:val="00140943"/>
    <w:rsid w:val="00140E95"/>
    <w:rsid w:val="00140F39"/>
    <w:rsid w:val="00141157"/>
    <w:rsid w:val="00141F18"/>
    <w:rsid w:val="001420AE"/>
    <w:rsid w:val="0014272B"/>
    <w:rsid w:val="001430D1"/>
    <w:rsid w:val="0014453E"/>
    <w:rsid w:val="00144B73"/>
    <w:rsid w:val="00144CBE"/>
    <w:rsid w:val="00147233"/>
    <w:rsid w:val="001512AA"/>
    <w:rsid w:val="00152528"/>
    <w:rsid w:val="00152CC2"/>
    <w:rsid w:val="00153DCD"/>
    <w:rsid w:val="00153E7E"/>
    <w:rsid w:val="001546D5"/>
    <w:rsid w:val="001601CC"/>
    <w:rsid w:val="00161208"/>
    <w:rsid w:val="001623F3"/>
    <w:rsid w:val="0016253D"/>
    <w:rsid w:val="00162BEE"/>
    <w:rsid w:val="00164F58"/>
    <w:rsid w:val="00165493"/>
    <w:rsid w:val="00166411"/>
    <w:rsid w:val="001717F8"/>
    <w:rsid w:val="00172334"/>
    <w:rsid w:val="00172FE9"/>
    <w:rsid w:val="001736D9"/>
    <w:rsid w:val="001738AC"/>
    <w:rsid w:val="00175C2D"/>
    <w:rsid w:val="00176545"/>
    <w:rsid w:val="00182744"/>
    <w:rsid w:val="00182B3A"/>
    <w:rsid w:val="0018368E"/>
    <w:rsid w:val="0018476B"/>
    <w:rsid w:val="00184BF9"/>
    <w:rsid w:val="001854E2"/>
    <w:rsid w:val="00185D72"/>
    <w:rsid w:val="001913E1"/>
    <w:rsid w:val="00192260"/>
    <w:rsid w:val="00193958"/>
    <w:rsid w:val="00193C91"/>
    <w:rsid w:val="0019453B"/>
    <w:rsid w:val="00195447"/>
    <w:rsid w:val="001965F2"/>
    <w:rsid w:val="00197DD4"/>
    <w:rsid w:val="001A070E"/>
    <w:rsid w:val="001A0781"/>
    <w:rsid w:val="001A3008"/>
    <w:rsid w:val="001A579E"/>
    <w:rsid w:val="001A6E52"/>
    <w:rsid w:val="001A760A"/>
    <w:rsid w:val="001B167D"/>
    <w:rsid w:val="001B2206"/>
    <w:rsid w:val="001B37F8"/>
    <w:rsid w:val="001B5608"/>
    <w:rsid w:val="001B7410"/>
    <w:rsid w:val="001B77A4"/>
    <w:rsid w:val="001B7BB0"/>
    <w:rsid w:val="001C00B9"/>
    <w:rsid w:val="001C1272"/>
    <w:rsid w:val="001C2153"/>
    <w:rsid w:val="001C3861"/>
    <w:rsid w:val="001C5CB6"/>
    <w:rsid w:val="001D00A9"/>
    <w:rsid w:val="001D0AAC"/>
    <w:rsid w:val="001D3BEC"/>
    <w:rsid w:val="001D565F"/>
    <w:rsid w:val="001D71FA"/>
    <w:rsid w:val="001E0CC1"/>
    <w:rsid w:val="001E20F4"/>
    <w:rsid w:val="001E27A0"/>
    <w:rsid w:val="001E3C72"/>
    <w:rsid w:val="001E5320"/>
    <w:rsid w:val="001E7523"/>
    <w:rsid w:val="001E7960"/>
    <w:rsid w:val="001F0C3A"/>
    <w:rsid w:val="001F1305"/>
    <w:rsid w:val="001F17D2"/>
    <w:rsid w:val="001F3A01"/>
    <w:rsid w:val="001F3D85"/>
    <w:rsid w:val="001F4ACD"/>
    <w:rsid w:val="001F4E5E"/>
    <w:rsid w:val="001F52C3"/>
    <w:rsid w:val="001F6681"/>
    <w:rsid w:val="001F6F89"/>
    <w:rsid w:val="00201418"/>
    <w:rsid w:val="00201878"/>
    <w:rsid w:val="00201B3B"/>
    <w:rsid w:val="00202AB1"/>
    <w:rsid w:val="002038BB"/>
    <w:rsid w:val="00204545"/>
    <w:rsid w:val="00204FA7"/>
    <w:rsid w:val="00207119"/>
    <w:rsid w:val="00210D1C"/>
    <w:rsid w:val="002111CA"/>
    <w:rsid w:val="002112FA"/>
    <w:rsid w:val="00211AB7"/>
    <w:rsid w:val="0021791F"/>
    <w:rsid w:val="00217946"/>
    <w:rsid w:val="00217EE6"/>
    <w:rsid w:val="00220EE3"/>
    <w:rsid w:val="00221FD4"/>
    <w:rsid w:val="0022516B"/>
    <w:rsid w:val="00225361"/>
    <w:rsid w:val="0022561E"/>
    <w:rsid w:val="00226638"/>
    <w:rsid w:val="00226B75"/>
    <w:rsid w:val="00230EA7"/>
    <w:rsid w:val="00231F21"/>
    <w:rsid w:val="00233219"/>
    <w:rsid w:val="00234032"/>
    <w:rsid w:val="0023403B"/>
    <w:rsid w:val="002348CC"/>
    <w:rsid w:val="0023578E"/>
    <w:rsid w:val="002362B7"/>
    <w:rsid w:val="00236CC4"/>
    <w:rsid w:val="002417AF"/>
    <w:rsid w:val="00241858"/>
    <w:rsid w:val="00241D87"/>
    <w:rsid w:val="00242991"/>
    <w:rsid w:val="00243981"/>
    <w:rsid w:val="002458D6"/>
    <w:rsid w:val="00247E98"/>
    <w:rsid w:val="00250F27"/>
    <w:rsid w:val="00251F6F"/>
    <w:rsid w:val="00253276"/>
    <w:rsid w:val="00253320"/>
    <w:rsid w:val="00254238"/>
    <w:rsid w:val="0025503E"/>
    <w:rsid w:val="00257186"/>
    <w:rsid w:val="002571A5"/>
    <w:rsid w:val="00257AB3"/>
    <w:rsid w:val="00257C96"/>
    <w:rsid w:val="00260060"/>
    <w:rsid w:val="002604D2"/>
    <w:rsid w:val="00261002"/>
    <w:rsid w:val="0026237A"/>
    <w:rsid w:val="002625D1"/>
    <w:rsid w:val="00264C9B"/>
    <w:rsid w:val="00266618"/>
    <w:rsid w:val="0026726A"/>
    <w:rsid w:val="002715AD"/>
    <w:rsid w:val="00272855"/>
    <w:rsid w:val="00273828"/>
    <w:rsid w:val="002739F0"/>
    <w:rsid w:val="0027555B"/>
    <w:rsid w:val="002766A4"/>
    <w:rsid w:val="00276775"/>
    <w:rsid w:val="002768F5"/>
    <w:rsid w:val="002772E4"/>
    <w:rsid w:val="002813AD"/>
    <w:rsid w:val="00281692"/>
    <w:rsid w:val="00281881"/>
    <w:rsid w:val="00284412"/>
    <w:rsid w:val="00291CFA"/>
    <w:rsid w:val="002925A3"/>
    <w:rsid w:val="00292A39"/>
    <w:rsid w:val="00293171"/>
    <w:rsid w:val="002932D2"/>
    <w:rsid w:val="00294269"/>
    <w:rsid w:val="00294589"/>
    <w:rsid w:val="002947D4"/>
    <w:rsid w:val="002A079C"/>
    <w:rsid w:val="002A1CDF"/>
    <w:rsid w:val="002A2AA8"/>
    <w:rsid w:val="002A312B"/>
    <w:rsid w:val="002A387A"/>
    <w:rsid w:val="002A3E2E"/>
    <w:rsid w:val="002A40D2"/>
    <w:rsid w:val="002A5B77"/>
    <w:rsid w:val="002A5D0D"/>
    <w:rsid w:val="002A7A21"/>
    <w:rsid w:val="002B003A"/>
    <w:rsid w:val="002B01CE"/>
    <w:rsid w:val="002B1F65"/>
    <w:rsid w:val="002B26DF"/>
    <w:rsid w:val="002B2B76"/>
    <w:rsid w:val="002B3E99"/>
    <w:rsid w:val="002B413F"/>
    <w:rsid w:val="002B66DD"/>
    <w:rsid w:val="002B764F"/>
    <w:rsid w:val="002B7B78"/>
    <w:rsid w:val="002C1382"/>
    <w:rsid w:val="002C148B"/>
    <w:rsid w:val="002C1D0E"/>
    <w:rsid w:val="002C23E2"/>
    <w:rsid w:val="002C24D6"/>
    <w:rsid w:val="002C313D"/>
    <w:rsid w:val="002C3333"/>
    <w:rsid w:val="002C4DA1"/>
    <w:rsid w:val="002C6686"/>
    <w:rsid w:val="002D094B"/>
    <w:rsid w:val="002D1019"/>
    <w:rsid w:val="002D46D9"/>
    <w:rsid w:val="002D4BFD"/>
    <w:rsid w:val="002D4EE1"/>
    <w:rsid w:val="002D5488"/>
    <w:rsid w:val="002D5ED1"/>
    <w:rsid w:val="002D604B"/>
    <w:rsid w:val="002D6D38"/>
    <w:rsid w:val="002E0D97"/>
    <w:rsid w:val="002E2389"/>
    <w:rsid w:val="002E2FAE"/>
    <w:rsid w:val="002E6C39"/>
    <w:rsid w:val="002F1087"/>
    <w:rsid w:val="002F1B72"/>
    <w:rsid w:val="002F21A1"/>
    <w:rsid w:val="002F3F8D"/>
    <w:rsid w:val="002F45BF"/>
    <w:rsid w:val="002F47E9"/>
    <w:rsid w:val="002F4B1B"/>
    <w:rsid w:val="002F6884"/>
    <w:rsid w:val="002F7785"/>
    <w:rsid w:val="00301D47"/>
    <w:rsid w:val="003036FF"/>
    <w:rsid w:val="003045B9"/>
    <w:rsid w:val="0030639D"/>
    <w:rsid w:val="00306826"/>
    <w:rsid w:val="00307FEC"/>
    <w:rsid w:val="0031061F"/>
    <w:rsid w:val="003123DF"/>
    <w:rsid w:val="00314CEF"/>
    <w:rsid w:val="003213B0"/>
    <w:rsid w:val="003222D8"/>
    <w:rsid w:val="00323286"/>
    <w:rsid w:val="003247D6"/>
    <w:rsid w:val="0032655B"/>
    <w:rsid w:val="00327733"/>
    <w:rsid w:val="00332907"/>
    <w:rsid w:val="00332BC8"/>
    <w:rsid w:val="00332F20"/>
    <w:rsid w:val="00333898"/>
    <w:rsid w:val="00334E21"/>
    <w:rsid w:val="003369E2"/>
    <w:rsid w:val="00336F57"/>
    <w:rsid w:val="00337A40"/>
    <w:rsid w:val="00340704"/>
    <w:rsid w:val="00341841"/>
    <w:rsid w:val="0034349C"/>
    <w:rsid w:val="00343AB8"/>
    <w:rsid w:val="00344551"/>
    <w:rsid w:val="00344F0F"/>
    <w:rsid w:val="003515FF"/>
    <w:rsid w:val="0035188B"/>
    <w:rsid w:val="0035335D"/>
    <w:rsid w:val="003542D4"/>
    <w:rsid w:val="00354E4A"/>
    <w:rsid w:val="0035598D"/>
    <w:rsid w:val="0035754B"/>
    <w:rsid w:val="00357BB9"/>
    <w:rsid w:val="00357C4C"/>
    <w:rsid w:val="00360A08"/>
    <w:rsid w:val="003623A0"/>
    <w:rsid w:val="0036263B"/>
    <w:rsid w:val="00362760"/>
    <w:rsid w:val="00364C53"/>
    <w:rsid w:val="0036532B"/>
    <w:rsid w:val="003654EF"/>
    <w:rsid w:val="003659AD"/>
    <w:rsid w:val="00365F1D"/>
    <w:rsid w:val="00367097"/>
    <w:rsid w:val="00367910"/>
    <w:rsid w:val="003718D3"/>
    <w:rsid w:val="00372A3F"/>
    <w:rsid w:val="00373B39"/>
    <w:rsid w:val="0037482B"/>
    <w:rsid w:val="0037624F"/>
    <w:rsid w:val="0038003A"/>
    <w:rsid w:val="003816B6"/>
    <w:rsid w:val="0038330F"/>
    <w:rsid w:val="003843D9"/>
    <w:rsid w:val="003843DD"/>
    <w:rsid w:val="0038483C"/>
    <w:rsid w:val="003902AC"/>
    <w:rsid w:val="003904DA"/>
    <w:rsid w:val="00390A05"/>
    <w:rsid w:val="003927C2"/>
    <w:rsid w:val="00392ADB"/>
    <w:rsid w:val="00393225"/>
    <w:rsid w:val="003945BD"/>
    <w:rsid w:val="003951BA"/>
    <w:rsid w:val="00395576"/>
    <w:rsid w:val="0039732D"/>
    <w:rsid w:val="003974C7"/>
    <w:rsid w:val="00397927"/>
    <w:rsid w:val="00397953"/>
    <w:rsid w:val="00397A8A"/>
    <w:rsid w:val="003A110A"/>
    <w:rsid w:val="003A169D"/>
    <w:rsid w:val="003A2470"/>
    <w:rsid w:val="003A29D9"/>
    <w:rsid w:val="003A2C1A"/>
    <w:rsid w:val="003A4C9B"/>
    <w:rsid w:val="003A64FF"/>
    <w:rsid w:val="003A6609"/>
    <w:rsid w:val="003A6BD6"/>
    <w:rsid w:val="003A7BF0"/>
    <w:rsid w:val="003B3B7A"/>
    <w:rsid w:val="003B41D1"/>
    <w:rsid w:val="003B7156"/>
    <w:rsid w:val="003B7864"/>
    <w:rsid w:val="003C1749"/>
    <w:rsid w:val="003C1DD9"/>
    <w:rsid w:val="003C347D"/>
    <w:rsid w:val="003C397E"/>
    <w:rsid w:val="003C5071"/>
    <w:rsid w:val="003C5975"/>
    <w:rsid w:val="003C5BA2"/>
    <w:rsid w:val="003C7A80"/>
    <w:rsid w:val="003D0EA2"/>
    <w:rsid w:val="003D177F"/>
    <w:rsid w:val="003D2656"/>
    <w:rsid w:val="003D4969"/>
    <w:rsid w:val="003D4F54"/>
    <w:rsid w:val="003D5222"/>
    <w:rsid w:val="003D54B5"/>
    <w:rsid w:val="003D7F16"/>
    <w:rsid w:val="003E10C3"/>
    <w:rsid w:val="003E133C"/>
    <w:rsid w:val="003E13E8"/>
    <w:rsid w:val="003E1FD7"/>
    <w:rsid w:val="003E28E3"/>
    <w:rsid w:val="003E2F1E"/>
    <w:rsid w:val="003E3378"/>
    <w:rsid w:val="003E3785"/>
    <w:rsid w:val="003E3EAD"/>
    <w:rsid w:val="003E4A15"/>
    <w:rsid w:val="003E57CC"/>
    <w:rsid w:val="003E6B32"/>
    <w:rsid w:val="003E6E20"/>
    <w:rsid w:val="003F0A52"/>
    <w:rsid w:val="003F1E09"/>
    <w:rsid w:val="003F2174"/>
    <w:rsid w:val="003F4C3A"/>
    <w:rsid w:val="003F5107"/>
    <w:rsid w:val="003F518D"/>
    <w:rsid w:val="003F5DBB"/>
    <w:rsid w:val="00400378"/>
    <w:rsid w:val="004016D1"/>
    <w:rsid w:val="00401C8E"/>
    <w:rsid w:val="00404449"/>
    <w:rsid w:val="00407B0D"/>
    <w:rsid w:val="0041011B"/>
    <w:rsid w:val="004123C4"/>
    <w:rsid w:val="00415173"/>
    <w:rsid w:val="00416F23"/>
    <w:rsid w:val="00417DAB"/>
    <w:rsid w:val="004201B8"/>
    <w:rsid w:val="00421732"/>
    <w:rsid w:val="00422041"/>
    <w:rsid w:val="004261AB"/>
    <w:rsid w:val="0042698B"/>
    <w:rsid w:val="0043174F"/>
    <w:rsid w:val="00431C42"/>
    <w:rsid w:val="00433607"/>
    <w:rsid w:val="00434C5E"/>
    <w:rsid w:val="0043656B"/>
    <w:rsid w:val="004365F3"/>
    <w:rsid w:val="004367D0"/>
    <w:rsid w:val="00436A4A"/>
    <w:rsid w:val="00437895"/>
    <w:rsid w:val="004423FC"/>
    <w:rsid w:val="00443CE1"/>
    <w:rsid w:val="00450445"/>
    <w:rsid w:val="00451204"/>
    <w:rsid w:val="00451C4C"/>
    <w:rsid w:val="00452A43"/>
    <w:rsid w:val="0045462E"/>
    <w:rsid w:val="00454C0C"/>
    <w:rsid w:val="00455412"/>
    <w:rsid w:val="00456BFE"/>
    <w:rsid w:val="00461A92"/>
    <w:rsid w:val="00461B63"/>
    <w:rsid w:val="0046217C"/>
    <w:rsid w:val="00462668"/>
    <w:rsid w:val="00465AAF"/>
    <w:rsid w:val="00466179"/>
    <w:rsid w:val="00467BD3"/>
    <w:rsid w:val="004732AA"/>
    <w:rsid w:val="004744D0"/>
    <w:rsid w:val="00474825"/>
    <w:rsid w:val="00476D4B"/>
    <w:rsid w:val="004772C8"/>
    <w:rsid w:val="00477650"/>
    <w:rsid w:val="0047798E"/>
    <w:rsid w:val="004800D7"/>
    <w:rsid w:val="0048161B"/>
    <w:rsid w:val="00482AD4"/>
    <w:rsid w:val="00482F44"/>
    <w:rsid w:val="0048391E"/>
    <w:rsid w:val="00485C60"/>
    <w:rsid w:val="00486769"/>
    <w:rsid w:val="00487ADA"/>
    <w:rsid w:val="0049070C"/>
    <w:rsid w:val="00490719"/>
    <w:rsid w:val="00490D4F"/>
    <w:rsid w:val="00491257"/>
    <w:rsid w:val="004934DA"/>
    <w:rsid w:val="00494AF7"/>
    <w:rsid w:val="00495B13"/>
    <w:rsid w:val="00495D4B"/>
    <w:rsid w:val="0049606A"/>
    <w:rsid w:val="00496687"/>
    <w:rsid w:val="004970E5"/>
    <w:rsid w:val="00497885"/>
    <w:rsid w:val="004A0B02"/>
    <w:rsid w:val="004A0B92"/>
    <w:rsid w:val="004A1D0E"/>
    <w:rsid w:val="004A2F29"/>
    <w:rsid w:val="004A31A6"/>
    <w:rsid w:val="004A36C1"/>
    <w:rsid w:val="004A46DE"/>
    <w:rsid w:val="004A4FC7"/>
    <w:rsid w:val="004A54B1"/>
    <w:rsid w:val="004A620B"/>
    <w:rsid w:val="004B08B0"/>
    <w:rsid w:val="004B0D7B"/>
    <w:rsid w:val="004B2295"/>
    <w:rsid w:val="004B35E8"/>
    <w:rsid w:val="004B38DD"/>
    <w:rsid w:val="004B3EFA"/>
    <w:rsid w:val="004B3F1B"/>
    <w:rsid w:val="004B4178"/>
    <w:rsid w:val="004B4434"/>
    <w:rsid w:val="004C0D4B"/>
    <w:rsid w:val="004C37BD"/>
    <w:rsid w:val="004C416B"/>
    <w:rsid w:val="004C45CE"/>
    <w:rsid w:val="004C4B9E"/>
    <w:rsid w:val="004C60DE"/>
    <w:rsid w:val="004C64B4"/>
    <w:rsid w:val="004D1D6B"/>
    <w:rsid w:val="004D260C"/>
    <w:rsid w:val="004D2611"/>
    <w:rsid w:val="004D4528"/>
    <w:rsid w:val="004D56BB"/>
    <w:rsid w:val="004D5E67"/>
    <w:rsid w:val="004E19F5"/>
    <w:rsid w:val="004E1FC2"/>
    <w:rsid w:val="004E2577"/>
    <w:rsid w:val="004E41BF"/>
    <w:rsid w:val="004E52C1"/>
    <w:rsid w:val="004E52E7"/>
    <w:rsid w:val="004E7289"/>
    <w:rsid w:val="004E78A4"/>
    <w:rsid w:val="004F022F"/>
    <w:rsid w:val="004F1321"/>
    <w:rsid w:val="004F1DF7"/>
    <w:rsid w:val="004F635B"/>
    <w:rsid w:val="004F63CD"/>
    <w:rsid w:val="004F6872"/>
    <w:rsid w:val="004F7184"/>
    <w:rsid w:val="004F7E9E"/>
    <w:rsid w:val="0050191E"/>
    <w:rsid w:val="0050199A"/>
    <w:rsid w:val="00502F3F"/>
    <w:rsid w:val="005031FD"/>
    <w:rsid w:val="0050467D"/>
    <w:rsid w:val="00504B52"/>
    <w:rsid w:val="00504F5C"/>
    <w:rsid w:val="00506236"/>
    <w:rsid w:val="00510E8A"/>
    <w:rsid w:val="00512C25"/>
    <w:rsid w:val="00515149"/>
    <w:rsid w:val="005163F4"/>
    <w:rsid w:val="0051666B"/>
    <w:rsid w:val="00516CF5"/>
    <w:rsid w:val="00517B2D"/>
    <w:rsid w:val="00517F77"/>
    <w:rsid w:val="005204C7"/>
    <w:rsid w:val="00520EE4"/>
    <w:rsid w:val="005210D0"/>
    <w:rsid w:val="00521346"/>
    <w:rsid w:val="005218FD"/>
    <w:rsid w:val="00521E22"/>
    <w:rsid w:val="005221D5"/>
    <w:rsid w:val="00522742"/>
    <w:rsid w:val="00523797"/>
    <w:rsid w:val="00523F40"/>
    <w:rsid w:val="005240CC"/>
    <w:rsid w:val="005254DB"/>
    <w:rsid w:val="00526E6E"/>
    <w:rsid w:val="00527662"/>
    <w:rsid w:val="005324DA"/>
    <w:rsid w:val="005325D4"/>
    <w:rsid w:val="005335E6"/>
    <w:rsid w:val="00536584"/>
    <w:rsid w:val="00537F9F"/>
    <w:rsid w:val="00540268"/>
    <w:rsid w:val="00540D7A"/>
    <w:rsid w:val="00542E09"/>
    <w:rsid w:val="00543131"/>
    <w:rsid w:val="0054375E"/>
    <w:rsid w:val="00543BC0"/>
    <w:rsid w:val="00545FB9"/>
    <w:rsid w:val="0054647D"/>
    <w:rsid w:val="005476DB"/>
    <w:rsid w:val="00552B46"/>
    <w:rsid w:val="00552C91"/>
    <w:rsid w:val="005552C7"/>
    <w:rsid w:val="0055550F"/>
    <w:rsid w:val="00555A5B"/>
    <w:rsid w:val="005560B4"/>
    <w:rsid w:val="00556210"/>
    <w:rsid w:val="00556C6F"/>
    <w:rsid w:val="005570E0"/>
    <w:rsid w:val="00560DBC"/>
    <w:rsid w:val="00562DBA"/>
    <w:rsid w:val="00562E4F"/>
    <w:rsid w:val="00562F70"/>
    <w:rsid w:val="0056361E"/>
    <w:rsid w:val="005647A5"/>
    <w:rsid w:val="0056564A"/>
    <w:rsid w:val="00566033"/>
    <w:rsid w:val="00566257"/>
    <w:rsid w:val="005703F0"/>
    <w:rsid w:val="00570528"/>
    <w:rsid w:val="00572040"/>
    <w:rsid w:val="00575540"/>
    <w:rsid w:val="00576062"/>
    <w:rsid w:val="00577F6A"/>
    <w:rsid w:val="00580590"/>
    <w:rsid w:val="00580EF4"/>
    <w:rsid w:val="00581A9C"/>
    <w:rsid w:val="00582A94"/>
    <w:rsid w:val="00583BCA"/>
    <w:rsid w:val="005857CB"/>
    <w:rsid w:val="00585DE9"/>
    <w:rsid w:val="00592B8B"/>
    <w:rsid w:val="0059341F"/>
    <w:rsid w:val="00593A4F"/>
    <w:rsid w:val="0059479E"/>
    <w:rsid w:val="005950B5"/>
    <w:rsid w:val="005956F5"/>
    <w:rsid w:val="00595EE4"/>
    <w:rsid w:val="00596C4F"/>
    <w:rsid w:val="005A092F"/>
    <w:rsid w:val="005A0E6F"/>
    <w:rsid w:val="005A237E"/>
    <w:rsid w:val="005A2524"/>
    <w:rsid w:val="005A2A98"/>
    <w:rsid w:val="005A4306"/>
    <w:rsid w:val="005A5F10"/>
    <w:rsid w:val="005A70E3"/>
    <w:rsid w:val="005A7E52"/>
    <w:rsid w:val="005B01D7"/>
    <w:rsid w:val="005B06EE"/>
    <w:rsid w:val="005B3F74"/>
    <w:rsid w:val="005B4EE6"/>
    <w:rsid w:val="005B541C"/>
    <w:rsid w:val="005B54D8"/>
    <w:rsid w:val="005B5D7D"/>
    <w:rsid w:val="005B6095"/>
    <w:rsid w:val="005B6189"/>
    <w:rsid w:val="005B672C"/>
    <w:rsid w:val="005B6AA3"/>
    <w:rsid w:val="005C3C2D"/>
    <w:rsid w:val="005C4F7D"/>
    <w:rsid w:val="005C6DE1"/>
    <w:rsid w:val="005C7AEF"/>
    <w:rsid w:val="005D119C"/>
    <w:rsid w:val="005D1E6F"/>
    <w:rsid w:val="005D2BD2"/>
    <w:rsid w:val="005D5DE9"/>
    <w:rsid w:val="005D76D9"/>
    <w:rsid w:val="005D7C1A"/>
    <w:rsid w:val="005E3960"/>
    <w:rsid w:val="005E39B7"/>
    <w:rsid w:val="005E50A6"/>
    <w:rsid w:val="005E58B3"/>
    <w:rsid w:val="005E5C0A"/>
    <w:rsid w:val="005E5DA6"/>
    <w:rsid w:val="005F071F"/>
    <w:rsid w:val="005F27B8"/>
    <w:rsid w:val="005F3896"/>
    <w:rsid w:val="005F5625"/>
    <w:rsid w:val="005F58D1"/>
    <w:rsid w:val="005F672C"/>
    <w:rsid w:val="005F740D"/>
    <w:rsid w:val="005F76B6"/>
    <w:rsid w:val="005F7CBB"/>
    <w:rsid w:val="00600786"/>
    <w:rsid w:val="006009B2"/>
    <w:rsid w:val="00601FB8"/>
    <w:rsid w:val="006021F2"/>
    <w:rsid w:val="00602637"/>
    <w:rsid w:val="006039A7"/>
    <w:rsid w:val="00605A6A"/>
    <w:rsid w:val="0060643E"/>
    <w:rsid w:val="00606811"/>
    <w:rsid w:val="00607240"/>
    <w:rsid w:val="00607CD3"/>
    <w:rsid w:val="00607E1A"/>
    <w:rsid w:val="00610004"/>
    <w:rsid w:val="00610468"/>
    <w:rsid w:val="00611F08"/>
    <w:rsid w:val="006122FD"/>
    <w:rsid w:val="00612BFC"/>
    <w:rsid w:val="006175AA"/>
    <w:rsid w:val="00617AF1"/>
    <w:rsid w:val="00620642"/>
    <w:rsid w:val="0062242A"/>
    <w:rsid w:val="006229E4"/>
    <w:rsid w:val="00622D12"/>
    <w:rsid w:val="006235D1"/>
    <w:rsid w:val="00631037"/>
    <w:rsid w:val="006314EB"/>
    <w:rsid w:val="00632747"/>
    <w:rsid w:val="00633791"/>
    <w:rsid w:val="00636D04"/>
    <w:rsid w:val="00640403"/>
    <w:rsid w:val="00641A6C"/>
    <w:rsid w:val="00642A56"/>
    <w:rsid w:val="00644095"/>
    <w:rsid w:val="00644115"/>
    <w:rsid w:val="00644865"/>
    <w:rsid w:val="00646000"/>
    <w:rsid w:val="00647437"/>
    <w:rsid w:val="006516C9"/>
    <w:rsid w:val="00652488"/>
    <w:rsid w:val="006524BA"/>
    <w:rsid w:val="0065340A"/>
    <w:rsid w:val="0065499F"/>
    <w:rsid w:val="00654F44"/>
    <w:rsid w:val="006563EE"/>
    <w:rsid w:val="00657932"/>
    <w:rsid w:val="00660085"/>
    <w:rsid w:val="006603FA"/>
    <w:rsid w:val="00660B6D"/>
    <w:rsid w:val="00660FBB"/>
    <w:rsid w:val="00662D76"/>
    <w:rsid w:val="00664C68"/>
    <w:rsid w:val="00665E56"/>
    <w:rsid w:val="00667042"/>
    <w:rsid w:val="00670E16"/>
    <w:rsid w:val="00671929"/>
    <w:rsid w:val="00671D3F"/>
    <w:rsid w:val="00672233"/>
    <w:rsid w:val="00675076"/>
    <w:rsid w:val="00676BA4"/>
    <w:rsid w:val="0068007C"/>
    <w:rsid w:val="00680311"/>
    <w:rsid w:val="00682010"/>
    <w:rsid w:val="006833F4"/>
    <w:rsid w:val="0068352C"/>
    <w:rsid w:val="006835A2"/>
    <w:rsid w:val="00684E11"/>
    <w:rsid w:val="00684F25"/>
    <w:rsid w:val="006856AC"/>
    <w:rsid w:val="0068776A"/>
    <w:rsid w:val="006878D6"/>
    <w:rsid w:val="006879B3"/>
    <w:rsid w:val="006910BA"/>
    <w:rsid w:val="006911B4"/>
    <w:rsid w:val="00694E04"/>
    <w:rsid w:val="00694F86"/>
    <w:rsid w:val="006951FB"/>
    <w:rsid w:val="00695E47"/>
    <w:rsid w:val="006971EC"/>
    <w:rsid w:val="00697336"/>
    <w:rsid w:val="006A51A2"/>
    <w:rsid w:val="006A6B0C"/>
    <w:rsid w:val="006A7092"/>
    <w:rsid w:val="006A755C"/>
    <w:rsid w:val="006B001B"/>
    <w:rsid w:val="006B123A"/>
    <w:rsid w:val="006B15A0"/>
    <w:rsid w:val="006B4B24"/>
    <w:rsid w:val="006B7886"/>
    <w:rsid w:val="006C005B"/>
    <w:rsid w:val="006C2190"/>
    <w:rsid w:val="006C23A0"/>
    <w:rsid w:val="006C295A"/>
    <w:rsid w:val="006C3D0C"/>
    <w:rsid w:val="006C4C21"/>
    <w:rsid w:val="006C521E"/>
    <w:rsid w:val="006C522A"/>
    <w:rsid w:val="006C52A3"/>
    <w:rsid w:val="006C5C11"/>
    <w:rsid w:val="006C6B92"/>
    <w:rsid w:val="006C7784"/>
    <w:rsid w:val="006C7FFC"/>
    <w:rsid w:val="006D14A9"/>
    <w:rsid w:val="006D181A"/>
    <w:rsid w:val="006D1E9D"/>
    <w:rsid w:val="006D3289"/>
    <w:rsid w:val="006D37E7"/>
    <w:rsid w:val="006D4542"/>
    <w:rsid w:val="006D4EE7"/>
    <w:rsid w:val="006D568D"/>
    <w:rsid w:val="006D60DB"/>
    <w:rsid w:val="006D6EC7"/>
    <w:rsid w:val="006D7E54"/>
    <w:rsid w:val="006E1431"/>
    <w:rsid w:val="006E16B6"/>
    <w:rsid w:val="006E28EE"/>
    <w:rsid w:val="006E3168"/>
    <w:rsid w:val="006E4051"/>
    <w:rsid w:val="006E4133"/>
    <w:rsid w:val="006E5142"/>
    <w:rsid w:val="006F054B"/>
    <w:rsid w:val="006F21A4"/>
    <w:rsid w:val="006F3AB4"/>
    <w:rsid w:val="006F449F"/>
    <w:rsid w:val="006F5110"/>
    <w:rsid w:val="006F5ADF"/>
    <w:rsid w:val="006F61ED"/>
    <w:rsid w:val="00700C63"/>
    <w:rsid w:val="00701A76"/>
    <w:rsid w:val="007031F4"/>
    <w:rsid w:val="0070572D"/>
    <w:rsid w:val="00706785"/>
    <w:rsid w:val="00707776"/>
    <w:rsid w:val="007103AE"/>
    <w:rsid w:val="00711C27"/>
    <w:rsid w:val="007132EE"/>
    <w:rsid w:val="00713C40"/>
    <w:rsid w:val="00714C24"/>
    <w:rsid w:val="0071538F"/>
    <w:rsid w:val="00716469"/>
    <w:rsid w:val="00720118"/>
    <w:rsid w:val="00720851"/>
    <w:rsid w:val="00721902"/>
    <w:rsid w:val="00721E6F"/>
    <w:rsid w:val="007222D6"/>
    <w:rsid w:val="00725556"/>
    <w:rsid w:val="00726C32"/>
    <w:rsid w:val="00726FAD"/>
    <w:rsid w:val="00730FE5"/>
    <w:rsid w:val="00733A85"/>
    <w:rsid w:val="00734702"/>
    <w:rsid w:val="00734BDE"/>
    <w:rsid w:val="00734D1A"/>
    <w:rsid w:val="00735FED"/>
    <w:rsid w:val="00736054"/>
    <w:rsid w:val="00742993"/>
    <w:rsid w:val="00746B41"/>
    <w:rsid w:val="0075009A"/>
    <w:rsid w:val="007514E2"/>
    <w:rsid w:val="00751665"/>
    <w:rsid w:val="00752A80"/>
    <w:rsid w:val="00753419"/>
    <w:rsid w:val="00754C3D"/>
    <w:rsid w:val="007555C5"/>
    <w:rsid w:val="00755FFD"/>
    <w:rsid w:val="007625FB"/>
    <w:rsid w:val="0076320F"/>
    <w:rsid w:val="00763D2E"/>
    <w:rsid w:val="0076403F"/>
    <w:rsid w:val="007653C4"/>
    <w:rsid w:val="00766290"/>
    <w:rsid w:val="007668DC"/>
    <w:rsid w:val="00766BDE"/>
    <w:rsid w:val="00767334"/>
    <w:rsid w:val="00767D60"/>
    <w:rsid w:val="00771C29"/>
    <w:rsid w:val="00771F25"/>
    <w:rsid w:val="007737A8"/>
    <w:rsid w:val="00775005"/>
    <w:rsid w:val="0077604B"/>
    <w:rsid w:val="00776DEC"/>
    <w:rsid w:val="007774D1"/>
    <w:rsid w:val="00781C70"/>
    <w:rsid w:val="00782971"/>
    <w:rsid w:val="00782DDC"/>
    <w:rsid w:val="00784082"/>
    <w:rsid w:val="0078430E"/>
    <w:rsid w:val="007846EA"/>
    <w:rsid w:val="0078498D"/>
    <w:rsid w:val="00787F1F"/>
    <w:rsid w:val="007904B4"/>
    <w:rsid w:val="0079087F"/>
    <w:rsid w:val="00792919"/>
    <w:rsid w:val="0079354D"/>
    <w:rsid w:val="00794175"/>
    <w:rsid w:val="00795B17"/>
    <w:rsid w:val="00795FBC"/>
    <w:rsid w:val="00796A7D"/>
    <w:rsid w:val="007A19CD"/>
    <w:rsid w:val="007A1F01"/>
    <w:rsid w:val="007A2A03"/>
    <w:rsid w:val="007A41C8"/>
    <w:rsid w:val="007A459F"/>
    <w:rsid w:val="007A796A"/>
    <w:rsid w:val="007B0C5A"/>
    <w:rsid w:val="007B27F2"/>
    <w:rsid w:val="007B31A8"/>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398"/>
    <w:rsid w:val="007C58CE"/>
    <w:rsid w:val="007C5982"/>
    <w:rsid w:val="007C678F"/>
    <w:rsid w:val="007C7359"/>
    <w:rsid w:val="007C7D80"/>
    <w:rsid w:val="007D0ACB"/>
    <w:rsid w:val="007D2133"/>
    <w:rsid w:val="007D281E"/>
    <w:rsid w:val="007D393E"/>
    <w:rsid w:val="007D62AC"/>
    <w:rsid w:val="007D6480"/>
    <w:rsid w:val="007D68AF"/>
    <w:rsid w:val="007D6AA5"/>
    <w:rsid w:val="007D6C5A"/>
    <w:rsid w:val="007E0306"/>
    <w:rsid w:val="007E0E6E"/>
    <w:rsid w:val="007E23C9"/>
    <w:rsid w:val="007E263D"/>
    <w:rsid w:val="007E42C6"/>
    <w:rsid w:val="007E42F1"/>
    <w:rsid w:val="007E5A80"/>
    <w:rsid w:val="007E5B98"/>
    <w:rsid w:val="007E5C6B"/>
    <w:rsid w:val="007F06D9"/>
    <w:rsid w:val="007F17CC"/>
    <w:rsid w:val="007F284A"/>
    <w:rsid w:val="007F3779"/>
    <w:rsid w:val="007F4938"/>
    <w:rsid w:val="007F6822"/>
    <w:rsid w:val="007F696F"/>
    <w:rsid w:val="0080068B"/>
    <w:rsid w:val="00803277"/>
    <w:rsid w:val="00803C64"/>
    <w:rsid w:val="00805549"/>
    <w:rsid w:val="008063E6"/>
    <w:rsid w:val="0080743E"/>
    <w:rsid w:val="00807D40"/>
    <w:rsid w:val="00810820"/>
    <w:rsid w:val="00810E32"/>
    <w:rsid w:val="00810ED0"/>
    <w:rsid w:val="00811080"/>
    <w:rsid w:val="008111C7"/>
    <w:rsid w:val="00811D5E"/>
    <w:rsid w:val="00814D69"/>
    <w:rsid w:val="008151F0"/>
    <w:rsid w:val="0081611D"/>
    <w:rsid w:val="00817262"/>
    <w:rsid w:val="00820DE4"/>
    <w:rsid w:val="0082127C"/>
    <w:rsid w:val="00821B08"/>
    <w:rsid w:val="00821E0C"/>
    <w:rsid w:val="00822417"/>
    <w:rsid w:val="0082249A"/>
    <w:rsid w:val="00824FF5"/>
    <w:rsid w:val="0082504D"/>
    <w:rsid w:val="00825167"/>
    <w:rsid w:val="00827B3E"/>
    <w:rsid w:val="008304A5"/>
    <w:rsid w:val="00831723"/>
    <w:rsid w:val="0083208C"/>
    <w:rsid w:val="00832833"/>
    <w:rsid w:val="00832DE7"/>
    <w:rsid w:val="00834A35"/>
    <w:rsid w:val="00835DAC"/>
    <w:rsid w:val="0083730D"/>
    <w:rsid w:val="008373CA"/>
    <w:rsid w:val="0084032D"/>
    <w:rsid w:val="00841282"/>
    <w:rsid w:val="00842FFB"/>
    <w:rsid w:val="00843016"/>
    <w:rsid w:val="00843413"/>
    <w:rsid w:val="00843664"/>
    <w:rsid w:val="00843F4A"/>
    <w:rsid w:val="0084465D"/>
    <w:rsid w:val="0084496A"/>
    <w:rsid w:val="00845354"/>
    <w:rsid w:val="0084574A"/>
    <w:rsid w:val="00845EA3"/>
    <w:rsid w:val="00846428"/>
    <w:rsid w:val="0084650D"/>
    <w:rsid w:val="00851F27"/>
    <w:rsid w:val="0085270A"/>
    <w:rsid w:val="00855281"/>
    <w:rsid w:val="008568FD"/>
    <w:rsid w:val="0086120A"/>
    <w:rsid w:val="00862BD9"/>
    <w:rsid w:val="00864B27"/>
    <w:rsid w:val="00865E28"/>
    <w:rsid w:val="00865EA3"/>
    <w:rsid w:val="008661BE"/>
    <w:rsid w:val="0087028E"/>
    <w:rsid w:val="008729B2"/>
    <w:rsid w:val="00872BC2"/>
    <w:rsid w:val="0087374C"/>
    <w:rsid w:val="008742AB"/>
    <w:rsid w:val="00875445"/>
    <w:rsid w:val="00876515"/>
    <w:rsid w:val="00877D63"/>
    <w:rsid w:val="00877D75"/>
    <w:rsid w:val="00877DC7"/>
    <w:rsid w:val="00880029"/>
    <w:rsid w:val="008802B9"/>
    <w:rsid w:val="008803A6"/>
    <w:rsid w:val="00880597"/>
    <w:rsid w:val="00880EC4"/>
    <w:rsid w:val="00883158"/>
    <w:rsid w:val="00884F44"/>
    <w:rsid w:val="0088579D"/>
    <w:rsid w:val="008866B4"/>
    <w:rsid w:val="008877B6"/>
    <w:rsid w:val="00887DC0"/>
    <w:rsid w:val="0089054F"/>
    <w:rsid w:val="00891609"/>
    <w:rsid w:val="008917A1"/>
    <w:rsid w:val="00892037"/>
    <w:rsid w:val="008925ED"/>
    <w:rsid w:val="00894487"/>
    <w:rsid w:val="00894D86"/>
    <w:rsid w:val="00894E3F"/>
    <w:rsid w:val="00895839"/>
    <w:rsid w:val="00896B21"/>
    <w:rsid w:val="008A0574"/>
    <w:rsid w:val="008A05FF"/>
    <w:rsid w:val="008A211A"/>
    <w:rsid w:val="008A2443"/>
    <w:rsid w:val="008A2989"/>
    <w:rsid w:val="008A5FDC"/>
    <w:rsid w:val="008A6691"/>
    <w:rsid w:val="008A6AC5"/>
    <w:rsid w:val="008A714A"/>
    <w:rsid w:val="008B0501"/>
    <w:rsid w:val="008B07AC"/>
    <w:rsid w:val="008B0CD8"/>
    <w:rsid w:val="008B3EE6"/>
    <w:rsid w:val="008B4E34"/>
    <w:rsid w:val="008B5649"/>
    <w:rsid w:val="008B575F"/>
    <w:rsid w:val="008B65F3"/>
    <w:rsid w:val="008B67E7"/>
    <w:rsid w:val="008B7F0F"/>
    <w:rsid w:val="008C0692"/>
    <w:rsid w:val="008C1EBF"/>
    <w:rsid w:val="008C35A5"/>
    <w:rsid w:val="008C36EC"/>
    <w:rsid w:val="008C74DC"/>
    <w:rsid w:val="008C763F"/>
    <w:rsid w:val="008C7BA9"/>
    <w:rsid w:val="008D0B34"/>
    <w:rsid w:val="008D0D6E"/>
    <w:rsid w:val="008D1539"/>
    <w:rsid w:val="008D1A73"/>
    <w:rsid w:val="008D1C9C"/>
    <w:rsid w:val="008D2462"/>
    <w:rsid w:val="008D2916"/>
    <w:rsid w:val="008D2E32"/>
    <w:rsid w:val="008D3964"/>
    <w:rsid w:val="008D57A0"/>
    <w:rsid w:val="008D6252"/>
    <w:rsid w:val="008D6393"/>
    <w:rsid w:val="008D709A"/>
    <w:rsid w:val="008E2724"/>
    <w:rsid w:val="008E33D9"/>
    <w:rsid w:val="008E39E5"/>
    <w:rsid w:val="008E47C0"/>
    <w:rsid w:val="008F18F6"/>
    <w:rsid w:val="008F2558"/>
    <w:rsid w:val="008F25FE"/>
    <w:rsid w:val="008F2BBA"/>
    <w:rsid w:val="008F357D"/>
    <w:rsid w:val="008F3B2C"/>
    <w:rsid w:val="00902417"/>
    <w:rsid w:val="00902524"/>
    <w:rsid w:val="00904E07"/>
    <w:rsid w:val="00911307"/>
    <w:rsid w:val="009119DF"/>
    <w:rsid w:val="00911C0D"/>
    <w:rsid w:val="00911E29"/>
    <w:rsid w:val="009126C5"/>
    <w:rsid w:val="00913779"/>
    <w:rsid w:val="00915047"/>
    <w:rsid w:val="00915876"/>
    <w:rsid w:val="009164FA"/>
    <w:rsid w:val="00917CF4"/>
    <w:rsid w:val="00920969"/>
    <w:rsid w:val="009209C2"/>
    <w:rsid w:val="00923CC4"/>
    <w:rsid w:val="00924A3E"/>
    <w:rsid w:val="00924D7C"/>
    <w:rsid w:val="009253A3"/>
    <w:rsid w:val="0092619E"/>
    <w:rsid w:val="009309F8"/>
    <w:rsid w:val="00931208"/>
    <w:rsid w:val="009312AD"/>
    <w:rsid w:val="009331B0"/>
    <w:rsid w:val="00934004"/>
    <w:rsid w:val="00936B74"/>
    <w:rsid w:val="00940657"/>
    <w:rsid w:val="009413BE"/>
    <w:rsid w:val="00943965"/>
    <w:rsid w:val="009445BB"/>
    <w:rsid w:val="00944CA5"/>
    <w:rsid w:val="009476DD"/>
    <w:rsid w:val="00947E59"/>
    <w:rsid w:val="00947E9A"/>
    <w:rsid w:val="00950EBA"/>
    <w:rsid w:val="009514FF"/>
    <w:rsid w:val="0095258C"/>
    <w:rsid w:val="00952AAC"/>
    <w:rsid w:val="00953058"/>
    <w:rsid w:val="0095354C"/>
    <w:rsid w:val="00954AF1"/>
    <w:rsid w:val="00955A65"/>
    <w:rsid w:val="00962B7F"/>
    <w:rsid w:val="009633E6"/>
    <w:rsid w:val="00967723"/>
    <w:rsid w:val="00967CBA"/>
    <w:rsid w:val="00971333"/>
    <w:rsid w:val="00973AD7"/>
    <w:rsid w:val="009748BC"/>
    <w:rsid w:val="00974AFC"/>
    <w:rsid w:val="00974EAA"/>
    <w:rsid w:val="00977D14"/>
    <w:rsid w:val="00980B93"/>
    <w:rsid w:val="00982916"/>
    <w:rsid w:val="00985496"/>
    <w:rsid w:val="00986F01"/>
    <w:rsid w:val="0099367B"/>
    <w:rsid w:val="0099551D"/>
    <w:rsid w:val="009971B9"/>
    <w:rsid w:val="00997456"/>
    <w:rsid w:val="00997630"/>
    <w:rsid w:val="00997C36"/>
    <w:rsid w:val="009A223B"/>
    <w:rsid w:val="009A3308"/>
    <w:rsid w:val="009A3325"/>
    <w:rsid w:val="009A5A06"/>
    <w:rsid w:val="009A6CEF"/>
    <w:rsid w:val="009A71C8"/>
    <w:rsid w:val="009A7DB2"/>
    <w:rsid w:val="009B0905"/>
    <w:rsid w:val="009B2644"/>
    <w:rsid w:val="009B691F"/>
    <w:rsid w:val="009B7064"/>
    <w:rsid w:val="009B7ECF"/>
    <w:rsid w:val="009C0601"/>
    <w:rsid w:val="009C109E"/>
    <w:rsid w:val="009C18E9"/>
    <w:rsid w:val="009C35C5"/>
    <w:rsid w:val="009C395F"/>
    <w:rsid w:val="009C7903"/>
    <w:rsid w:val="009D0F5C"/>
    <w:rsid w:val="009D30EE"/>
    <w:rsid w:val="009D3849"/>
    <w:rsid w:val="009D4B15"/>
    <w:rsid w:val="009D51DE"/>
    <w:rsid w:val="009D700B"/>
    <w:rsid w:val="009E10F4"/>
    <w:rsid w:val="009E25B0"/>
    <w:rsid w:val="009E7CB7"/>
    <w:rsid w:val="009F0CAC"/>
    <w:rsid w:val="009F3240"/>
    <w:rsid w:val="009F495F"/>
    <w:rsid w:val="009F67C7"/>
    <w:rsid w:val="009F7589"/>
    <w:rsid w:val="009F7C2D"/>
    <w:rsid w:val="00A000A9"/>
    <w:rsid w:val="00A01C2C"/>
    <w:rsid w:val="00A01E82"/>
    <w:rsid w:val="00A02796"/>
    <w:rsid w:val="00A063CC"/>
    <w:rsid w:val="00A064A8"/>
    <w:rsid w:val="00A06F7B"/>
    <w:rsid w:val="00A07023"/>
    <w:rsid w:val="00A11835"/>
    <w:rsid w:val="00A12971"/>
    <w:rsid w:val="00A1303B"/>
    <w:rsid w:val="00A138AD"/>
    <w:rsid w:val="00A176B8"/>
    <w:rsid w:val="00A2012A"/>
    <w:rsid w:val="00A20311"/>
    <w:rsid w:val="00A21E01"/>
    <w:rsid w:val="00A22889"/>
    <w:rsid w:val="00A22AD0"/>
    <w:rsid w:val="00A2639C"/>
    <w:rsid w:val="00A279B2"/>
    <w:rsid w:val="00A27BC4"/>
    <w:rsid w:val="00A27F10"/>
    <w:rsid w:val="00A30073"/>
    <w:rsid w:val="00A3179F"/>
    <w:rsid w:val="00A323FF"/>
    <w:rsid w:val="00A324F8"/>
    <w:rsid w:val="00A32E7C"/>
    <w:rsid w:val="00A3320B"/>
    <w:rsid w:val="00A332B6"/>
    <w:rsid w:val="00A335CD"/>
    <w:rsid w:val="00A34D68"/>
    <w:rsid w:val="00A35482"/>
    <w:rsid w:val="00A3611F"/>
    <w:rsid w:val="00A3646B"/>
    <w:rsid w:val="00A40D17"/>
    <w:rsid w:val="00A4220F"/>
    <w:rsid w:val="00A43011"/>
    <w:rsid w:val="00A4355C"/>
    <w:rsid w:val="00A4499C"/>
    <w:rsid w:val="00A45191"/>
    <w:rsid w:val="00A45245"/>
    <w:rsid w:val="00A466F0"/>
    <w:rsid w:val="00A46BEC"/>
    <w:rsid w:val="00A47183"/>
    <w:rsid w:val="00A476FF"/>
    <w:rsid w:val="00A50AD6"/>
    <w:rsid w:val="00A50F35"/>
    <w:rsid w:val="00A53AE2"/>
    <w:rsid w:val="00A548AE"/>
    <w:rsid w:val="00A6114B"/>
    <w:rsid w:val="00A6172C"/>
    <w:rsid w:val="00A62604"/>
    <w:rsid w:val="00A64641"/>
    <w:rsid w:val="00A65163"/>
    <w:rsid w:val="00A66781"/>
    <w:rsid w:val="00A71F6C"/>
    <w:rsid w:val="00A72BBC"/>
    <w:rsid w:val="00A737E8"/>
    <w:rsid w:val="00A73FE8"/>
    <w:rsid w:val="00A742D1"/>
    <w:rsid w:val="00A75284"/>
    <w:rsid w:val="00A7692B"/>
    <w:rsid w:val="00A76DDD"/>
    <w:rsid w:val="00A77021"/>
    <w:rsid w:val="00A7749E"/>
    <w:rsid w:val="00A77613"/>
    <w:rsid w:val="00A819D8"/>
    <w:rsid w:val="00A81AEB"/>
    <w:rsid w:val="00A81ECC"/>
    <w:rsid w:val="00A81FF6"/>
    <w:rsid w:val="00A82448"/>
    <w:rsid w:val="00A83394"/>
    <w:rsid w:val="00A8553B"/>
    <w:rsid w:val="00A86865"/>
    <w:rsid w:val="00A91769"/>
    <w:rsid w:val="00A91D6E"/>
    <w:rsid w:val="00A9277B"/>
    <w:rsid w:val="00A92C9C"/>
    <w:rsid w:val="00A943AF"/>
    <w:rsid w:val="00A945B4"/>
    <w:rsid w:val="00A94D4D"/>
    <w:rsid w:val="00A94F9C"/>
    <w:rsid w:val="00A95386"/>
    <w:rsid w:val="00A97319"/>
    <w:rsid w:val="00AA0AF1"/>
    <w:rsid w:val="00AA21EF"/>
    <w:rsid w:val="00AA4EDE"/>
    <w:rsid w:val="00AA5F8F"/>
    <w:rsid w:val="00AA601D"/>
    <w:rsid w:val="00AA73BC"/>
    <w:rsid w:val="00AB0CFA"/>
    <w:rsid w:val="00AB0F74"/>
    <w:rsid w:val="00AB2B45"/>
    <w:rsid w:val="00AB2D58"/>
    <w:rsid w:val="00AB3871"/>
    <w:rsid w:val="00AB3E81"/>
    <w:rsid w:val="00AB5DA3"/>
    <w:rsid w:val="00AB6FC5"/>
    <w:rsid w:val="00AC103D"/>
    <w:rsid w:val="00AC280C"/>
    <w:rsid w:val="00AC32DE"/>
    <w:rsid w:val="00AC5099"/>
    <w:rsid w:val="00AC5203"/>
    <w:rsid w:val="00AC6B94"/>
    <w:rsid w:val="00AD0BDD"/>
    <w:rsid w:val="00AD1A61"/>
    <w:rsid w:val="00AD336C"/>
    <w:rsid w:val="00AD3567"/>
    <w:rsid w:val="00AD5F8B"/>
    <w:rsid w:val="00AE2410"/>
    <w:rsid w:val="00AE3FC8"/>
    <w:rsid w:val="00AE4E8F"/>
    <w:rsid w:val="00AE6981"/>
    <w:rsid w:val="00AF06A2"/>
    <w:rsid w:val="00AF1636"/>
    <w:rsid w:val="00AF3A9E"/>
    <w:rsid w:val="00AF476B"/>
    <w:rsid w:val="00AF5E68"/>
    <w:rsid w:val="00AF5E84"/>
    <w:rsid w:val="00AF7B35"/>
    <w:rsid w:val="00B007FC"/>
    <w:rsid w:val="00B03D6E"/>
    <w:rsid w:val="00B04EFA"/>
    <w:rsid w:val="00B06825"/>
    <w:rsid w:val="00B10852"/>
    <w:rsid w:val="00B11C82"/>
    <w:rsid w:val="00B1335E"/>
    <w:rsid w:val="00B13AAD"/>
    <w:rsid w:val="00B144D1"/>
    <w:rsid w:val="00B15765"/>
    <w:rsid w:val="00B15A58"/>
    <w:rsid w:val="00B15FEC"/>
    <w:rsid w:val="00B178C3"/>
    <w:rsid w:val="00B17AC5"/>
    <w:rsid w:val="00B17CCB"/>
    <w:rsid w:val="00B20772"/>
    <w:rsid w:val="00B21090"/>
    <w:rsid w:val="00B2226D"/>
    <w:rsid w:val="00B23D8D"/>
    <w:rsid w:val="00B23F0B"/>
    <w:rsid w:val="00B25A45"/>
    <w:rsid w:val="00B25A57"/>
    <w:rsid w:val="00B26C67"/>
    <w:rsid w:val="00B315B8"/>
    <w:rsid w:val="00B31974"/>
    <w:rsid w:val="00B33C77"/>
    <w:rsid w:val="00B3630A"/>
    <w:rsid w:val="00B37190"/>
    <w:rsid w:val="00B3771F"/>
    <w:rsid w:val="00B4069A"/>
    <w:rsid w:val="00B41D41"/>
    <w:rsid w:val="00B42929"/>
    <w:rsid w:val="00B42DC1"/>
    <w:rsid w:val="00B43410"/>
    <w:rsid w:val="00B437D7"/>
    <w:rsid w:val="00B44173"/>
    <w:rsid w:val="00B45FFC"/>
    <w:rsid w:val="00B46E7D"/>
    <w:rsid w:val="00B478B5"/>
    <w:rsid w:val="00B52800"/>
    <w:rsid w:val="00B52CE2"/>
    <w:rsid w:val="00B53B8A"/>
    <w:rsid w:val="00B550DE"/>
    <w:rsid w:val="00B5610F"/>
    <w:rsid w:val="00B562AD"/>
    <w:rsid w:val="00B57D4B"/>
    <w:rsid w:val="00B60F5D"/>
    <w:rsid w:val="00B61C2B"/>
    <w:rsid w:val="00B62CC5"/>
    <w:rsid w:val="00B66F05"/>
    <w:rsid w:val="00B721D8"/>
    <w:rsid w:val="00B72941"/>
    <w:rsid w:val="00B73954"/>
    <w:rsid w:val="00B76039"/>
    <w:rsid w:val="00B763A3"/>
    <w:rsid w:val="00B76F90"/>
    <w:rsid w:val="00B77460"/>
    <w:rsid w:val="00B77C9C"/>
    <w:rsid w:val="00B80926"/>
    <w:rsid w:val="00B80F95"/>
    <w:rsid w:val="00B82F85"/>
    <w:rsid w:val="00B84221"/>
    <w:rsid w:val="00B85566"/>
    <w:rsid w:val="00B85A8C"/>
    <w:rsid w:val="00B901E7"/>
    <w:rsid w:val="00B9162C"/>
    <w:rsid w:val="00B93AE1"/>
    <w:rsid w:val="00B93DB3"/>
    <w:rsid w:val="00B94194"/>
    <w:rsid w:val="00B94AC1"/>
    <w:rsid w:val="00B95A43"/>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0E92"/>
    <w:rsid w:val="00BB25D2"/>
    <w:rsid w:val="00BB5129"/>
    <w:rsid w:val="00BB7341"/>
    <w:rsid w:val="00BB7D15"/>
    <w:rsid w:val="00BB7F05"/>
    <w:rsid w:val="00BC0D25"/>
    <w:rsid w:val="00BC121F"/>
    <w:rsid w:val="00BC2B82"/>
    <w:rsid w:val="00BC3AAE"/>
    <w:rsid w:val="00BC3AD9"/>
    <w:rsid w:val="00BC4A90"/>
    <w:rsid w:val="00BC5076"/>
    <w:rsid w:val="00BC7AA9"/>
    <w:rsid w:val="00BD2655"/>
    <w:rsid w:val="00BD37EA"/>
    <w:rsid w:val="00BD38AF"/>
    <w:rsid w:val="00BD4FF4"/>
    <w:rsid w:val="00BD5200"/>
    <w:rsid w:val="00BD6D87"/>
    <w:rsid w:val="00BE0183"/>
    <w:rsid w:val="00BE0363"/>
    <w:rsid w:val="00BE0A0E"/>
    <w:rsid w:val="00BE0BC0"/>
    <w:rsid w:val="00BE24EE"/>
    <w:rsid w:val="00BE3B86"/>
    <w:rsid w:val="00BE4CC5"/>
    <w:rsid w:val="00BE5C9C"/>
    <w:rsid w:val="00BE650D"/>
    <w:rsid w:val="00BE6D9A"/>
    <w:rsid w:val="00BF023E"/>
    <w:rsid w:val="00BF1105"/>
    <w:rsid w:val="00BF1FBE"/>
    <w:rsid w:val="00BF2224"/>
    <w:rsid w:val="00BF3507"/>
    <w:rsid w:val="00BF4140"/>
    <w:rsid w:val="00BF727C"/>
    <w:rsid w:val="00BF7728"/>
    <w:rsid w:val="00BF7CD4"/>
    <w:rsid w:val="00C02E74"/>
    <w:rsid w:val="00C0361C"/>
    <w:rsid w:val="00C04384"/>
    <w:rsid w:val="00C051E8"/>
    <w:rsid w:val="00C056F6"/>
    <w:rsid w:val="00C065CC"/>
    <w:rsid w:val="00C07637"/>
    <w:rsid w:val="00C10E55"/>
    <w:rsid w:val="00C10EB2"/>
    <w:rsid w:val="00C11758"/>
    <w:rsid w:val="00C146CF"/>
    <w:rsid w:val="00C149E4"/>
    <w:rsid w:val="00C163DA"/>
    <w:rsid w:val="00C16F9C"/>
    <w:rsid w:val="00C21C40"/>
    <w:rsid w:val="00C22F90"/>
    <w:rsid w:val="00C230DF"/>
    <w:rsid w:val="00C233EA"/>
    <w:rsid w:val="00C2376C"/>
    <w:rsid w:val="00C2455A"/>
    <w:rsid w:val="00C25F36"/>
    <w:rsid w:val="00C26869"/>
    <w:rsid w:val="00C278D5"/>
    <w:rsid w:val="00C27D1D"/>
    <w:rsid w:val="00C30864"/>
    <w:rsid w:val="00C31BB9"/>
    <w:rsid w:val="00C3408D"/>
    <w:rsid w:val="00C346D8"/>
    <w:rsid w:val="00C356E7"/>
    <w:rsid w:val="00C37257"/>
    <w:rsid w:val="00C40500"/>
    <w:rsid w:val="00C40BE0"/>
    <w:rsid w:val="00C40C1D"/>
    <w:rsid w:val="00C417DB"/>
    <w:rsid w:val="00C42524"/>
    <w:rsid w:val="00C426B4"/>
    <w:rsid w:val="00C434B4"/>
    <w:rsid w:val="00C43B8F"/>
    <w:rsid w:val="00C455A6"/>
    <w:rsid w:val="00C45B01"/>
    <w:rsid w:val="00C4721B"/>
    <w:rsid w:val="00C47E54"/>
    <w:rsid w:val="00C51648"/>
    <w:rsid w:val="00C53A7D"/>
    <w:rsid w:val="00C54B7A"/>
    <w:rsid w:val="00C56342"/>
    <w:rsid w:val="00C56E4C"/>
    <w:rsid w:val="00C56EE6"/>
    <w:rsid w:val="00C60F5E"/>
    <w:rsid w:val="00C619F4"/>
    <w:rsid w:val="00C61CFF"/>
    <w:rsid w:val="00C61EC2"/>
    <w:rsid w:val="00C62C21"/>
    <w:rsid w:val="00C64426"/>
    <w:rsid w:val="00C651E7"/>
    <w:rsid w:val="00C66F2C"/>
    <w:rsid w:val="00C7081B"/>
    <w:rsid w:val="00C71248"/>
    <w:rsid w:val="00C725E0"/>
    <w:rsid w:val="00C74636"/>
    <w:rsid w:val="00C74BEB"/>
    <w:rsid w:val="00C75DCB"/>
    <w:rsid w:val="00C81D32"/>
    <w:rsid w:val="00C8314F"/>
    <w:rsid w:val="00C8321F"/>
    <w:rsid w:val="00C841B4"/>
    <w:rsid w:val="00C845C6"/>
    <w:rsid w:val="00C86622"/>
    <w:rsid w:val="00C8674B"/>
    <w:rsid w:val="00C868D7"/>
    <w:rsid w:val="00C9724D"/>
    <w:rsid w:val="00C9732B"/>
    <w:rsid w:val="00CA21A4"/>
    <w:rsid w:val="00CA22A5"/>
    <w:rsid w:val="00CA24C1"/>
    <w:rsid w:val="00CA3317"/>
    <w:rsid w:val="00CA52FD"/>
    <w:rsid w:val="00CA6FA4"/>
    <w:rsid w:val="00CA79CE"/>
    <w:rsid w:val="00CA7DA3"/>
    <w:rsid w:val="00CB106E"/>
    <w:rsid w:val="00CB15B6"/>
    <w:rsid w:val="00CB3804"/>
    <w:rsid w:val="00CB3A6B"/>
    <w:rsid w:val="00CC0330"/>
    <w:rsid w:val="00CC0CB3"/>
    <w:rsid w:val="00CC137A"/>
    <w:rsid w:val="00CC1FCE"/>
    <w:rsid w:val="00CC2AFD"/>
    <w:rsid w:val="00CC357C"/>
    <w:rsid w:val="00CC518F"/>
    <w:rsid w:val="00CC5B60"/>
    <w:rsid w:val="00CC63E0"/>
    <w:rsid w:val="00CC6817"/>
    <w:rsid w:val="00CC76BA"/>
    <w:rsid w:val="00CC7BBE"/>
    <w:rsid w:val="00CD4E6E"/>
    <w:rsid w:val="00CD529E"/>
    <w:rsid w:val="00CD5A83"/>
    <w:rsid w:val="00CD6FA7"/>
    <w:rsid w:val="00CD74CE"/>
    <w:rsid w:val="00CE0A5F"/>
    <w:rsid w:val="00CE0E64"/>
    <w:rsid w:val="00CE2B68"/>
    <w:rsid w:val="00CE4725"/>
    <w:rsid w:val="00CE5C16"/>
    <w:rsid w:val="00CE6398"/>
    <w:rsid w:val="00CE6470"/>
    <w:rsid w:val="00CF1081"/>
    <w:rsid w:val="00CF3D9A"/>
    <w:rsid w:val="00D01097"/>
    <w:rsid w:val="00D024F0"/>
    <w:rsid w:val="00D02541"/>
    <w:rsid w:val="00D04325"/>
    <w:rsid w:val="00D050F9"/>
    <w:rsid w:val="00D074B7"/>
    <w:rsid w:val="00D076B4"/>
    <w:rsid w:val="00D07A2E"/>
    <w:rsid w:val="00D1179F"/>
    <w:rsid w:val="00D17C47"/>
    <w:rsid w:val="00D20A64"/>
    <w:rsid w:val="00D21B17"/>
    <w:rsid w:val="00D22820"/>
    <w:rsid w:val="00D23D5D"/>
    <w:rsid w:val="00D24040"/>
    <w:rsid w:val="00D271A2"/>
    <w:rsid w:val="00D30D32"/>
    <w:rsid w:val="00D3442E"/>
    <w:rsid w:val="00D36292"/>
    <w:rsid w:val="00D365B8"/>
    <w:rsid w:val="00D36AF8"/>
    <w:rsid w:val="00D36D1A"/>
    <w:rsid w:val="00D40AFE"/>
    <w:rsid w:val="00D41861"/>
    <w:rsid w:val="00D4333A"/>
    <w:rsid w:val="00D4336E"/>
    <w:rsid w:val="00D4400D"/>
    <w:rsid w:val="00D441B4"/>
    <w:rsid w:val="00D47289"/>
    <w:rsid w:val="00D50DBD"/>
    <w:rsid w:val="00D5165F"/>
    <w:rsid w:val="00D53B17"/>
    <w:rsid w:val="00D556D9"/>
    <w:rsid w:val="00D618FA"/>
    <w:rsid w:val="00D62F10"/>
    <w:rsid w:val="00D6429F"/>
    <w:rsid w:val="00D64342"/>
    <w:rsid w:val="00D66209"/>
    <w:rsid w:val="00D669F8"/>
    <w:rsid w:val="00D67084"/>
    <w:rsid w:val="00D6782D"/>
    <w:rsid w:val="00D706E5"/>
    <w:rsid w:val="00D719A4"/>
    <w:rsid w:val="00D72BB4"/>
    <w:rsid w:val="00D72F84"/>
    <w:rsid w:val="00D73AE3"/>
    <w:rsid w:val="00D75861"/>
    <w:rsid w:val="00D76421"/>
    <w:rsid w:val="00D80DD4"/>
    <w:rsid w:val="00D80EAB"/>
    <w:rsid w:val="00D81FC1"/>
    <w:rsid w:val="00D83639"/>
    <w:rsid w:val="00D85AE9"/>
    <w:rsid w:val="00D861F4"/>
    <w:rsid w:val="00D86641"/>
    <w:rsid w:val="00D9068C"/>
    <w:rsid w:val="00D9272D"/>
    <w:rsid w:val="00D95858"/>
    <w:rsid w:val="00D95C68"/>
    <w:rsid w:val="00DA121E"/>
    <w:rsid w:val="00DA1BBE"/>
    <w:rsid w:val="00DA1D50"/>
    <w:rsid w:val="00DA26D0"/>
    <w:rsid w:val="00DA4B3B"/>
    <w:rsid w:val="00DA4FF8"/>
    <w:rsid w:val="00DA50D9"/>
    <w:rsid w:val="00DA784F"/>
    <w:rsid w:val="00DA7CBA"/>
    <w:rsid w:val="00DB0D40"/>
    <w:rsid w:val="00DB1DAF"/>
    <w:rsid w:val="00DB3331"/>
    <w:rsid w:val="00DB3400"/>
    <w:rsid w:val="00DB5633"/>
    <w:rsid w:val="00DB58EB"/>
    <w:rsid w:val="00DC1B93"/>
    <w:rsid w:val="00DC26C3"/>
    <w:rsid w:val="00DC322F"/>
    <w:rsid w:val="00DC37CE"/>
    <w:rsid w:val="00DC3C4C"/>
    <w:rsid w:val="00DC5E06"/>
    <w:rsid w:val="00DC616B"/>
    <w:rsid w:val="00DC67E3"/>
    <w:rsid w:val="00DC6DD5"/>
    <w:rsid w:val="00DD00AB"/>
    <w:rsid w:val="00DD05C8"/>
    <w:rsid w:val="00DD1854"/>
    <w:rsid w:val="00DD1DD0"/>
    <w:rsid w:val="00DD1FCB"/>
    <w:rsid w:val="00DD21D5"/>
    <w:rsid w:val="00DD4EF4"/>
    <w:rsid w:val="00DD56DC"/>
    <w:rsid w:val="00DD5CBC"/>
    <w:rsid w:val="00DD66BC"/>
    <w:rsid w:val="00DD71CF"/>
    <w:rsid w:val="00DE499E"/>
    <w:rsid w:val="00DE4B44"/>
    <w:rsid w:val="00DE7172"/>
    <w:rsid w:val="00DE782E"/>
    <w:rsid w:val="00DF15E9"/>
    <w:rsid w:val="00DF2B58"/>
    <w:rsid w:val="00DF3CB9"/>
    <w:rsid w:val="00DF3CEE"/>
    <w:rsid w:val="00DF5E42"/>
    <w:rsid w:val="00DF7C8E"/>
    <w:rsid w:val="00E00250"/>
    <w:rsid w:val="00E00D34"/>
    <w:rsid w:val="00E01913"/>
    <w:rsid w:val="00E0343A"/>
    <w:rsid w:val="00E039E1"/>
    <w:rsid w:val="00E04969"/>
    <w:rsid w:val="00E055D3"/>
    <w:rsid w:val="00E06BC9"/>
    <w:rsid w:val="00E06D41"/>
    <w:rsid w:val="00E11608"/>
    <w:rsid w:val="00E11730"/>
    <w:rsid w:val="00E121F9"/>
    <w:rsid w:val="00E13F02"/>
    <w:rsid w:val="00E140BF"/>
    <w:rsid w:val="00E1482E"/>
    <w:rsid w:val="00E14B53"/>
    <w:rsid w:val="00E153AE"/>
    <w:rsid w:val="00E24211"/>
    <w:rsid w:val="00E25114"/>
    <w:rsid w:val="00E26EB2"/>
    <w:rsid w:val="00E30475"/>
    <w:rsid w:val="00E30C4E"/>
    <w:rsid w:val="00E31401"/>
    <w:rsid w:val="00E328B9"/>
    <w:rsid w:val="00E32CA4"/>
    <w:rsid w:val="00E35796"/>
    <w:rsid w:val="00E375CB"/>
    <w:rsid w:val="00E379E8"/>
    <w:rsid w:val="00E40DDA"/>
    <w:rsid w:val="00E4185C"/>
    <w:rsid w:val="00E41DD9"/>
    <w:rsid w:val="00E43151"/>
    <w:rsid w:val="00E43796"/>
    <w:rsid w:val="00E43C70"/>
    <w:rsid w:val="00E43EA3"/>
    <w:rsid w:val="00E446E3"/>
    <w:rsid w:val="00E501E7"/>
    <w:rsid w:val="00E50E26"/>
    <w:rsid w:val="00E5273E"/>
    <w:rsid w:val="00E52BEB"/>
    <w:rsid w:val="00E52FDD"/>
    <w:rsid w:val="00E55FA5"/>
    <w:rsid w:val="00E56F46"/>
    <w:rsid w:val="00E57E24"/>
    <w:rsid w:val="00E61157"/>
    <w:rsid w:val="00E64202"/>
    <w:rsid w:val="00E664BC"/>
    <w:rsid w:val="00E667F8"/>
    <w:rsid w:val="00E66CF2"/>
    <w:rsid w:val="00E74FC5"/>
    <w:rsid w:val="00E7757A"/>
    <w:rsid w:val="00E81D4B"/>
    <w:rsid w:val="00E82528"/>
    <w:rsid w:val="00E833B5"/>
    <w:rsid w:val="00E86B3E"/>
    <w:rsid w:val="00E9085B"/>
    <w:rsid w:val="00E9155B"/>
    <w:rsid w:val="00E9271A"/>
    <w:rsid w:val="00E92C9E"/>
    <w:rsid w:val="00E932A0"/>
    <w:rsid w:val="00E94707"/>
    <w:rsid w:val="00E95200"/>
    <w:rsid w:val="00E95A34"/>
    <w:rsid w:val="00E95EA0"/>
    <w:rsid w:val="00E96ED9"/>
    <w:rsid w:val="00EA4C67"/>
    <w:rsid w:val="00EA50D4"/>
    <w:rsid w:val="00EA6441"/>
    <w:rsid w:val="00EA6625"/>
    <w:rsid w:val="00EB1729"/>
    <w:rsid w:val="00EB3E90"/>
    <w:rsid w:val="00EB5275"/>
    <w:rsid w:val="00EB7374"/>
    <w:rsid w:val="00EC41F8"/>
    <w:rsid w:val="00EC4301"/>
    <w:rsid w:val="00EC4B3E"/>
    <w:rsid w:val="00EC4C35"/>
    <w:rsid w:val="00EC510E"/>
    <w:rsid w:val="00EC7692"/>
    <w:rsid w:val="00EC7D75"/>
    <w:rsid w:val="00ED1DAA"/>
    <w:rsid w:val="00ED215A"/>
    <w:rsid w:val="00ED3580"/>
    <w:rsid w:val="00ED41D8"/>
    <w:rsid w:val="00ED4AFD"/>
    <w:rsid w:val="00ED5C33"/>
    <w:rsid w:val="00ED7373"/>
    <w:rsid w:val="00ED782E"/>
    <w:rsid w:val="00ED7B49"/>
    <w:rsid w:val="00EE02E8"/>
    <w:rsid w:val="00EE0B5F"/>
    <w:rsid w:val="00EE1086"/>
    <w:rsid w:val="00EE36D3"/>
    <w:rsid w:val="00EE469D"/>
    <w:rsid w:val="00EE513E"/>
    <w:rsid w:val="00EE526E"/>
    <w:rsid w:val="00EE60D4"/>
    <w:rsid w:val="00EE646E"/>
    <w:rsid w:val="00EE681B"/>
    <w:rsid w:val="00EF0D9B"/>
    <w:rsid w:val="00EF0E5E"/>
    <w:rsid w:val="00EF3065"/>
    <w:rsid w:val="00EF39AC"/>
    <w:rsid w:val="00EF4A52"/>
    <w:rsid w:val="00EF7188"/>
    <w:rsid w:val="00EF7474"/>
    <w:rsid w:val="00F009AA"/>
    <w:rsid w:val="00F027A6"/>
    <w:rsid w:val="00F02E5F"/>
    <w:rsid w:val="00F0390F"/>
    <w:rsid w:val="00F04E93"/>
    <w:rsid w:val="00F051A6"/>
    <w:rsid w:val="00F05343"/>
    <w:rsid w:val="00F06C44"/>
    <w:rsid w:val="00F06F31"/>
    <w:rsid w:val="00F10300"/>
    <w:rsid w:val="00F107D3"/>
    <w:rsid w:val="00F11012"/>
    <w:rsid w:val="00F12C0E"/>
    <w:rsid w:val="00F14379"/>
    <w:rsid w:val="00F2114E"/>
    <w:rsid w:val="00F21ACC"/>
    <w:rsid w:val="00F245E7"/>
    <w:rsid w:val="00F25FF9"/>
    <w:rsid w:val="00F303D9"/>
    <w:rsid w:val="00F3082E"/>
    <w:rsid w:val="00F30836"/>
    <w:rsid w:val="00F30D96"/>
    <w:rsid w:val="00F3162F"/>
    <w:rsid w:val="00F325C2"/>
    <w:rsid w:val="00F32D3D"/>
    <w:rsid w:val="00F3358B"/>
    <w:rsid w:val="00F33700"/>
    <w:rsid w:val="00F33B49"/>
    <w:rsid w:val="00F3402C"/>
    <w:rsid w:val="00F3528F"/>
    <w:rsid w:val="00F35FA0"/>
    <w:rsid w:val="00F3672C"/>
    <w:rsid w:val="00F370FB"/>
    <w:rsid w:val="00F377BC"/>
    <w:rsid w:val="00F37E55"/>
    <w:rsid w:val="00F40F67"/>
    <w:rsid w:val="00F417F9"/>
    <w:rsid w:val="00F423D8"/>
    <w:rsid w:val="00F42A1A"/>
    <w:rsid w:val="00F44A5F"/>
    <w:rsid w:val="00F455A0"/>
    <w:rsid w:val="00F45B94"/>
    <w:rsid w:val="00F46E0E"/>
    <w:rsid w:val="00F46FEE"/>
    <w:rsid w:val="00F47A1F"/>
    <w:rsid w:val="00F503E3"/>
    <w:rsid w:val="00F505D4"/>
    <w:rsid w:val="00F5180B"/>
    <w:rsid w:val="00F5187A"/>
    <w:rsid w:val="00F52C31"/>
    <w:rsid w:val="00F55526"/>
    <w:rsid w:val="00F567B8"/>
    <w:rsid w:val="00F578A5"/>
    <w:rsid w:val="00F607F5"/>
    <w:rsid w:val="00F60E32"/>
    <w:rsid w:val="00F618E4"/>
    <w:rsid w:val="00F63758"/>
    <w:rsid w:val="00F63E58"/>
    <w:rsid w:val="00F63F67"/>
    <w:rsid w:val="00F6410B"/>
    <w:rsid w:val="00F64C38"/>
    <w:rsid w:val="00F663DA"/>
    <w:rsid w:val="00F66C90"/>
    <w:rsid w:val="00F67F2F"/>
    <w:rsid w:val="00F71244"/>
    <w:rsid w:val="00F73FE3"/>
    <w:rsid w:val="00F75B86"/>
    <w:rsid w:val="00F75D5B"/>
    <w:rsid w:val="00F761D5"/>
    <w:rsid w:val="00F771D3"/>
    <w:rsid w:val="00F8376E"/>
    <w:rsid w:val="00F84749"/>
    <w:rsid w:val="00F84913"/>
    <w:rsid w:val="00F84C8D"/>
    <w:rsid w:val="00F85491"/>
    <w:rsid w:val="00F86BEA"/>
    <w:rsid w:val="00F86EAA"/>
    <w:rsid w:val="00F87505"/>
    <w:rsid w:val="00F90A3F"/>
    <w:rsid w:val="00F90BF6"/>
    <w:rsid w:val="00F911DB"/>
    <w:rsid w:val="00F92508"/>
    <w:rsid w:val="00F92944"/>
    <w:rsid w:val="00F92EBD"/>
    <w:rsid w:val="00F9393A"/>
    <w:rsid w:val="00F963B4"/>
    <w:rsid w:val="00F96495"/>
    <w:rsid w:val="00F96AE2"/>
    <w:rsid w:val="00F97951"/>
    <w:rsid w:val="00FA29E2"/>
    <w:rsid w:val="00FA3EB3"/>
    <w:rsid w:val="00FA3EEA"/>
    <w:rsid w:val="00FA683E"/>
    <w:rsid w:val="00FA6B89"/>
    <w:rsid w:val="00FA7EE1"/>
    <w:rsid w:val="00FB15ED"/>
    <w:rsid w:val="00FB1ED5"/>
    <w:rsid w:val="00FB2822"/>
    <w:rsid w:val="00FB4778"/>
    <w:rsid w:val="00FB4945"/>
    <w:rsid w:val="00FB4AB0"/>
    <w:rsid w:val="00FB66BD"/>
    <w:rsid w:val="00FB7BB3"/>
    <w:rsid w:val="00FC1393"/>
    <w:rsid w:val="00FC1403"/>
    <w:rsid w:val="00FC1BDB"/>
    <w:rsid w:val="00FC22B4"/>
    <w:rsid w:val="00FC28C3"/>
    <w:rsid w:val="00FC5CCB"/>
    <w:rsid w:val="00FC66DA"/>
    <w:rsid w:val="00FC7076"/>
    <w:rsid w:val="00FC7B24"/>
    <w:rsid w:val="00FC7C62"/>
    <w:rsid w:val="00FD0098"/>
    <w:rsid w:val="00FD39E2"/>
    <w:rsid w:val="00FD41AF"/>
    <w:rsid w:val="00FD69CE"/>
    <w:rsid w:val="00FE1FE6"/>
    <w:rsid w:val="00FE2BB6"/>
    <w:rsid w:val="00FE43A4"/>
    <w:rsid w:val="00FE4605"/>
    <w:rsid w:val="00FE4E3A"/>
    <w:rsid w:val="00FE560F"/>
    <w:rsid w:val="00FE5F61"/>
    <w:rsid w:val="00FE6FDC"/>
    <w:rsid w:val="00FE70DD"/>
    <w:rsid w:val="00FF0B70"/>
    <w:rsid w:val="00FF12BE"/>
    <w:rsid w:val="00FF1971"/>
    <w:rsid w:val="00FF2773"/>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 w:type="paragraph" w:customStyle="1" w:styleId="Default">
    <w:name w:val="Default"/>
    <w:rsid w:val="00713C4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303D9"/>
    <w:pPr>
      <w:widowControl w:val="0"/>
      <w:wordWrap w:val="0"/>
      <w:autoSpaceDE w:val="0"/>
      <w:autoSpaceDN w:val="0"/>
      <w:snapToGrid w:val="0"/>
      <w:spacing w:after="160" w:line="259" w:lineRule="auto"/>
    </w:pPr>
    <w:rPr>
      <w:rFonts w:eastAsiaTheme="minorEastAsia"/>
      <w:kern w:val="2"/>
      <w:sz w:val="20"/>
      <w:lang w:eastAsia="ko-KR"/>
    </w:rPr>
  </w:style>
  <w:style w:type="character" w:customStyle="1" w:styleId="FootnoteTextChar">
    <w:name w:val="Footnote Text Char"/>
    <w:basedOn w:val="DefaultParagraphFont"/>
    <w:link w:val="FootnoteText"/>
    <w:uiPriority w:val="99"/>
    <w:semiHidden/>
    <w:rsid w:val="00F303D9"/>
    <w:rPr>
      <w:rFonts w:eastAsiaTheme="minorEastAsia"/>
      <w:kern w:val="2"/>
      <w:sz w:val="20"/>
      <w:lang w:eastAsia="ko-KR"/>
    </w:rPr>
  </w:style>
  <w:style w:type="character" w:styleId="FootnoteReference">
    <w:name w:val="footnote reference"/>
    <w:basedOn w:val="DefaultParagraphFont"/>
    <w:uiPriority w:val="99"/>
    <w:semiHidden/>
    <w:unhideWhenUsed/>
    <w:rsid w:val="00F303D9"/>
    <w:rPr>
      <w:vertAlign w:val="superscript"/>
    </w:rPr>
  </w:style>
  <w:style w:type="character" w:styleId="UnresolvedMention">
    <w:name w:val="Unresolved Mention"/>
    <w:basedOn w:val="DefaultParagraphFont"/>
    <w:uiPriority w:val="99"/>
    <w:semiHidden/>
    <w:unhideWhenUsed/>
    <w:rsid w:val="00153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 w:id="1741977791">
      <w:bodyDiv w:val="1"/>
      <w:marLeft w:val="0"/>
      <w:marRight w:val="0"/>
      <w:marTop w:val="0"/>
      <w:marBottom w:val="0"/>
      <w:divBdr>
        <w:top w:val="none" w:sz="0" w:space="0" w:color="auto"/>
        <w:left w:val="none" w:sz="0" w:space="0" w:color="auto"/>
        <w:bottom w:val="none" w:sz="0" w:space="0" w:color="auto"/>
        <w:right w:val="none" w:sz="0" w:space="0" w:color="auto"/>
      </w:divBdr>
      <w:divsChild>
        <w:div w:id="1357392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790530">
              <w:marLeft w:val="0"/>
              <w:marRight w:val="0"/>
              <w:marTop w:val="0"/>
              <w:marBottom w:val="0"/>
              <w:divBdr>
                <w:top w:val="none" w:sz="0" w:space="0" w:color="auto"/>
                <w:left w:val="none" w:sz="0" w:space="0" w:color="auto"/>
                <w:bottom w:val="none" w:sz="0" w:space="0" w:color="auto"/>
                <w:right w:val="none" w:sz="0" w:space="0" w:color="auto"/>
              </w:divBdr>
              <w:divsChild>
                <w:div w:id="434206564">
                  <w:marLeft w:val="0"/>
                  <w:marRight w:val="0"/>
                  <w:marTop w:val="0"/>
                  <w:marBottom w:val="0"/>
                  <w:divBdr>
                    <w:top w:val="none" w:sz="0" w:space="0" w:color="auto"/>
                    <w:left w:val="none" w:sz="0" w:space="0" w:color="auto"/>
                    <w:bottom w:val="none" w:sz="0" w:space="0" w:color="auto"/>
                    <w:right w:val="none" w:sz="0" w:space="0" w:color="auto"/>
                  </w:divBdr>
                  <w:divsChild>
                    <w:div w:id="1386150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23163037">
                          <w:marLeft w:val="0"/>
                          <w:marRight w:val="0"/>
                          <w:marTop w:val="0"/>
                          <w:marBottom w:val="0"/>
                          <w:divBdr>
                            <w:top w:val="none" w:sz="0" w:space="0" w:color="auto"/>
                            <w:left w:val="none" w:sz="0" w:space="0" w:color="auto"/>
                            <w:bottom w:val="none" w:sz="0" w:space="0" w:color="auto"/>
                            <w:right w:val="none" w:sz="0" w:space="0" w:color="auto"/>
                          </w:divBdr>
                          <w:divsChild>
                            <w:div w:id="133302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818469">
                                  <w:marLeft w:val="0"/>
                                  <w:marRight w:val="0"/>
                                  <w:marTop w:val="0"/>
                                  <w:marBottom w:val="0"/>
                                  <w:divBdr>
                                    <w:top w:val="none" w:sz="0" w:space="0" w:color="auto"/>
                                    <w:left w:val="none" w:sz="0" w:space="0" w:color="auto"/>
                                    <w:bottom w:val="none" w:sz="0" w:space="0" w:color="auto"/>
                                    <w:right w:val="none" w:sz="0" w:space="0" w:color="auto"/>
                                  </w:divBdr>
                                  <w:divsChild>
                                    <w:div w:id="1989742872">
                                      <w:marLeft w:val="0"/>
                                      <w:marRight w:val="0"/>
                                      <w:marTop w:val="0"/>
                                      <w:marBottom w:val="0"/>
                                      <w:divBdr>
                                        <w:top w:val="none" w:sz="0" w:space="0" w:color="auto"/>
                                        <w:left w:val="none" w:sz="0" w:space="0" w:color="auto"/>
                                        <w:bottom w:val="none" w:sz="0" w:space="0" w:color="auto"/>
                                        <w:right w:val="none" w:sz="0" w:space="0" w:color="auto"/>
                                      </w:divBdr>
                                      <w:divsChild>
                                        <w:div w:id="878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2997</TotalTime>
  <Pages>25</Pages>
  <Words>9722</Words>
  <Characters>55418</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162</cp:revision>
  <cp:lastPrinted>2024-12-15T22:23:00Z</cp:lastPrinted>
  <dcterms:created xsi:type="dcterms:W3CDTF">2024-12-15T21:59:00Z</dcterms:created>
  <dcterms:modified xsi:type="dcterms:W3CDTF">2024-12-18T17:00:00Z</dcterms:modified>
</cp:coreProperties>
</file>