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ABCAA" w14:textId="04274C3E" w:rsidR="00ED50BA" w:rsidRDefault="00ED50BA" w:rsidP="00F9128C">
      <w:pPr>
        <w:wordWrap/>
        <w:adjustRightInd w:val="0"/>
        <w:spacing w:after="0" w:line="360" w:lineRule="auto"/>
        <w:jc w:val="center"/>
        <w:rPr>
          <w:rFonts w:ascii="Times New Roman" w:hAnsi="Times New Roman" w:cs="Times New Roman"/>
          <w:b/>
          <w:bCs/>
          <w:kern w:val="0"/>
          <w:sz w:val="32"/>
          <w:szCs w:val="32"/>
        </w:rPr>
      </w:pPr>
      <w:r w:rsidRPr="00F9128C">
        <w:rPr>
          <w:rFonts w:ascii="Times New Roman" w:hAnsi="Times New Roman" w:cs="Times New Roman" w:hint="eastAsia"/>
          <w:b/>
          <w:bCs/>
          <w:kern w:val="0"/>
          <w:sz w:val="32"/>
          <w:szCs w:val="32"/>
        </w:rPr>
        <w:t>Ref</w:t>
      </w:r>
      <w:r w:rsidR="00E53144">
        <w:rPr>
          <w:rFonts w:ascii="Times New Roman" w:hAnsi="Times New Roman" w:cs="Times New Roman"/>
          <w:b/>
          <w:bCs/>
          <w:kern w:val="0"/>
          <w:sz w:val="32"/>
          <w:szCs w:val="32"/>
        </w:rPr>
        <w:t>e</w:t>
      </w:r>
      <w:r w:rsidRPr="00F9128C">
        <w:rPr>
          <w:rFonts w:ascii="Times New Roman" w:hAnsi="Times New Roman" w:cs="Times New Roman" w:hint="eastAsia"/>
          <w:b/>
          <w:bCs/>
          <w:kern w:val="0"/>
          <w:sz w:val="32"/>
          <w:szCs w:val="32"/>
        </w:rPr>
        <w:t xml:space="preserve">ree report </w:t>
      </w:r>
      <w:r w:rsidR="002175BC">
        <w:rPr>
          <w:rFonts w:ascii="Times New Roman" w:hAnsi="Times New Roman" w:cs="Times New Roman"/>
          <w:b/>
          <w:bCs/>
          <w:kern w:val="0"/>
          <w:sz w:val="32"/>
          <w:szCs w:val="32"/>
        </w:rPr>
        <w:t>for</w:t>
      </w:r>
      <w:r w:rsidRPr="00F9128C">
        <w:rPr>
          <w:rFonts w:ascii="Times New Roman" w:hAnsi="Times New Roman" w:cs="Times New Roman" w:hint="eastAsia"/>
          <w:b/>
          <w:bCs/>
          <w:kern w:val="0"/>
          <w:sz w:val="32"/>
          <w:szCs w:val="32"/>
        </w:rPr>
        <w:t xml:space="preserve"> </w:t>
      </w:r>
      <w:r w:rsidRPr="00F9128C">
        <w:rPr>
          <w:rFonts w:ascii="Times New Roman" w:hAnsi="Times New Roman" w:cs="Times New Roman"/>
          <w:b/>
          <w:bCs/>
          <w:kern w:val="0"/>
          <w:sz w:val="32"/>
          <w:szCs w:val="32"/>
        </w:rPr>
        <w:t>“</w:t>
      </w:r>
      <w:r w:rsidRPr="00F9128C">
        <w:rPr>
          <w:rFonts w:ascii="Times New Roman" w:hAnsi="Times New Roman" w:cs="Times New Roman" w:hint="eastAsia"/>
          <w:b/>
          <w:bCs/>
          <w:kern w:val="0"/>
          <w:sz w:val="32"/>
          <w:szCs w:val="32"/>
        </w:rPr>
        <w:t>Back to the 1980s or Not? The Drivers of Inflation and Real Risks in Treasury Bonds</w:t>
      </w:r>
      <w:r w:rsidRPr="00F9128C">
        <w:rPr>
          <w:rFonts w:ascii="Times New Roman" w:hAnsi="Times New Roman" w:cs="Times New Roman"/>
          <w:b/>
          <w:bCs/>
          <w:kern w:val="0"/>
          <w:sz w:val="32"/>
          <w:szCs w:val="32"/>
        </w:rPr>
        <w:t>”</w:t>
      </w:r>
    </w:p>
    <w:p w14:paraId="0E31F8C7" w14:textId="7F68AFD6" w:rsidR="002175BC" w:rsidRPr="00F9128C" w:rsidRDefault="002175BC" w:rsidP="00F9128C">
      <w:pPr>
        <w:wordWrap/>
        <w:adjustRightInd w:val="0"/>
        <w:spacing w:after="0" w:line="360" w:lineRule="auto"/>
        <w:jc w:val="center"/>
        <w:rPr>
          <w:rFonts w:ascii="Times New Roman" w:hAnsi="Times New Roman" w:cs="Times New Roman"/>
          <w:b/>
          <w:bCs/>
          <w:kern w:val="0"/>
          <w:sz w:val="32"/>
          <w:szCs w:val="32"/>
        </w:rPr>
      </w:pPr>
      <w:r>
        <w:rPr>
          <w:rFonts w:ascii="Times New Roman" w:hAnsi="Times New Roman" w:cs="Times New Roman"/>
          <w:b/>
          <w:bCs/>
          <w:kern w:val="0"/>
          <w:sz w:val="32"/>
          <w:szCs w:val="32"/>
        </w:rPr>
        <w:t>FINEC-D-24-00175</w:t>
      </w:r>
    </w:p>
    <w:p w14:paraId="6B4D9FB1" w14:textId="58DC562D" w:rsidR="00D540FC" w:rsidRDefault="002175BC" w:rsidP="00AC1D5C">
      <w:pPr>
        <w:wordWrap/>
        <w:adjustRightInd w:val="0"/>
        <w:spacing w:before="240" w:after="0" w:line="360" w:lineRule="auto"/>
        <w:rPr>
          <w:rFonts w:ascii="Times New Roman" w:hAnsi="Times New Roman" w:cs="Times New Roman"/>
          <w:b/>
          <w:bCs/>
          <w:kern w:val="0"/>
          <w:sz w:val="28"/>
          <w:szCs w:val="28"/>
        </w:rPr>
      </w:pPr>
      <w:r>
        <w:rPr>
          <w:rFonts w:ascii="Times New Roman" w:hAnsi="Times New Roman" w:cs="Times New Roman"/>
          <w:b/>
          <w:bCs/>
          <w:kern w:val="0"/>
          <w:sz w:val="28"/>
          <w:szCs w:val="28"/>
        </w:rPr>
        <w:t>Summary</w:t>
      </w:r>
    </w:p>
    <w:p w14:paraId="28F76B25" w14:textId="42F0249F" w:rsidR="002175BC" w:rsidRPr="002175BC" w:rsidRDefault="002175BC" w:rsidP="002175BC">
      <w:pPr>
        <w:wordWrap/>
        <w:adjustRightInd w:val="0"/>
        <w:spacing w:before="240" w:after="0" w:line="360" w:lineRule="auto"/>
        <w:rPr>
          <w:rFonts w:ascii="Times New Roman" w:hAnsi="Times New Roman" w:cs="Times New Roman"/>
          <w:kern w:val="0"/>
          <w:sz w:val="22"/>
        </w:rPr>
      </w:pPr>
      <w:r w:rsidRPr="002175BC">
        <w:rPr>
          <w:rFonts w:ascii="Times New Roman" w:hAnsi="Times New Roman" w:cs="Times New Roman"/>
          <w:kern w:val="0"/>
          <w:sz w:val="22"/>
        </w:rPr>
        <w:t>Campbell, P</w:t>
      </w:r>
      <w:r>
        <w:rPr>
          <w:rFonts w:ascii="Times New Roman" w:hAnsi="Times New Roman" w:cs="Times New Roman"/>
          <w:kern w:val="0"/>
          <w:sz w:val="22"/>
        </w:rPr>
        <w:t>fl</w:t>
      </w:r>
      <w:r w:rsidRPr="002175BC">
        <w:rPr>
          <w:rFonts w:ascii="Times New Roman" w:hAnsi="Times New Roman" w:cs="Times New Roman"/>
          <w:kern w:val="0"/>
          <w:sz w:val="22"/>
        </w:rPr>
        <w:t>ueger, Viceira (CPV, 2020) documented that bond-stock betas changed sign in early 2000s—they were positive in earlier years and became negative in recent years. They developed an asset pricing model with habit formation and macroeconomic ingredients to provide an explanation for this switch, based on a change in the correlation between the output gap and inflation (which was negative in earlier years and became positive in recent years).</w:t>
      </w:r>
    </w:p>
    <w:p w14:paraId="6BB13CD6" w14:textId="500DC812" w:rsidR="00A25F61" w:rsidRDefault="002175BC" w:rsidP="00E215BD">
      <w:pPr>
        <w:wordWrap/>
        <w:adjustRightInd w:val="0"/>
        <w:spacing w:before="240" w:after="0" w:line="360" w:lineRule="auto"/>
        <w:ind w:firstLineChars="50" w:firstLine="110"/>
        <w:rPr>
          <w:rFonts w:ascii="Times New Roman" w:hAnsi="Times New Roman" w:cs="Times New Roman"/>
          <w:kern w:val="0"/>
          <w:sz w:val="22"/>
        </w:rPr>
      </w:pPr>
      <w:r w:rsidRPr="002175BC">
        <w:rPr>
          <w:rFonts w:ascii="Times New Roman" w:hAnsi="Times New Roman" w:cs="Times New Roman"/>
          <w:kern w:val="0"/>
          <w:sz w:val="22"/>
        </w:rPr>
        <w:t>While CPV made important contributions, it assumed reduced form dynamic relations for the key variables such as the in</w:t>
      </w:r>
      <w:r>
        <w:rPr>
          <w:rFonts w:ascii="Times New Roman" w:hAnsi="Times New Roman" w:cs="Times New Roman"/>
          <w:kern w:val="0"/>
          <w:sz w:val="22"/>
        </w:rPr>
        <w:t>fl</w:t>
      </w:r>
      <w:r w:rsidRPr="002175BC">
        <w:rPr>
          <w:rFonts w:ascii="Times New Roman" w:hAnsi="Times New Roman" w:cs="Times New Roman"/>
          <w:kern w:val="0"/>
          <w:sz w:val="22"/>
        </w:rPr>
        <w:t>ation and the interest rate and left a more</w:t>
      </w:r>
      <w:r>
        <w:rPr>
          <w:rFonts w:ascii="Times New Roman" w:hAnsi="Times New Roman" w:cs="Times New Roman"/>
          <w:kern w:val="0"/>
          <w:sz w:val="22"/>
        </w:rPr>
        <w:t xml:space="preserve"> </w:t>
      </w:r>
      <w:r w:rsidRPr="002175BC">
        <w:rPr>
          <w:rFonts w:ascii="Times New Roman" w:hAnsi="Times New Roman" w:cs="Times New Roman"/>
          <w:kern w:val="0"/>
          <w:sz w:val="22"/>
        </w:rPr>
        <w:t xml:space="preserve">structural interpretation for future work. This paper </w:t>
      </w:r>
      <w:r w:rsidR="00D24456">
        <w:rPr>
          <w:rFonts w:ascii="Times New Roman" w:hAnsi="Times New Roman" w:cs="Times New Roman" w:hint="eastAsia"/>
          <w:kern w:val="0"/>
          <w:sz w:val="22"/>
        </w:rPr>
        <w:t xml:space="preserve">fills </w:t>
      </w:r>
      <w:r w:rsidRPr="002175BC">
        <w:rPr>
          <w:rFonts w:ascii="Times New Roman" w:hAnsi="Times New Roman" w:cs="Times New Roman"/>
          <w:kern w:val="0"/>
          <w:sz w:val="22"/>
        </w:rPr>
        <w:t>this gap by extending CPV</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 xml:space="preserve">with a structural relationship for </w:t>
      </w:r>
      <w:r w:rsidR="00D24456">
        <w:rPr>
          <w:rFonts w:ascii="Times New Roman" w:hAnsi="Times New Roman" w:cs="Times New Roman" w:hint="eastAsia"/>
          <w:kern w:val="0"/>
          <w:sz w:val="22"/>
        </w:rPr>
        <w:t>inflation</w:t>
      </w:r>
      <w:r w:rsidRPr="002175BC">
        <w:rPr>
          <w:rFonts w:ascii="Times New Roman" w:hAnsi="Times New Roman" w:cs="Times New Roman"/>
          <w:kern w:val="0"/>
          <w:sz w:val="22"/>
        </w:rPr>
        <w:t xml:space="preserve"> (the Phillips curve) and the policy interest</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rate (a Taylor-like policy rule). The paper then applies the model to investigate the</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 xml:space="preserve">drivers of bond-stock betas as well as bond and stock returns. The main </w:t>
      </w:r>
      <w:r w:rsidR="00D24456">
        <w:rPr>
          <w:rFonts w:ascii="Times New Roman" w:hAnsi="Times New Roman" w:cs="Times New Roman" w:hint="eastAsia"/>
          <w:kern w:val="0"/>
          <w:sz w:val="22"/>
        </w:rPr>
        <w:t>finding</w:t>
      </w:r>
      <w:r w:rsidRPr="002175BC">
        <w:rPr>
          <w:rFonts w:ascii="Times New Roman" w:hAnsi="Times New Roman" w:cs="Times New Roman"/>
          <w:kern w:val="0"/>
          <w:sz w:val="22"/>
        </w:rPr>
        <w:t xml:space="preserve"> is that</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changing bond-stock betas from the 1980s to the 2000s are explained by a change from</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dominant supply (in</w:t>
      </w:r>
      <w:r w:rsidR="00D24456">
        <w:rPr>
          <w:rFonts w:ascii="Times New Roman" w:hAnsi="Times New Roman" w:cs="Times New Roman" w:hint="eastAsia"/>
          <w:kern w:val="0"/>
          <w:sz w:val="22"/>
        </w:rPr>
        <w:t>fl</w:t>
      </w:r>
      <w:r w:rsidRPr="002175BC">
        <w:rPr>
          <w:rFonts w:ascii="Times New Roman" w:hAnsi="Times New Roman" w:cs="Times New Roman"/>
          <w:kern w:val="0"/>
          <w:sz w:val="22"/>
        </w:rPr>
        <w:t>ation) shocks to dominant demand shocks, and from a fast and</w:t>
      </w:r>
      <w:r w:rsidR="00D24456">
        <w:rPr>
          <w:rFonts w:ascii="Times New Roman" w:hAnsi="Times New Roman" w:cs="Times New Roman" w:hint="eastAsia"/>
          <w:kern w:val="0"/>
          <w:sz w:val="22"/>
        </w:rPr>
        <w:t xml:space="preserve"> </w:t>
      </w:r>
      <w:r w:rsidRPr="002175BC">
        <w:rPr>
          <w:rFonts w:ascii="Times New Roman" w:hAnsi="Times New Roman" w:cs="Times New Roman"/>
          <w:kern w:val="0"/>
          <w:sz w:val="22"/>
        </w:rPr>
        <w:t>in</w:t>
      </w:r>
      <w:r w:rsidR="00D24456">
        <w:rPr>
          <w:rFonts w:ascii="Times New Roman" w:hAnsi="Times New Roman" w:cs="Times New Roman" w:hint="eastAsia"/>
          <w:kern w:val="0"/>
          <w:sz w:val="22"/>
        </w:rPr>
        <w:t>fl</w:t>
      </w:r>
      <w:r w:rsidRPr="002175BC">
        <w:rPr>
          <w:rFonts w:ascii="Times New Roman" w:hAnsi="Times New Roman" w:cs="Times New Roman"/>
          <w:kern w:val="0"/>
          <w:sz w:val="22"/>
        </w:rPr>
        <w:t>ation-focused monetary policy rule to a more inertial and output-centric rule.</w:t>
      </w:r>
    </w:p>
    <w:p w14:paraId="76985830" w14:textId="53AC2FA4" w:rsidR="00AC1D5C" w:rsidRDefault="00E215BD" w:rsidP="00C62C29">
      <w:pPr>
        <w:wordWrap/>
        <w:adjustRightInd w:val="0"/>
        <w:spacing w:before="240" w:after="0" w:line="360" w:lineRule="auto"/>
        <w:rPr>
          <w:rFonts w:ascii="Times New Roman" w:hAnsi="Times New Roman" w:cs="Times New Roman"/>
          <w:b/>
          <w:bCs/>
          <w:kern w:val="0"/>
          <w:sz w:val="28"/>
          <w:szCs w:val="28"/>
        </w:rPr>
      </w:pPr>
      <w:r>
        <w:rPr>
          <w:rFonts w:ascii="Times New Roman" w:hAnsi="Times New Roman" w:cs="Times New Roman" w:hint="eastAsia"/>
          <w:b/>
          <w:bCs/>
          <w:kern w:val="0"/>
          <w:sz w:val="28"/>
          <w:szCs w:val="28"/>
        </w:rPr>
        <w:t>Evaluation</w:t>
      </w:r>
    </w:p>
    <w:p w14:paraId="25B445C1" w14:textId="6DB61A19" w:rsidR="00A25F61" w:rsidRDefault="00E215BD" w:rsidP="00D86B96">
      <w:pPr>
        <w:wordWrap/>
        <w:adjustRightInd w:val="0"/>
        <w:spacing w:before="240" w:after="0" w:line="360" w:lineRule="auto"/>
        <w:ind w:left="110" w:hangingChars="50" w:hanging="110"/>
        <w:rPr>
          <w:rFonts w:ascii="Times New Roman" w:hAnsi="Times New Roman" w:cs="Times New Roman"/>
          <w:kern w:val="0"/>
          <w:sz w:val="22"/>
        </w:rPr>
      </w:pPr>
      <w:r>
        <w:rPr>
          <w:rFonts w:ascii="Times New Roman" w:hAnsi="Times New Roman" w:cs="Times New Roman" w:hint="eastAsia"/>
          <w:kern w:val="0"/>
          <w:sz w:val="22"/>
        </w:rPr>
        <w:t>While the paper is interesting, I thought it does not clear the bar for a top finance journal for two main reasons.</w:t>
      </w:r>
    </w:p>
    <w:p w14:paraId="635B213D" w14:textId="00E737A4" w:rsidR="00E215BD" w:rsidRDefault="00E215BD" w:rsidP="00E215BD">
      <w:pPr>
        <w:pStyle w:val="ListParagraph"/>
        <w:numPr>
          <w:ilvl w:val="0"/>
          <w:numId w:val="5"/>
        </w:numPr>
        <w:wordWrap/>
        <w:adjustRightInd w:val="0"/>
        <w:spacing w:before="240" w:after="0" w:line="360" w:lineRule="auto"/>
        <w:rPr>
          <w:rFonts w:ascii="Times New Roman" w:hAnsi="Times New Roman" w:cs="Times New Roman"/>
          <w:kern w:val="0"/>
          <w:sz w:val="22"/>
        </w:rPr>
      </w:pPr>
      <w:r w:rsidRPr="00E215BD">
        <w:rPr>
          <w:rFonts w:ascii="Times New Roman" w:hAnsi="Times New Roman" w:cs="Times New Roman" w:hint="eastAsia"/>
          <w:b/>
          <w:bCs/>
          <w:kern w:val="0"/>
          <w:sz w:val="22"/>
        </w:rPr>
        <w:t>Lack of methodological novelty.</w:t>
      </w:r>
      <w:r>
        <w:rPr>
          <w:rFonts w:ascii="Times New Roman" w:hAnsi="Times New Roman" w:cs="Times New Roman" w:hint="eastAsia"/>
          <w:kern w:val="0"/>
          <w:sz w:val="22"/>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kern w:val="0"/>
          <w:sz w:val="22"/>
        </w:rPr>
        <w:t>a relatively</w:t>
      </w:r>
      <w:r>
        <w:rPr>
          <w:rFonts w:ascii="Times New Roman" w:hAnsi="Times New Roman" w:cs="Times New Roman" w:hint="eastAsia"/>
          <w:kern w:val="0"/>
          <w:sz w:val="22"/>
        </w:rPr>
        <w:t xml:space="preserve"> minor extension. Moreover, the structural additions are either not </w:t>
      </w:r>
      <w:proofErr w:type="gramStart"/>
      <w:r>
        <w:rPr>
          <w:rFonts w:ascii="Times New Roman" w:hAnsi="Times New Roman" w:cs="Times New Roman" w:hint="eastAsia"/>
          <w:kern w:val="0"/>
          <w:sz w:val="22"/>
        </w:rPr>
        <w:t>really structural</w:t>
      </w:r>
      <w:proofErr w:type="gramEnd"/>
      <w:r>
        <w:rPr>
          <w:rFonts w:ascii="Times New Roman" w:hAnsi="Times New Roman" w:cs="Times New Roman" w:hint="eastAsia"/>
          <w:kern w:val="0"/>
          <w:sz w:val="22"/>
        </w:rPr>
        <w:t xml:space="preserve"> or not very convincing. Specifically:</w:t>
      </w:r>
    </w:p>
    <w:p w14:paraId="728821E9" w14:textId="172991E0" w:rsidR="00E215BD" w:rsidRDefault="00E215BD" w:rsidP="00B47972">
      <w:pPr>
        <w:pStyle w:val="ListParagraph"/>
        <w:numPr>
          <w:ilvl w:val="1"/>
          <w:numId w:val="6"/>
        </w:numPr>
        <w:wordWrap/>
        <w:adjustRightInd w:val="0"/>
        <w:spacing w:before="240" w:after="0" w:line="360" w:lineRule="auto"/>
        <w:rPr>
          <w:rFonts w:ascii="Times New Roman" w:hAnsi="Times New Roman" w:cs="Times New Roman"/>
          <w:kern w:val="0"/>
          <w:sz w:val="22"/>
        </w:rPr>
      </w:pPr>
      <w:r w:rsidRPr="009B6106">
        <w:rPr>
          <w:rFonts w:ascii="Times New Roman" w:hAnsi="Times New Roman" w:cs="Times New Roman" w:hint="eastAsia"/>
          <w:kern w:val="0"/>
          <w:sz w:val="22"/>
        </w:rPr>
        <w:t xml:space="preserve">The Taylor </w:t>
      </w:r>
      <w:r w:rsidR="009B6106" w:rsidRPr="009B6106">
        <w:rPr>
          <w:rFonts w:ascii="Times New Roman" w:hAnsi="Times New Roman" w:cs="Times New Roman"/>
          <w:kern w:val="0"/>
          <w:sz w:val="22"/>
        </w:rPr>
        <w:t>rules are not structural relations. In practice, central banks set</w:t>
      </w:r>
      <w:r w:rsidR="009B6106" w:rsidRPr="009B6106">
        <w:rPr>
          <w:rFonts w:ascii="Times New Roman" w:hAnsi="Times New Roman" w:cs="Times New Roman" w:hint="eastAsia"/>
          <w:kern w:val="0"/>
          <w:sz w:val="22"/>
        </w:rPr>
        <w:t xml:space="preserve"> </w:t>
      </w:r>
      <w:r w:rsidR="009B6106" w:rsidRPr="009B6106">
        <w:rPr>
          <w:rFonts w:ascii="Times New Roman" w:hAnsi="Times New Roman" w:cs="Times New Roman"/>
          <w:kern w:val="0"/>
          <w:sz w:val="22"/>
        </w:rPr>
        <w:t xml:space="preserve">policy </w:t>
      </w:r>
      <w:r w:rsidR="009B6106" w:rsidRPr="009B6106">
        <w:rPr>
          <w:rFonts w:ascii="Times New Roman" w:hAnsi="Times New Roman" w:cs="Times New Roman"/>
          <w:b/>
          <w:bCs/>
          <w:kern w:val="0"/>
          <w:sz w:val="22"/>
        </w:rPr>
        <w:t>with discretion</w:t>
      </w:r>
      <w:r w:rsidR="009B6106" w:rsidRPr="009B6106">
        <w:rPr>
          <w:rFonts w:ascii="Times New Roman" w:hAnsi="Times New Roman" w:cs="Times New Roman"/>
          <w:kern w:val="0"/>
          <w:sz w:val="22"/>
        </w:rPr>
        <w:t xml:space="preserve"> to achieve their mandates; they do not follow Taylor</w:t>
      </w:r>
      <w:r w:rsidR="009B6106" w:rsidRPr="009B6106">
        <w:rPr>
          <w:rFonts w:ascii="Times New Roman" w:hAnsi="Times New Roman" w:cs="Times New Roman" w:hint="eastAsia"/>
          <w:kern w:val="0"/>
          <w:sz w:val="22"/>
        </w:rPr>
        <w:t xml:space="preserve"> </w:t>
      </w:r>
      <w:r w:rsidR="009B6106" w:rsidRPr="009B6106">
        <w:rPr>
          <w:rFonts w:ascii="Times New Roman" w:hAnsi="Times New Roman" w:cs="Times New Roman"/>
          <w:kern w:val="0"/>
          <w:sz w:val="22"/>
        </w:rPr>
        <w:t>rules (although they might use them as benchmark). These rules are best</w:t>
      </w:r>
      <w:r w:rsidR="009B6106">
        <w:rPr>
          <w:rFonts w:ascii="Times New Roman" w:hAnsi="Times New Roman" w:cs="Times New Roman" w:hint="eastAsia"/>
          <w:kern w:val="0"/>
          <w:sz w:val="22"/>
        </w:rPr>
        <w:t xml:space="preserve"> </w:t>
      </w:r>
      <w:r w:rsidR="009B6106" w:rsidRPr="009B6106">
        <w:rPr>
          <w:rFonts w:ascii="Times New Roman" w:hAnsi="Times New Roman" w:cs="Times New Roman"/>
          <w:kern w:val="0"/>
          <w:sz w:val="22"/>
        </w:rPr>
        <w:t>interpreted as reduced form relations that approximate central bank behavior.</w:t>
      </w:r>
    </w:p>
    <w:p w14:paraId="1DDC6002" w14:textId="131C1DC6" w:rsidR="00B47972" w:rsidRPr="00B47972" w:rsidRDefault="009B6106" w:rsidP="00B47972">
      <w:pPr>
        <w:pStyle w:val="ListParagraph"/>
        <w:numPr>
          <w:ilvl w:val="1"/>
          <w:numId w:val="6"/>
        </w:numPr>
        <w:wordWrap/>
        <w:adjustRightInd w:val="0"/>
        <w:spacing w:before="240" w:line="360" w:lineRule="auto"/>
        <w:rPr>
          <w:rFonts w:ascii="Times New Roman" w:hAnsi="Times New Roman" w:cs="Times New Roman"/>
          <w:kern w:val="0"/>
          <w:sz w:val="22"/>
        </w:rPr>
      </w:pPr>
      <w:r w:rsidRPr="009B6106">
        <w:rPr>
          <w:rFonts w:ascii="Times New Roman" w:hAnsi="Times New Roman" w:cs="Times New Roman"/>
          <w:kern w:val="0"/>
          <w:sz w:val="22"/>
        </w:rPr>
        <w:t>The Phillips curve is generally the weakest part of New Keynesian models</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since there is much we don’t understand about in</w:t>
      </w:r>
      <w:r w:rsidRPr="009B6106">
        <w:rPr>
          <w:rFonts w:ascii="Times New Roman" w:hAnsi="Times New Roman" w:cs="Times New Roman" w:hint="eastAsia"/>
          <w:kern w:val="0"/>
          <w:sz w:val="22"/>
        </w:rPr>
        <w:t>fl</w:t>
      </w:r>
      <w:r w:rsidRPr="009B6106">
        <w:rPr>
          <w:rFonts w:ascii="Times New Roman" w:hAnsi="Times New Roman" w:cs="Times New Roman"/>
          <w:kern w:val="0"/>
          <w:sz w:val="22"/>
        </w:rPr>
        <w:t xml:space="preserve">ation (we have a </w:t>
      </w:r>
      <w:r w:rsidRPr="009B6106">
        <w:rPr>
          <w:rFonts w:ascii="Times New Roman" w:hAnsi="Times New Roman" w:cs="Times New Roman"/>
          <w:i/>
          <w:iCs/>
          <w:kern w:val="0"/>
          <w:sz w:val="22"/>
        </w:rPr>
        <w:t>qualitative</w:t>
      </w:r>
      <w:r w:rsidRPr="009B6106">
        <w:rPr>
          <w:rFonts w:ascii="Times New Roman" w:hAnsi="Times New Roman" w:cs="Times New Roman"/>
          <w:kern w:val="0"/>
          <w:sz w:val="22"/>
        </w:rPr>
        <w:t xml:space="preserve"> understanding). This paper’s Phillips curve is no exception. The paper</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 xml:space="preserve">assumes prices are </w:t>
      </w:r>
      <w:r w:rsidRPr="009B6106">
        <w:rPr>
          <w:rFonts w:ascii="Times New Roman" w:hAnsi="Times New Roman" w:cs="Times New Roman" w:hint="eastAsia"/>
          <w:kern w:val="0"/>
          <w:sz w:val="22"/>
        </w:rPr>
        <w:t>fl</w:t>
      </w:r>
      <w:r w:rsidRPr="009B6106">
        <w:rPr>
          <w:rFonts w:ascii="Times New Roman" w:hAnsi="Times New Roman" w:cs="Times New Roman"/>
          <w:kern w:val="0"/>
          <w:sz w:val="22"/>
        </w:rPr>
        <w:t>exible and wages are sticky, and derives a wage Phillips</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 xml:space="preserve">curve with </w:t>
      </w:r>
      <w:proofErr w:type="gramStart"/>
      <w:r w:rsidRPr="009B6106">
        <w:rPr>
          <w:rFonts w:ascii="Times New Roman" w:hAnsi="Times New Roman" w:cs="Times New Roman"/>
          <w:kern w:val="0"/>
          <w:sz w:val="22"/>
        </w:rPr>
        <w:t>backward and forward looking</w:t>
      </w:r>
      <w:proofErr w:type="gramEnd"/>
      <w:r w:rsidRPr="009B6106">
        <w:rPr>
          <w:rFonts w:ascii="Times New Roman" w:hAnsi="Times New Roman" w:cs="Times New Roman"/>
          <w:kern w:val="0"/>
          <w:sz w:val="22"/>
        </w:rPr>
        <w:t xml:space="preserve"> elements. This approach will miss</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 xml:space="preserve">a lot </w:t>
      </w:r>
      <w:r w:rsidRPr="009B6106">
        <w:rPr>
          <w:rFonts w:ascii="Times New Roman" w:hAnsi="Times New Roman" w:cs="Times New Roman"/>
          <w:kern w:val="0"/>
          <w:sz w:val="22"/>
        </w:rPr>
        <w:lastRenderedPageBreak/>
        <w:t>of richness that matters in practice, e.g., the Covid-19 shock showed</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that price and wage in</w:t>
      </w:r>
      <w:r w:rsidRPr="009B6106">
        <w:rPr>
          <w:rFonts w:ascii="Times New Roman" w:hAnsi="Times New Roman" w:cs="Times New Roman" w:hint="eastAsia"/>
          <w:kern w:val="0"/>
          <w:sz w:val="22"/>
        </w:rPr>
        <w:t>fl</w:t>
      </w:r>
      <w:r w:rsidRPr="009B6106">
        <w:rPr>
          <w:rFonts w:ascii="Times New Roman" w:hAnsi="Times New Roman" w:cs="Times New Roman"/>
          <w:kern w:val="0"/>
          <w:sz w:val="22"/>
        </w:rPr>
        <w:t>ation can have very di</w:t>
      </w:r>
      <w:r w:rsidRPr="009B6106">
        <w:rPr>
          <w:rFonts w:ascii="Times New Roman" w:hAnsi="Times New Roman" w:cs="Times New Roman" w:hint="eastAsia"/>
          <w:kern w:val="0"/>
          <w:sz w:val="22"/>
        </w:rPr>
        <w:t>ff</w:t>
      </w:r>
      <w:r w:rsidRPr="009B6106">
        <w:rPr>
          <w:rFonts w:ascii="Times New Roman" w:hAnsi="Times New Roman" w:cs="Times New Roman"/>
          <w:kern w:val="0"/>
          <w:sz w:val="22"/>
        </w:rPr>
        <w:t>erent dynamics.</w:t>
      </w:r>
      <w:r w:rsidRPr="009B6106">
        <w:rPr>
          <w:rFonts w:ascii="Times New Roman" w:hAnsi="Times New Roman" w:cs="Times New Roman" w:hint="eastAsia"/>
          <w:kern w:val="0"/>
          <w:sz w:val="22"/>
        </w:rPr>
        <w:t xml:space="preserve"> </w:t>
      </w:r>
      <w:r>
        <w:rPr>
          <w:rFonts w:ascii="Times New Roman" w:hAnsi="Times New Roman" w:cs="Times New Roman"/>
          <w:kern w:val="0"/>
          <w:sz w:val="22"/>
        </w:rPr>
        <w:br/>
      </w:r>
      <w:r w:rsidRPr="009B6106">
        <w:rPr>
          <w:rFonts w:ascii="Times New Roman" w:hAnsi="Times New Roman" w:cs="Times New Roman"/>
          <w:kern w:val="0"/>
          <w:sz w:val="22"/>
        </w:rPr>
        <w:t>To be clear, I like simple models. However, the model should be constructed</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with a goal of explaining a particular set of facts. We can then evaluate the</w:t>
      </w:r>
      <w:r w:rsidRPr="009B6106">
        <w:rPr>
          <w:rFonts w:ascii="Times New Roman" w:hAnsi="Times New Roman" w:cs="Times New Roman" w:hint="eastAsia"/>
          <w:kern w:val="0"/>
          <w:sz w:val="22"/>
        </w:rPr>
        <w:t xml:space="preserve"> </w:t>
      </w:r>
      <w:r w:rsidRPr="009B6106">
        <w:rPr>
          <w:rFonts w:ascii="Times New Roman" w:hAnsi="Times New Roman" w:cs="Times New Roman"/>
          <w:kern w:val="0"/>
          <w:sz w:val="22"/>
        </w:rPr>
        <w:t>model based on how well it explains the facts and whether the simplifying</w:t>
      </w:r>
      <w:r>
        <w:rPr>
          <w:rFonts w:ascii="Times New Roman" w:hAnsi="Times New Roman" w:cs="Times New Roman" w:hint="eastAsia"/>
          <w:kern w:val="0"/>
          <w:sz w:val="22"/>
        </w:rPr>
        <w:t xml:space="preserve"> </w:t>
      </w:r>
      <w:r w:rsidRPr="009B6106">
        <w:rPr>
          <w:rFonts w:ascii="Times New Roman" w:hAnsi="Times New Roman" w:cs="Times New Roman"/>
          <w:kern w:val="0"/>
          <w:sz w:val="22"/>
        </w:rPr>
        <w:t>assumptions are justi</w:t>
      </w:r>
      <w:r>
        <w:rPr>
          <w:rFonts w:ascii="Times New Roman" w:hAnsi="Times New Roman" w:cs="Times New Roman" w:hint="eastAsia"/>
          <w:kern w:val="0"/>
          <w:sz w:val="22"/>
        </w:rPr>
        <w:t>fi</w:t>
      </w:r>
      <w:r w:rsidRPr="009B6106">
        <w:rPr>
          <w:rFonts w:ascii="Times New Roman" w:hAnsi="Times New Roman" w:cs="Times New Roman"/>
          <w:kern w:val="0"/>
          <w:sz w:val="22"/>
        </w:rPr>
        <w:t>ed. This gets me to my second point.</w:t>
      </w:r>
    </w:p>
    <w:p w14:paraId="3CEA3C94" w14:textId="5E90FE75" w:rsidR="00B47972" w:rsidRDefault="00B47972" w:rsidP="00B47972">
      <w:pPr>
        <w:pStyle w:val="ListParagraph"/>
        <w:numPr>
          <w:ilvl w:val="0"/>
          <w:numId w:val="5"/>
        </w:numPr>
        <w:wordWrap/>
        <w:adjustRightInd w:val="0"/>
        <w:spacing w:before="240" w:after="0" w:line="360" w:lineRule="auto"/>
        <w:rPr>
          <w:rFonts w:ascii="Times New Roman" w:hAnsi="Times New Roman" w:cs="Times New Roman"/>
          <w:kern w:val="0"/>
          <w:sz w:val="22"/>
        </w:rPr>
      </w:pPr>
      <w:r w:rsidRPr="00D10643">
        <w:rPr>
          <w:rFonts w:ascii="Times New Roman" w:hAnsi="Times New Roman" w:cs="Times New Roman" w:hint="eastAsia"/>
          <w:b/>
          <w:bCs/>
          <w:kern w:val="0"/>
          <w:sz w:val="22"/>
        </w:rPr>
        <w:t>The paper does not persuasively explain any new fact (beyond what we can tell based on CPV).</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Given the lack of methodological novelty, the</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paper should be evaluated in terms of how well it explains the motivating facts—</w:t>
      </w:r>
      <w:r w:rsidRPr="00D10643">
        <w:rPr>
          <w:rFonts w:ascii="Times New Roman" w:hAnsi="Times New Roman" w:cs="Times New Roman" w:hint="eastAsia"/>
          <w:kern w:val="0"/>
          <w:sz w:val="22"/>
        </w:rPr>
        <w:t>specifically,</w:t>
      </w:r>
      <w:r w:rsidRPr="00D10643">
        <w:rPr>
          <w:rFonts w:ascii="Times New Roman" w:hAnsi="Times New Roman" w:cs="Times New Roman"/>
          <w:kern w:val="0"/>
          <w:sz w:val="22"/>
        </w:rPr>
        <w:t xml:space="preserve"> the changing bond-stock betas. The paper claims that betas were</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positive in the earlier decades because “supply shocks”</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were more relevant and the</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Fed was more in</w:t>
      </w:r>
      <w:r w:rsidRPr="00D10643">
        <w:rPr>
          <w:rFonts w:ascii="Times New Roman" w:hAnsi="Times New Roman" w:cs="Times New Roman" w:hint="eastAsia"/>
          <w:kern w:val="0"/>
          <w:sz w:val="22"/>
        </w:rPr>
        <w:t>fl</w:t>
      </w:r>
      <w:r w:rsidRPr="00D10643">
        <w:rPr>
          <w:rFonts w:ascii="Times New Roman" w:hAnsi="Times New Roman" w:cs="Times New Roman"/>
          <w:kern w:val="0"/>
          <w:sz w:val="22"/>
        </w:rPr>
        <w:t>ation focused and more alert (less inertial). This explanation is</w:t>
      </w:r>
      <w:r w:rsidRPr="00D10643">
        <w:rPr>
          <w:rFonts w:ascii="Times New Roman" w:hAnsi="Times New Roman" w:cs="Times New Roman" w:hint="eastAsia"/>
          <w:kern w:val="0"/>
          <w:sz w:val="22"/>
        </w:rPr>
        <w:t xml:space="preserve"> </w:t>
      </w:r>
      <w:r w:rsidRPr="00D10643">
        <w:rPr>
          <w:rFonts w:ascii="Times New Roman" w:hAnsi="Times New Roman" w:cs="Times New Roman"/>
          <w:kern w:val="0"/>
          <w:sz w:val="22"/>
        </w:rPr>
        <w:t xml:space="preserve">problematic for </w:t>
      </w:r>
      <w:proofErr w:type="gramStart"/>
      <w:r w:rsidRPr="00D10643">
        <w:rPr>
          <w:rFonts w:ascii="Times New Roman" w:hAnsi="Times New Roman" w:cs="Times New Roman"/>
          <w:kern w:val="0"/>
          <w:sz w:val="22"/>
        </w:rPr>
        <w:t>a number of</w:t>
      </w:r>
      <w:proofErr w:type="gramEnd"/>
      <w:r w:rsidRPr="00D10643">
        <w:rPr>
          <w:rFonts w:ascii="Times New Roman" w:hAnsi="Times New Roman" w:cs="Times New Roman"/>
          <w:kern w:val="0"/>
          <w:sz w:val="22"/>
        </w:rPr>
        <w:t xml:space="preserve"> reasons</w:t>
      </w:r>
      <w:r w:rsidR="00D10643">
        <w:rPr>
          <w:rFonts w:ascii="Times New Roman" w:hAnsi="Times New Roman" w:cs="Times New Roman" w:hint="eastAsia"/>
          <w:kern w:val="0"/>
          <w:sz w:val="22"/>
        </w:rPr>
        <w:t>:</w:t>
      </w:r>
    </w:p>
    <w:p w14:paraId="46BC363E" w14:textId="52CD6AF9" w:rsidR="00D10643" w:rsidRDefault="00D10643" w:rsidP="00130791">
      <w:pPr>
        <w:pStyle w:val="ListParagraph"/>
        <w:numPr>
          <w:ilvl w:val="1"/>
          <w:numId w:val="7"/>
        </w:numPr>
        <w:wordWrap/>
        <w:adjustRightInd w:val="0"/>
        <w:spacing w:before="240" w:after="0" w:line="360" w:lineRule="auto"/>
        <w:rPr>
          <w:rFonts w:ascii="Times New Roman" w:hAnsi="Times New Roman" w:cs="Times New Roman"/>
          <w:kern w:val="0"/>
          <w:sz w:val="22"/>
        </w:rPr>
      </w:pPr>
      <w:r w:rsidRPr="00AE5C04">
        <w:rPr>
          <w:rFonts w:ascii="Times New Roman" w:hAnsi="Times New Roman" w:cs="Times New Roman"/>
          <w:kern w:val="0"/>
          <w:sz w:val="22"/>
        </w:rPr>
        <w:t>A qualitative reading of history suggests that there were no major “</w:t>
      </w:r>
      <w:r w:rsidRPr="00AE5C04">
        <w:rPr>
          <w:rFonts w:ascii="Times New Roman" w:hAnsi="Times New Roman" w:cs="Times New Roman" w:hint="eastAsia"/>
          <w:kern w:val="0"/>
          <w:sz w:val="22"/>
        </w:rPr>
        <w:t>s</w:t>
      </w:r>
      <w:r w:rsidRPr="00AE5C04">
        <w:rPr>
          <w:rFonts w:ascii="Times New Roman" w:hAnsi="Times New Roman" w:cs="Times New Roman"/>
          <w:kern w:val="0"/>
          <w:sz w:val="22"/>
        </w:rPr>
        <w:t>upply</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shocks” in the 1980s (either empirically or “in investors’</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minds”). Supply</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shocks were relevant in the 1970s—</w:t>
      </w:r>
      <w:r w:rsidRPr="00AE5C04">
        <w:rPr>
          <w:rFonts w:ascii="Times New Roman" w:hAnsi="Times New Roman" w:cs="Times New Roman" w:hint="eastAsia"/>
          <w:kern w:val="0"/>
          <w:sz w:val="22"/>
        </w:rPr>
        <w:t xml:space="preserve">think </w:t>
      </w:r>
      <w:r w:rsidRPr="00AE5C04">
        <w:rPr>
          <w:rFonts w:ascii="Times New Roman" w:hAnsi="Times New Roman" w:cs="Times New Roman"/>
          <w:kern w:val="0"/>
          <w:sz w:val="22"/>
        </w:rPr>
        <w:t>oil/food price shocks and associated</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recessions. In the 1980s, the main issue was elevated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ation and its persistence (e.g., due to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ation expectations or experience a</w:t>
      </w:r>
      <w:r w:rsidRPr="00AE5C04">
        <w:rPr>
          <w:rFonts w:ascii="Times New Roman" w:hAnsi="Times New Roman" w:cs="Times New Roman" w:hint="eastAsia"/>
          <w:kern w:val="0"/>
          <w:sz w:val="22"/>
        </w:rPr>
        <w:t>ff</w:t>
      </w:r>
      <w:r w:rsidRPr="00AE5C04">
        <w:rPr>
          <w:rFonts w:ascii="Times New Roman" w:hAnsi="Times New Roman" w:cs="Times New Roman"/>
          <w:kern w:val="0"/>
          <w:sz w:val="22"/>
        </w:rPr>
        <w:t>ecting price-setting</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behavior). Chair Volcker hiked rates and generated a recession to reduce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 xml:space="preserve">ation. Afterward, there were several </w:t>
      </w:r>
      <w:r w:rsidR="004A1937" w:rsidRPr="00AE5C04">
        <w:rPr>
          <w:rFonts w:ascii="Times New Roman" w:hAnsi="Times New Roman" w:cs="Times New Roman"/>
          <w:kern w:val="0"/>
          <w:sz w:val="22"/>
        </w:rPr>
        <w:t>“</w:t>
      </w:r>
      <w:r w:rsidR="004A1937" w:rsidRPr="00AE5C04">
        <w:rPr>
          <w:rFonts w:ascii="Times New Roman" w:hAnsi="Times New Roman" w:cs="Times New Roman" w:hint="eastAsia"/>
          <w:kern w:val="0"/>
          <w:sz w:val="22"/>
        </w:rPr>
        <w:t>inflation scares</w:t>
      </w:r>
      <w:r w:rsidR="004A1937" w:rsidRPr="00AE5C04">
        <w:rPr>
          <w:rFonts w:ascii="Times New Roman" w:hAnsi="Times New Roman" w:cs="Times New Roman"/>
          <w:kern w:val="0"/>
          <w:sz w:val="22"/>
        </w:rPr>
        <w:t>”—</w:t>
      </w:r>
      <w:r w:rsidR="004A1937" w:rsidRPr="00AE5C04">
        <w:rPr>
          <w:rFonts w:ascii="Times New Roman" w:hAnsi="Times New Roman" w:cs="Times New Roman" w:hint="eastAsia"/>
          <w:kern w:val="0"/>
          <w:sz w:val="22"/>
        </w:rPr>
        <w:t xml:space="preserve">the </w:t>
      </w:r>
      <w:r w:rsidRPr="00AE5C04">
        <w:rPr>
          <w:rFonts w:ascii="Times New Roman" w:hAnsi="Times New Roman" w:cs="Times New Roman"/>
          <w:kern w:val="0"/>
          <w:sz w:val="22"/>
        </w:rPr>
        <w:t>markets were</w:t>
      </w:r>
      <w:r w:rsidR="004A1937"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testing the Fed</w:t>
      </w:r>
      <w:r w:rsidR="004A1937" w:rsidRPr="00AE5C04">
        <w:rPr>
          <w:rFonts w:ascii="Times New Roman" w:hAnsi="Times New Roman" w:cs="Times New Roman"/>
          <w:kern w:val="0"/>
          <w:sz w:val="22"/>
        </w:rPr>
        <w:t>’</w:t>
      </w:r>
      <w:r w:rsidRPr="00AE5C04">
        <w:rPr>
          <w:rFonts w:ascii="Times New Roman" w:hAnsi="Times New Roman" w:cs="Times New Roman"/>
          <w:kern w:val="0"/>
          <w:sz w:val="22"/>
        </w:rPr>
        <w:t>s resolve to see whether they are serious about controlling</w:t>
      </w:r>
      <w:r w:rsidR="004A1937"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in</w:t>
      </w:r>
      <w:r w:rsidR="004A1937" w:rsidRPr="00AE5C04">
        <w:rPr>
          <w:rFonts w:ascii="Times New Roman" w:hAnsi="Times New Roman" w:cs="Times New Roman" w:hint="eastAsia"/>
          <w:kern w:val="0"/>
          <w:sz w:val="22"/>
        </w:rPr>
        <w:t>fl</w:t>
      </w:r>
      <w:r w:rsidRPr="00AE5C04">
        <w:rPr>
          <w:rFonts w:ascii="Times New Roman" w:hAnsi="Times New Roman" w:cs="Times New Roman"/>
          <w:kern w:val="0"/>
          <w:sz w:val="22"/>
        </w:rPr>
        <w:t>ation or whether in</w:t>
      </w:r>
      <w:r w:rsidR="004A1937" w:rsidRPr="00AE5C04">
        <w:rPr>
          <w:rFonts w:ascii="Times New Roman" w:hAnsi="Times New Roman" w:cs="Times New Roman" w:hint="eastAsia"/>
          <w:kern w:val="0"/>
          <w:sz w:val="22"/>
        </w:rPr>
        <w:t>fl</w:t>
      </w:r>
      <w:r w:rsidRPr="00AE5C04">
        <w:rPr>
          <w:rFonts w:ascii="Times New Roman" w:hAnsi="Times New Roman" w:cs="Times New Roman"/>
          <w:kern w:val="0"/>
          <w:sz w:val="22"/>
        </w:rPr>
        <w:t xml:space="preserve">ation would </w:t>
      </w:r>
      <w:r w:rsidR="004A1937" w:rsidRPr="00AE5C04">
        <w:rPr>
          <w:rFonts w:ascii="Times New Roman" w:hAnsi="Times New Roman" w:cs="Times New Roman" w:hint="eastAsia"/>
          <w:kern w:val="0"/>
          <w:sz w:val="22"/>
        </w:rPr>
        <w:t>fl</w:t>
      </w:r>
      <w:r w:rsidRPr="00AE5C04">
        <w:rPr>
          <w:rFonts w:ascii="Times New Roman" w:hAnsi="Times New Roman" w:cs="Times New Roman"/>
          <w:kern w:val="0"/>
          <w:sz w:val="22"/>
        </w:rPr>
        <w:t>are up again. Over time, the Fed managed to keep in</w:t>
      </w:r>
      <w:r w:rsidR="004A1937" w:rsidRPr="00AE5C04">
        <w:rPr>
          <w:rFonts w:ascii="Times New Roman" w:hAnsi="Times New Roman" w:cs="Times New Roman" w:hint="eastAsia"/>
          <w:kern w:val="0"/>
          <w:sz w:val="22"/>
        </w:rPr>
        <w:t>fl</w:t>
      </w:r>
      <w:r w:rsidRPr="00AE5C04">
        <w:rPr>
          <w:rFonts w:ascii="Times New Roman" w:hAnsi="Times New Roman" w:cs="Times New Roman"/>
          <w:kern w:val="0"/>
          <w:sz w:val="22"/>
        </w:rPr>
        <w:t>ation at its implicit target (2%). The Fed eventually gained</w:t>
      </w:r>
      <w:r w:rsidR="004A1937"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credibility and in</w:t>
      </w:r>
      <w:r w:rsidR="004A1937" w:rsidRPr="00AE5C04">
        <w:rPr>
          <w:rFonts w:ascii="Times New Roman" w:hAnsi="Times New Roman" w:cs="Times New Roman" w:hint="eastAsia"/>
          <w:kern w:val="0"/>
          <w:sz w:val="22"/>
        </w:rPr>
        <w:t>fl</w:t>
      </w:r>
      <w:r w:rsidRPr="00AE5C04">
        <w:rPr>
          <w:rFonts w:ascii="Times New Roman" w:hAnsi="Times New Roman" w:cs="Times New Roman"/>
          <w:kern w:val="0"/>
          <w:sz w:val="22"/>
        </w:rPr>
        <w:t>ation expectations became anchored. This credibility is</w:t>
      </w:r>
      <w:r w:rsidR="004A1937"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why (among other things) bond-stock betas eventually turned negative.</w:t>
      </w:r>
      <w:r w:rsidR="004A1937">
        <w:rPr>
          <w:rStyle w:val="FootnoteReference"/>
          <w:rFonts w:ascii="Times New Roman" w:hAnsi="Times New Roman" w:cs="Times New Roman"/>
          <w:kern w:val="0"/>
          <w:sz w:val="22"/>
        </w:rPr>
        <w:footnoteReference w:id="1"/>
      </w:r>
      <w:r w:rsidR="004A1937" w:rsidRPr="00AE5C04">
        <w:rPr>
          <w:rFonts w:ascii="Times New Roman" w:hAnsi="Times New Roman" w:cs="Times New Roman" w:hint="eastAsia"/>
          <w:kern w:val="0"/>
          <w:sz w:val="22"/>
        </w:rPr>
        <w:t xml:space="preserve"> </w:t>
      </w:r>
      <w:r w:rsidR="00AE5C04" w:rsidRPr="00AE5C04">
        <w:rPr>
          <w:rFonts w:ascii="Times New Roman" w:hAnsi="Times New Roman" w:cs="Times New Roman"/>
          <w:kern w:val="0"/>
          <w:sz w:val="22"/>
        </w:rPr>
        <w:br/>
      </w:r>
      <w:r w:rsidRPr="00AE5C04">
        <w:rPr>
          <w:rFonts w:ascii="Times New Roman" w:hAnsi="Times New Roman" w:cs="Times New Roman"/>
          <w:kern w:val="0"/>
          <w:sz w:val="22"/>
        </w:rPr>
        <w:t>Given this history, what should we make of this paper</w:t>
      </w:r>
      <w:r w:rsidR="00AE5C04" w:rsidRPr="00AE5C04">
        <w:rPr>
          <w:rFonts w:ascii="Times New Roman" w:hAnsi="Times New Roman" w:cs="Times New Roman"/>
          <w:kern w:val="0"/>
          <w:sz w:val="22"/>
        </w:rPr>
        <w:t>’</w:t>
      </w:r>
      <w:r w:rsidRPr="00AE5C04">
        <w:rPr>
          <w:rFonts w:ascii="Times New Roman" w:hAnsi="Times New Roman" w:cs="Times New Roman"/>
          <w:kern w:val="0"/>
          <w:sz w:val="22"/>
        </w:rPr>
        <w:t>s explanation that this</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 xml:space="preserve">period featured dominant </w:t>
      </w:r>
      <w:r w:rsidR="00AE5C04" w:rsidRPr="00AE5C04">
        <w:rPr>
          <w:rFonts w:ascii="Times New Roman" w:hAnsi="Times New Roman" w:cs="Times New Roman"/>
          <w:kern w:val="0"/>
          <w:sz w:val="22"/>
        </w:rPr>
        <w:t>“</w:t>
      </w:r>
      <w:r w:rsidRPr="00AE5C04">
        <w:rPr>
          <w:rFonts w:ascii="Times New Roman" w:hAnsi="Times New Roman" w:cs="Times New Roman"/>
          <w:kern w:val="0"/>
          <w:sz w:val="22"/>
        </w:rPr>
        <w:t>supply shocks</w:t>
      </w:r>
      <w:r w:rsidR="00AE5C04" w:rsidRPr="00AE5C04">
        <w:rPr>
          <w:rFonts w:ascii="Times New Roman" w:hAnsi="Times New Roman" w:cs="Times New Roman"/>
          <w:kern w:val="0"/>
          <w:sz w:val="22"/>
        </w:rPr>
        <w:t>”</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with a fast and in</w:t>
      </w:r>
      <w:r w:rsidR="00AE5C04" w:rsidRPr="00AE5C04">
        <w:rPr>
          <w:rFonts w:ascii="Times New Roman" w:hAnsi="Times New Roman" w:cs="Times New Roman" w:hint="eastAsia"/>
          <w:kern w:val="0"/>
          <w:sz w:val="22"/>
        </w:rPr>
        <w:t>fl</w:t>
      </w:r>
      <w:r w:rsidRPr="00AE5C04">
        <w:rPr>
          <w:rFonts w:ascii="Times New Roman" w:hAnsi="Times New Roman" w:cs="Times New Roman"/>
          <w:kern w:val="0"/>
          <w:sz w:val="22"/>
        </w:rPr>
        <w:t>ation-focused</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 xml:space="preserve">monetary policy? We can </w:t>
      </w:r>
      <w:r w:rsidRPr="00AE5C04">
        <w:rPr>
          <w:rFonts w:ascii="Times New Roman" w:hAnsi="Times New Roman" w:cs="Times New Roman"/>
          <w:i/>
          <w:iCs/>
          <w:kern w:val="0"/>
          <w:sz w:val="22"/>
        </w:rPr>
        <w:t>perhaps</w:t>
      </w:r>
      <w:r w:rsidRPr="00AE5C04">
        <w:rPr>
          <w:rFonts w:ascii="Times New Roman" w:hAnsi="Times New Roman" w:cs="Times New Roman"/>
          <w:kern w:val="0"/>
          <w:sz w:val="22"/>
        </w:rPr>
        <w:t xml:space="preserve"> interpret the supply shocks as an </w:t>
      </w:r>
      <w:r w:rsidR="00AE5C04" w:rsidRPr="00AE5C04">
        <w:rPr>
          <w:rFonts w:ascii="Times New Roman" w:hAnsi="Times New Roman" w:cs="Times New Roman"/>
          <w:kern w:val="0"/>
          <w:sz w:val="22"/>
        </w:rPr>
        <w:t>“</w:t>
      </w:r>
      <w:r w:rsidRPr="00AE5C04">
        <w:rPr>
          <w:rFonts w:ascii="Times New Roman" w:hAnsi="Times New Roman" w:cs="Times New Roman"/>
          <w:kern w:val="0"/>
          <w:sz w:val="22"/>
        </w:rPr>
        <w:t>as-if</w:t>
      </w:r>
      <w:r w:rsidR="00AE5C04" w:rsidRPr="00AE5C04">
        <w:rPr>
          <w:rFonts w:ascii="Times New Roman" w:hAnsi="Times New Roman" w:cs="Times New Roman"/>
          <w:kern w:val="0"/>
          <w:sz w:val="22"/>
        </w:rPr>
        <w:t>”</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modeling device to capture in</w:t>
      </w:r>
      <w:r w:rsidR="00AE5C04" w:rsidRPr="00AE5C04">
        <w:rPr>
          <w:rFonts w:ascii="Times New Roman" w:hAnsi="Times New Roman" w:cs="Times New Roman" w:hint="eastAsia"/>
          <w:kern w:val="0"/>
          <w:sz w:val="22"/>
        </w:rPr>
        <w:t>fl</w:t>
      </w:r>
      <w:r w:rsidRPr="00AE5C04">
        <w:rPr>
          <w:rFonts w:ascii="Times New Roman" w:hAnsi="Times New Roman" w:cs="Times New Roman"/>
          <w:kern w:val="0"/>
          <w:sz w:val="22"/>
        </w:rPr>
        <w:t>ation scares driven by weak credibility. But we</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could do a similar interpretation for CPV. This paper</w:t>
      </w:r>
      <w:r w:rsidR="00AE5C04" w:rsidRPr="00AE5C04">
        <w:rPr>
          <w:rFonts w:ascii="Times New Roman" w:hAnsi="Times New Roman" w:cs="Times New Roman"/>
          <w:kern w:val="0"/>
          <w:sz w:val="22"/>
        </w:rPr>
        <w:t>’</w:t>
      </w:r>
      <w:r w:rsidRPr="00AE5C04">
        <w:rPr>
          <w:rFonts w:ascii="Times New Roman" w:hAnsi="Times New Roman" w:cs="Times New Roman"/>
          <w:kern w:val="0"/>
          <w:sz w:val="22"/>
        </w:rPr>
        <w:t>s ambition appears to</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 xml:space="preserve">go deeper than CPV and provide a </w:t>
      </w:r>
      <w:r w:rsidR="00AE5C04" w:rsidRPr="00AE5C04">
        <w:rPr>
          <w:rFonts w:ascii="Times New Roman" w:hAnsi="Times New Roman" w:cs="Times New Roman"/>
          <w:kern w:val="0"/>
          <w:sz w:val="22"/>
        </w:rPr>
        <w:t>“</w:t>
      </w:r>
      <w:r w:rsidRPr="00AE5C04">
        <w:rPr>
          <w:rFonts w:ascii="Times New Roman" w:hAnsi="Times New Roman" w:cs="Times New Roman"/>
          <w:kern w:val="0"/>
          <w:sz w:val="22"/>
        </w:rPr>
        <w:t>structural</w:t>
      </w:r>
      <w:r w:rsidR="00AE5C04" w:rsidRPr="00AE5C04">
        <w:rPr>
          <w:rFonts w:ascii="Times New Roman" w:hAnsi="Times New Roman" w:cs="Times New Roman"/>
          <w:kern w:val="0"/>
          <w:sz w:val="22"/>
        </w:rPr>
        <w:t>”</w:t>
      </w:r>
      <w:r w:rsidR="00AE5C04"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interpretation rather than an</w:t>
      </w:r>
      <w:r w:rsid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as-if interpretation. But the structural interpretation does not seem correct.</w:t>
      </w:r>
    </w:p>
    <w:p w14:paraId="315F3707" w14:textId="39F3FFA2" w:rsidR="00AE5C04" w:rsidRDefault="00AE5C04" w:rsidP="00130791">
      <w:pPr>
        <w:pStyle w:val="ListParagraph"/>
        <w:numPr>
          <w:ilvl w:val="1"/>
          <w:numId w:val="7"/>
        </w:numPr>
        <w:wordWrap/>
        <w:adjustRightInd w:val="0"/>
        <w:spacing w:before="240" w:after="0" w:line="360" w:lineRule="auto"/>
        <w:rPr>
          <w:rFonts w:ascii="Times New Roman" w:hAnsi="Times New Roman" w:cs="Times New Roman"/>
          <w:kern w:val="0"/>
          <w:sz w:val="22"/>
        </w:rPr>
      </w:pPr>
      <w:r w:rsidRPr="00AE5C04">
        <w:rPr>
          <w:rFonts w:ascii="Times New Roman" w:hAnsi="Times New Roman" w:cs="Times New Roman" w:hint="eastAsia"/>
          <w:kern w:val="0"/>
          <w:sz w:val="22"/>
        </w:rPr>
        <w:t xml:space="preserve">A similar qualitative look at the recent decades suggests the Fed is not less focused on inflation and it is not more inertial, compared to the 1980s. </w:t>
      </w:r>
      <w:r w:rsidRPr="00AE5C04">
        <w:rPr>
          <w:rFonts w:ascii="Times New Roman" w:hAnsi="Times New Roman" w:cs="Times New Roman"/>
          <w:kern w:val="0"/>
          <w:sz w:val="22"/>
        </w:rPr>
        <w:t>As I</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already mentioned, the Fed managed to keep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ation around 2% for decades</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until the Covid-19 shock.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 xml:space="preserve">ation </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ared up recently, but that is because</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Covid-19 was a large and unusual supply shock. The Fed made a mistake</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in thinking that this shock was more transitory than it was (the markets</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made the same mistake throughout 2021). There is no evidence that the</w:t>
      </w:r>
      <w:r w:rsidRPr="00AE5C04">
        <w:rPr>
          <w:rFonts w:ascii="Times New Roman" w:hAnsi="Times New Roman" w:cs="Times New Roman" w:hint="eastAsia"/>
          <w:kern w:val="0"/>
          <w:sz w:val="22"/>
        </w:rPr>
        <w:t xml:space="preserve"> </w:t>
      </w:r>
      <w:r w:rsidRPr="00AE5C04">
        <w:rPr>
          <w:rFonts w:ascii="Times New Roman" w:hAnsi="Times New Roman" w:cs="Times New Roman"/>
          <w:kern w:val="0"/>
          <w:sz w:val="22"/>
        </w:rPr>
        <w:t>Fed was less in</w:t>
      </w:r>
      <w:r w:rsidRPr="00AE5C04">
        <w:rPr>
          <w:rFonts w:ascii="Times New Roman" w:hAnsi="Times New Roman" w:cs="Times New Roman" w:hint="eastAsia"/>
          <w:kern w:val="0"/>
          <w:sz w:val="22"/>
        </w:rPr>
        <w:t>fl</w:t>
      </w:r>
      <w:r w:rsidRPr="00AE5C04">
        <w:rPr>
          <w:rFonts w:ascii="Times New Roman" w:hAnsi="Times New Roman" w:cs="Times New Roman"/>
          <w:kern w:val="0"/>
          <w:sz w:val="22"/>
        </w:rPr>
        <w:t>ation focused or less inertial. In fact, once the Fed realized</w:t>
      </w:r>
      <w:r>
        <w:rPr>
          <w:rFonts w:ascii="Times New Roman" w:hAnsi="Times New Roman" w:cs="Times New Roman" w:hint="eastAsia"/>
          <w:kern w:val="0"/>
          <w:sz w:val="22"/>
        </w:rPr>
        <w:t xml:space="preserve"> </w:t>
      </w:r>
      <w:r w:rsidRPr="00AE5C04">
        <w:rPr>
          <w:rFonts w:ascii="Times New Roman" w:hAnsi="Times New Roman" w:cs="Times New Roman"/>
          <w:kern w:val="0"/>
          <w:sz w:val="22"/>
        </w:rPr>
        <w:t>its mistake, it quickly reversed course and started a very aggressive hiking</w:t>
      </w:r>
      <w:r>
        <w:rPr>
          <w:rFonts w:ascii="Times New Roman" w:hAnsi="Times New Roman" w:cs="Times New Roman" w:hint="eastAsia"/>
          <w:kern w:val="0"/>
          <w:sz w:val="22"/>
        </w:rPr>
        <w:t xml:space="preserve"> campaign: raisin</w:t>
      </w:r>
      <w:r w:rsidR="00B0693E">
        <w:rPr>
          <w:rFonts w:ascii="Times New Roman" w:hAnsi="Times New Roman" w:cs="Times New Roman" w:hint="eastAsia"/>
          <w:kern w:val="0"/>
          <w:sz w:val="22"/>
        </w:rPr>
        <w:t>g</w:t>
      </w:r>
      <w:r>
        <w:rPr>
          <w:rFonts w:ascii="Times New Roman" w:hAnsi="Times New Roman" w:cs="Times New Roman" w:hint="eastAsia"/>
          <w:kern w:val="0"/>
          <w:sz w:val="22"/>
        </w:rPr>
        <w:t xml:space="preserve"> interest rates by 500 basis points in one year. This seems like </w:t>
      </w:r>
      <w:r w:rsidRPr="00AE5C04">
        <w:rPr>
          <w:rFonts w:ascii="Times New Roman" w:hAnsi="Times New Roman" w:cs="Times New Roman" w:hint="eastAsia"/>
          <w:i/>
          <w:iCs/>
          <w:kern w:val="0"/>
          <w:sz w:val="22"/>
        </w:rPr>
        <w:t xml:space="preserve">the </w:t>
      </w:r>
      <w:r w:rsidRPr="00AE5C04">
        <w:rPr>
          <w:rFonts w:ascii="Times New Roman" w:hAnsi="Times New Roman" w:cs="Times New Roman" w:hint="eastAsia"/>
          <w:i/>
          <w:iCs/>
          <w:kern w:val="0"/>
          <w:sz w:val="22"/>
        </w:rPr>
        <w:lastRenderedPageBreak/>
        <w:t>opposite</w:t>
      </w:r>
      <w:r>
        <w:rPr>
          <w:rFonts w:ascii="Times New Roman" w:hAnsi="Times New Roman" w:cs="Times New Roman" w:hint="eastAsia"/>
          <w:kern w:val="0"/>
          <w:sz w:val="22"/>
        </w:rPr>
        <w:t xml:space="preserve"> of an inertial central bank.</w:t>
      </w:r>
    </w:p>
    <w:p w14:paraId="0C255723" w14:textId="23DB86F2" w:rsidR="00130791" w:rsidRDefault="00130791" w:rsidP="00130791">
      <w:pPr>
        <w:wordWrap/>
        <w:adjustRightInd w:val="0"/>
        <w:spacing w:before="240" w:after="0" w:line="360" w:lineRule="auto"/>
        <w:ind w:firstLineChars="50" w:firstLine="110"/>
        <w:rPr>
          <w:rFonts w:ascii="Times New Roman" w:hAnsi="Times New Roman" w:cs="Times New Roman"/>
          <w:kern w:val="0"/>
          <w:sz w:val="22"/>
        </w:rPr>
      </w:pPr>
      <w:r>
        <w:rPr>
          <w:rFonts w:ascii="Times New Roman" w:hAnsi="Times New Roman" w:cs="Times New Roman" w:hint="eastAsia"/>
          <w:kern w:val="0"/>
          <w:sz w:val="22"/>
        </w:rPr>
        <w:t xml:space="preserve">In terms of the behavior of inflation </w:t>
      </w:r>
      <w:r w:rsidRPr="00130791">
        <w:rPr>
          <w:rFonts w:ascii="Times New Roman" w:hAnsi="Times New Roman" w:cs="Times New Roman"/>
          <w:kern w:val="0"/>
          <w:sz w:val="22"/>
        </w:rPr>
        <w:t>expectations and stock-bond betas in the Covid-19 cycle, there is a simpler explanation than what this paper proposes. The Fed has</w:t>
      </w:r>
      <w:r>
        <w:rPr>
          <w:rFonts w:ascii="Times New Roman" w:hAnsi="Times New Roman" w:cs="Times New Roman" w:hint="eastAsia"/>
          <w:kern w:val="0"/>
          <w:sz w:val="22"/>
        </w:rPr>
        <w:t xml:space="preserve"> </w:t>
      </w:r>
      <w:r w:rsidRPr="00130791">
        <w:rPr>
          <w:rFonts w:ascii="Times New Roman" w:hAnsi="Times New Roman" w:cs="Times New Roman"/>
          <w:kern w:val="0"/>
          <w:sz w:val="22"/>
        </w:rPr>
        <w:t xml:space="preserve">gained </w:t>
      </w:r>
      <w:proofErr w:type="gramStart"/>
      <w:r w:rsidRPr="00130791">
        <w:rPr>
          <w:rFonts w:ascii="Times New Roman" w:hAnsi="Times New Roman" w:cs="Times New Roman"/>
          <w:kern w:val="0"/>
          <w:sz w:val="22"/>
        </w:rPr>
        <w:t>credibility</w:t>
      </w:r>
      <w:proofErr w:type="gramEnd"/>
      <w:r w:rsidRPr="00130791">
        <w:rPr>
          <w:rFonts w:ascii="Times New Roman" w:hAnsi="Times New Roman" w:cs="Times New Roman"/>
          <w:kern w:val="0"/>
          <w:sz w:val="22"/>
        </w:rPr>
        <w:t xml:space="preserve"> so in</w:t>
      </w:r>
      <w:r>
        <w:rPr>
          <w:rFonts w:ascii="Times New Roman" w:hAnsi="Times New Roman" w:cs="Times New Roman" w:hint="eastAsia"/>
          <w:kern w:val="0"/>
          <w:sz w:val="22"/>
        </w:rPr>
        <w:t>fl</w:t>
      </w:r>
      <w:r w:rsidRPr="00130791">
        <w:rPr>
          <w:rFonts w:ascii="Times New Roman" w:hAnsi="Times New Roman" w:cs="Times New Roman"/>
          <w:kern w:val="0"/>
          <w:sz w:val="22"/>
        </w:rPr>
        <w:t>ation expectations have not changed very much (beyond a few</w:t>
      </w:r>
      <w:r>
        <w:rPr>
          <w:rFonts w:ascii="Times New Roman" w:hAnsi="Times New Roman" w:cs="Times New Roman" w:hint="eastAsia"/>
          <w:kern w:val="0"/>
          <w:sz w:val="22"/>
        </w:rPr>
        <w:t xml:space="preserve"> </w:t>
      </w:r>
      <w:r w:rsidRPr="00130791">
        <w:rPr>
          <w:rFonts w:ascii="Times New Roman" w:hAnsi="Times New Roman" w:cs="Times New Roman"/>
          <w:kern w:val="0"/>
          <w:sz w:val="22"/>
        </w:rPr>
        <w:t>years). At the same time, because of large macroeconomic shocks (both supply and</w:t>
      </w:r>
      <w:r>
        <w:rPr>
          <w:rFonts w:ascii="Times New Roman" w:hAnsi="Times New Roman" w:cs="Times New Roman" w:hint="eastAsia"/>
          <w:kern w:val="0"/>
          <w:sz w:val="22"/>
        </w:rPr>
        <w:t xml:space="preserve"> </w:t>
      </w:r>
      <w:r w:rsidRPr="00130791">
        <w:rPr>
          <w:rFonts w:ascii="Times New Roman" w:hAnsi="Times New Roman" w:cs="Times New Roman"/>
          <w:kern w:val="0"/>
          <w:sz w:val="22"/>
        </w:rPr>
        <w:t xml:space="preserve">demand), the Fed had to move interest rates much more than in the past to shift </w:t>
      </w:r>
      <w:r>
        <w:rPr>
          <w:rFonts w:ascii="Times New Roman" w:hAnsi="Times New Roman" w:cs="Times New Roman" w:hint="eastAsia"/>
          <w:kern w:val="0"/>
          <w:sz w:val="22"/>
        </w:rPr>
        <w:t>fi</w:t>
      </w:r>
      <w:r w:rsidRPr="00130791">
        <w:rPr>
          <w:rFonts w:ascii="Times New Roman" w:hAnsi="Times New Roman" w:cs="Times New Roman"/>
          <w:kern w:val="0"/>
          <w:sz w:val="22"/>
        </w:rPr>
        <w:t>nancial</w:t>
      </w:r>
      <w:r>
        <w:rPr>
          <w:rFonts w:ascii="Times New Roman" w:hAnsi="Times New Roman" w:cs="Times New Roman" w:hint="eastAsia"/>
          <w:kern w:val="0"/>
          <w:sz w:val="22"/>
        </w:rPr>
        <w:t xml:space="preserve"> </w:t>
      </w:r>
      <w:r w:rsidRPr="00130791">
        <w:rPr>
          <w:rFonts w:ascii="Times New Roman" w:hAnsi="Times New Roman" w:cs="Times New Roman"/>
          <w:kern w:val="0"/>
          <w:sz w:val="22"/>
        </w:rPr>
        <w:t>conditions and control in</w:t>
      </w:r>
      <w:r>
        <w:rPr>
          <w:rFonts w:ascii="Times New Roman" w:hAnsi="Times New Roman" w:cs="Times New Roman" w:hint="eastAsia"/>
          <w:kern w:val="0"/>
          <w:sz w:val="22"/>
        </w:rPr>
        <w:t>fl</w:t>
      </w:r>
      <w:r w:rsidRPr="00130791">
        <w:rPr>
          <w:rFonts w:ascii="Times New Roman" w:hAnsi="Times New Roman" w:cs="Times New Roman"/>
          <w:kern w:val="0"/>
          <w:sz w:val="22"/>
        </w:rPr>
        <w:t>ation. The prevalence of macroeconomic shocks increased the</w:t>
      </w:r>
      <w:r>
        <w:rPr>
          <w:rFonts w:ascii="Times New Roman" w:hAnsi="Times New Roman" w:cs="Times New Roman" w:hint="eastAsia"/>
          <w:kern w:val="0"/>
          <w:sz w:val="22"/>
        </w:rPr>
        <w:t xml:space="preserve"> </w:t>
      </w:r>
      <w:r w:rsidRPr="00130791">
        <w:rPr>
          <w:rFonts w:ascii="Times New Roman" w:hAnsi="Times New Roman" w:cs="Times New Roman"/>
          <w:kern w:val="0"/>
          <w:sz w:val="22"/>
        </w:rPr>
        <w:t>interest rate volatility and the bond-stock betas starting from a negative level.</w:t>
      </w:r>
      <w:r>
        <w:rPr>
          <w:rStyle w:val="FootnoteReference"/>
          <w:rFonts w:ascii="Times New Roman" w:hAnsi="Times New Roman" w:cs="Times New Roman"/>
          <w:kern w:val="0"/>
          <w:sz w:val="22"/>
        </w:rPr>
        <w:footnoteReference w:id="2"/>
      </w:r>
      <w:r w:rsidRPr="00130791">
        <w:rPr>
          <w:rFonts w:ascii="Times New Roman" w:hAnsi="Times New Roman" w:cs="Times New Roman"/>
          <w:kern w:val="0"/>
          <w:sz w:val="22"/>
        </w:rPr>
        <w:t xml:space="preserve"> This</w:t>
      </w:r>
      <w:r>
        <w:rPr>
          <w:rFonts w:ascii="Times New Roman" w:hAnsi="Times New Roman" w:cs="Times New Roman" w:hint="eastAsia"/>
          <w:kern w:val="0"/>
          <w:sz w:val="22"/>
        </w:rPr>
        <w:t xml:space="preserve"> </w:t>
      </w:r>
      <w:r w:rsidRPr="00130791">
        <w:rPr>
          <w:rFonts w:ascii="Times New Roman" w:hAnsi="Times New Roman" w:cs="Times New Roman"/>
          <w:kern w:val="0"/>
          <w:sz w:val="22"/>
        </w:rPr>
        <w:t>story does not require a change in the Fed</w:t>
      </w:r>
      <w:r>
        <w:rPr>
          <w:rFonts w:ascii="Times New Roman" w:hAnsi="Times New Roman" w:cs="Times New Roman"/>
          <w:kern w:val="0"/>
          <w:sz w:val="22"/>
        </w:rPr>
        <w:t>’</w:t>
      </w:r>
      <w:r w:rsidRPr="00130791">
        <w:rPr>
          <w:rFonts w:ascii="Times New Roman" w:hAnsi="Times New Roman" w:cs="Times New Roman"/>
          <w:kern w:val="0"/>
          <w:sz w:val="22"/>
        </w:rPr>
        <w:t>s inertia or in</w:t>
      </w:r>
      <w:r>
        <w:rPr>
          <w:rFonts w:ascii="Times New Roman" w:hAnsi="Times New Roman" w:cs="Times New Roman" w:hint="eastAsia"/>
          <w:kern w:val="0"/>
          <w:sz w:val="22"/>
        </w:rPr>
        <w:t>fl</w:t>
      </w:r>
      <w:r w:rsidRPr="00130791">
        <w:rPr>
          <w:rFonts w:ascii="Times New Roman" w:hAnsi="Times New Roman" w:cs="Times New Roman"/>
          <w:kern w:val="0"/>
          <w:sz w:val="22"/>
        </w:rPr>
        <w:t>ation focus, and it does not</w:t>
      </w:r>
      <w:r>
        <w:rPr>
          <w:rFonts w:ascii="Times New Roman" w:hAnsi="Times New Roman" w:cs="Times New Roman" w:hint="eastAsia"/>
          <w:kern w:val="0"/>
          <w:sz w:val="22"/>
        </w:rPr>
        <w:t xml:space="preserve"> </w:t>
      </w:r>
      <w:r w:rsidRPr="00130791">
        <w:rPr>
          <w:rFonts w:ascii="Times New Roman" w:hAnsi="Times New Roman" w:cs="Times New Roman"/>
          <w:kern w:val="0"/>
          <w:sz w:val="22"/>
        </w:rPr>
        <w:t>require a complicated model with habit formation.</w:t>
      </w:r>
    </w:p>
    <w:p w14:paraId="2862B9EB" w14:textId="37A6BA2E" w:rsidR="00130791" w:rsidRPr="00130791" w:rsidRDefault="00130791" w:rsidP="00130791">
      <w:pPr>
        <w:wordWrap/>
        <w:adjustRightInd w:val="0"/>
        <w:spacing w:before="240" w:after="0" w:line="360" w:lineRule="auto"/>
        <w:ind w:firstLineChars="50" w:firstLine="110"/>
        <w:rPr>
          <w:rFonts w:ascii="Times New Roman" w:hAnsi="Times New Roman" w:cs="Times New Roman"/>
          <w:kern w:val="0"/>
          <w:sz w:val="22"/>
        </w:rPr>
      </w:pPr>
      <w:r w:rsidRPr="00130791">
        <w:rPr>
          <w:rFonts w:ascii="Times New Roman" w:hAnsi="Times New Roman" w:cs="Times New Roman"/>
          <w:kern w:val="0"/>
          <w:sz w:val="22"/>
        </w:rPr>
        <w:t>Overall, while I am sympathetic to the topic and I like the earlier paper by CPV,</w:t>
      </w:r>
      <w:r>
        <w:rPr>
          <w:rFonts w:ascii="Times New Roman" w:hAnsi="Times New Roman" w:cs="Times New Roman" w:hint="eastAsia"/>
          <w:kern w:val="0"/>
          <w:sz w:val="22"/>
        </w:rPr>
        <w:t xml:space="preserve"> </w:t>
      </w:r>
      <w:r w:rsidRPr="00130791">
        <w:rPr>
          <w:rFonts w:ascii="Times New Roman" w:hAnsi="Times New Roman" w:cs="Times New Roman"/>
          <w:kern w:val="0"/>
          <w:sz w:val="22"/>
        </w:rPr>
        <w:t xml:space="preserve">I cannot recommend this paper to be published in a top </w:t>
      </w:r>
      <w:r w:rsidR="00C7153D">
        <w:rPr>
          <w:rFonts w:ascii="Times New Roman" w:hAnsi="Times New Roman" w:cs="Times New Roman" w:hint="eastAsia"/>
          <w:kern w:val="0"/>
          <w:sz w:val="22"/>
        </w:rPr>
        <w:t>fi</w:t>
      </w:r>
      <w:r w:rsidRPr="00130791">
        <w:rPr>
          <w:rFonts w:ascii="Times New Roman" w:hAnsi="Times New Roman" w:cs="Times New Roman"/>
          <w:kern w:val="0"/>
          <w:sz w:val="22"/>
        </w:rPr>
        <w:t>nance journal. The paper</w:t>
      </w:r>
      <w:r>
        <w:rPr>
          <w:rFonts w:ascii="Times New Roman" w:hAnsi="Times New Roman" w:cs="Times New Roman" w:hint="eastAsia"/>
          <w:kern w:val="0"/>
          <w:sz w:val="22"/>
        </w:rPr>
        <w:t xml:space="preserve"> </w:t>
      </w:r>
      <w:r w:rsidRPr="00130791">
        <w:rPr>
          <w:rFonts w:ascii="Times New Roman" w:hAnsi="Times New Roman" w:cs="Times New Roman"/>
          <w:kern w:val="0"/>
          <w:sz w:val="22"/>
        </w:rPr>
        <w:t>is relatively minor extension of CPV that does not improve our understanding of the</w:t>
      </w:r>
      <w:r>
        <w:rPr>
          <w:rFonts w:ascii="Times New Roman" w:hAnsi="Times New Roman" w:cs="Times New Roman" w:hint="eastAsia"/>
          <w:kern w:val="0"/>
          <w:sz w:val="22"/>
        </w:rPr>
        <w:t xml:space="preserve"> </w:t>
      </w:r>
      <w:r w:rsidRPr="00130791">
        <w:rPr>
          <w:rFonts w:ascii="Times New Roman" w:hAnsi="Times New Roman" w:cs="Times New Roman"/>
          <w:kern w:val="0"/>
          <w:sz w:val="22"/>
        </w:rPr>
        <w:t xml:space="preserve">facts much. The paper has quantitative </w:t>
      </w:r>
      <w:proofErr w:type="gramStart"/>
      <w:r w:rsidRPr="00130791">
        <w:rPr>
          <w:rFonts w:ascii="Times New Roman" w:hAnsi="Times New Roman" w:cs="Times New Roman"/>
          <w:kern w:val="0"/>
          <w:sz w:val="22"/>
        </w:rPr>
        <w:t>ambitions</w:t>
      </w:r>
      <w:proofErr w:type="gramEnd"/>
      <w:r w:rsidRPr="00130791">
        <w:rPr>
          <w:rFonts w:ascii="Times New Roman" w:hAnsi="Times New Roman" w:cs="Times New Roman"/>
          <w:kern w:val="0"/>
          <w:sz w:val="22"/>
        </w:rPr>
        <w:t xml:space="preserve"> but the proposed explanation is not</w:t>
      </w:r>
      <w:r>
        <w:rPr>
          <w:rFonts w:ascii="Times New Roman" w:hAnsi="Times New Roman" w:cs="Times New Roman" w:hint="eastAsia"/>
          <w:kern w:val="0"/>
          <w:sz w:val="22"/>
        </w:rPr>
        <w:t xml:space="preserve"> </w:t>
      </w:r>
      <w:r w:rsidRPr="00130791">
        <w:rPr>
          <w:rFonts w:ascii="Times New Roman" w:hAnsi="Times New Roman" w:cs="Times New Roman"/>
          <w:kern w:val="0"/>
          <w:sz w:val="22"/>
        </w:rPr>
        <w:t>persuasive qualitatively. I think the paper should focus on a fact that requires explaining</w:t>
      </w:r>
      <w:r>
        <w:rPr>
          <w:rFonts w:ascii="Times New Roman" w:hAnsi="Times New Roman" w:cs="Times New Roman" w:hint="eastAsia"/>
          <w:kern w:val="0"/>
          <w:sz w:val="22"/>
        </w:rPr>
        <w:t xml:space="preserve"> </w:t>
      </w:r>
      <w:r w:rsidRPr="00130791">
        <w:rPr>
          <w:rFonts w:ascii="Times New Roman" w:hAnsi="Times New Roman" w:cs="Times New Roman"/>
          <w:kern w:val="0"/>
          <w:sz w:val="22"/>
        </w:rPr>
        <w:t>and organize the paper around this fact</w:t>
      </w:r>
      <w:r w:rsidR="00C7153D">
        <w:rPr>
          <w:rFonts w:ascii="Times New Roman" w:hAnsi="Times New Roman" w:cs="Times New Roman"/>
          <w:kern w:val="0"/>
          <w:sz w:val="22"/>
        </w:rPr>
        <w:t>—</w:t>
      </w:r>
      <w:r w:rsidR="00C7153D">
        <w:rPr>
          <w:rFonts w:ascii="Times New Roman" w:hAnsi="Times New Roman" w:cs="Times New Roman" w:hint="eastAsia"/>
          <w:kern w:val="0"/>
          <w:sz w:val="22"/>
        </w:rPr>
        <w:t xml:space="preserve">constructing </w:t>
      </w:r>
      <w:r w:rsidRPr="00130791">
        <w:rPr>
          <w:rFonts w:ascii="Times New Roman" w:hAnsi="Times New Roman" w:cs="Times New Roman"/>
          <w:kern w:val="0"/>
          <w:sz w:val="22"/>
        </w:rPr>
        <w:t>a minimalist model with necessary</w:t>
      </w:r>
      <w:r>
        <w:rPr>
          <w:rFonts w:ascii="Times New Roman" w:hAnsi="Times New Roman" w:cs="Times New Roman" w:hint="eastAsia"/>
          <w:kern w:val="0"/>
          <w:sz w:val="22"/>
        </w:rPr>
        <w:t xml:space="preserve"> </w:t>
      </w:r>
      <w:r w:rsidRPr="00130791">
        <w:rPr>
          <w:rFonts w:ascii="Times New Roman" w:hAnsi="Times New Roman" w:cs="Times New Roman"/>
          <w:kern w:val="0"/>
          <w:sz w:val="22"/>
        </w:rPr>
        <w:t>ingredients, estimating the model, and comparing with alternatives.</w:t>
      </w:r>
    </w:p>
    <w:sectPr w:rsidR="00130791" w:rsidRPr="00130791" w:rsidSect="003929B8">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785E5" w14:textId="77777777" w:rsidR="00DE2D1B" w:rsidRDefault="00DE2D1B" w:rsidP="004A1937">
      <w:pPr>
        <w:spacing w:after="0" w:line="240" w:lineRule="auto"/>
      </w:pPr>
      <w:r>
        <w:separator/>
      </w:r>
    </w:p>
  </w:endnote>
  <w:endnote w:type="continuationSeparator" w:id="0">
    <w:p w14:paraId="5561E5EF" w14:textId="77777777" w:rsidR="00DE2D1B" w:rsidRDefault="00DE2D1B" w:rsidP="004A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00DF31" w14:textId="77777777" w:rsidR="00DE2D1B" w:rsidRDefault="00DE2D1B" w:rsidP="004A1937">
      <w:pPr>
        <w:spacing w:after="0" w:line="240" w:lineRule="auto"/>
      </w:pPr>
      <w:r>
        <w:separator/>
      </w:r>
    </w:p>
  </w:footnote>
  <w:footnote w:type="continuationSeparator" w:id="0">
    <w:p w14:paraId="5B7D3997" w14:textId="77777777" w:rsidR="00DE2D1B" w:rsidRDefault="00DE2D1B" w:rsidP="004A1937">
      <w:pPr>
        <w:spacing w:after="0" w:line="240" w:lineRule="auto"/>
      </w:pPr>
      <w:r>
        <w:continuationSeparator/>
      </w:r>
    </w:p>
  </w:footnote>
  <w:footnote w:id="1">
    <w:p w14:paraId="76E01B7D" w14:textId="3541F6D2" w:rsidR="004A1937" w:rsidRPr="00AE5C04" w:rsidRDefault="004A1937">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w:t>
      </w:r>
      <w:r w:rsidR="00AE5C04" w:rsidRPr="00AE5C04">
        <w:rPr>
          <w:rFonts w:ascii="Times New Roman" w:hAnsi="Times New Roman" w:cs="Times New Roman"/>
        </w:rPr>
        <w:t xml:space="preserve"> https://www.aeaweb.org/articles?id=10.1257/jep.21.4.47</w:t>
      </w:r>
    </w:p>
  </w:footnote>
  <w:footnote w:id="2">
    <w:p w14:paraId="37D4C084" w14:textId="643A255B" w:rsidR="00130791" w:rsidRPr="00130791" w:rsidRDefault="00130791" w:rsidP="00130791">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 xml:space="preserve">ects stock prices more than bond prices). These shocks are </w:t>
      </w:r>
      <w:proofErr w:type="gramStart"/>
      <w:r w:rsidRPr="00130791">
        <w:rPr>
          <w:rFonts w:ascii="Times New Roman" w:hAnsi="Times New Roman" w:cs="Times New Roman"/>
        </w:rPr>
        <w:t>common</w:t>
      </w:r>
      <w:proofErr w:type="gramEnd"/>
      <w:r w:rsidRPr="00130791">
        <w:rPr>
          <w:rFonts w:ascii="Times New Roman" w:hAnsi="Times New Roman" w:cs="Times New Roman"/>
        </w:rPr>
        <w:t xml:space="preserve">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66148"/>
    <w:multiLevelType w:val="hybridMultilevel"/>
    <w:tmpl w:val="0A220BA0"/>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3CD908CB"/>
    <w:multiLevelType w:val="hybridMultilevel"/>
    <w:tmpl w:val="9E5C9F74"/>
    <w:lvl w:ilvl="0" w:tplc="9716CDC6">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3"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6CC6253B"/>
    <w:multiLevelType w:val="hybridMultilevel"/>
    <w:tmpl w:val="2662C242"/>
    <w:lvl w:ilvl="0" w:tplc="0409000F">
      <w:start w:val="1"/>
      <w:numFmt w:val="decimal"/>
      <w:lvlText w:val="%1."/>
      <w:lvlJc w:val="left"/>
      <w:pPr>
        <w:ind w:left="1280" w:hanging="440"/>
      </w:pPr>
    </w:lvl>
    <w:lvl w:ilvl="1" w:tplc="04090019" w:tentative="1">
      <w:start w:val="1"/>
      <w:numFmt w:val="upp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upp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upp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7BAE0BC1"/>
    <w:multiLevelType w:val="hybridMultilevel"/>
    <w:tmpl w:val="4E20B4A8"/>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1786580024">
    <w:abstractNumId w:val="4"/>
  </w:num>
  <w:num w:numId="2" w16cid:durableId="230964070">
    <w:abstractNumId w:val="6"/>
  </w:num>
  <w:num w:numId="3" w16cid:durableId="283970682">
    <w:abstractNumId w:val="3"/>
  </w:num>
  <w:num w:numId="4" w16cid:durableId="1800805780">
    <w:abstractNumId w:val="2"/>
  </w:num>
  <w:num w:numId="5" w16cid:durableId="17900541">
    <w:abstractNumId w:val="1"/>
  </w:num>
  <w:num w:numId="6" w16cid:durableId="451368903">
    <w:abstractNumId w:val="5"/>
  </w:num>
  <w:num w:numId="7" w16cid:durableId="12182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AF"/>
    <w:rsid w:val="00002EEC"/>
    <w:rsid w:val="000A172D"/>
    <w:rsid w:val="000B0DA1"/>
    <w:rsid w:val="00130791"/>
    <w:rsid w:val="001A3DF9"/>
    <w:rsid w:val="001C2337"/>
    <w:rsid w:val="002175BC"/>
    <w:rsid w:val="002815E7"/>
    <w:rsid w:val="002C13F1"/>
    <w:rsid w:val="002D1823"/>
    <w:rsid w:val="002E58C2"/>
    <w:rsid w:val="00382313"/>
    <w:rsid w:val="003929B8"/>
    <w:rsid w:val="003B69AF"/>
    <w:rsid w:val="00477097"/>
    <w:rsid w:val="004A1937"/>
    <w:rsid w:val="004B7E61"/>
    <w:rsid w:val="00594B61"/>
    <w:rsid w:val="00624FAA"/>
    <w:rsid w:val="00636D2E"/>
    <w:rsid w:val="00723498"/>
    <w:rsid w:val="00803F87"/>
    <w:rsid w:val="00836512"/>
    <w:rsid w:val="008C6EBA"/>
    <w:rsid w:val="008E61DE"/>
    <w:rsid w:val="00996099"/>
    <w:rsid w:val="009A39D9"/>
    <w:rsid w:val="009B6106"/>
    <w:rsid w:val="00A25F61"/>
    <w:rsid w:val="00AC1D5C"/>
    <w:rsid w:val="00AD439A"/>
    <w:rsid w:val="00AE5C04"/>
    <w:rsid w:val="00B0693E"/>
    <w:rsid w:val="00B47972"/>
    <w:rsid w:val="00BA24A1"/>
    <w:rsid w:val="00BC16BF"/>
    <w:rsid w:val="00C62C29"/>
    <w:rsid w:val="00C7153D"/>
    <w:rsid w:val="00D10643"/>
    <w:rsid w:val="00D24456"/>
    <w:rsid w:val="00D540FC"/>
    <w:rsid w:val="00D66649"/>
    <w:rsid w:val="00D86B96"/>
    <w:rsid w:val="00DE2D1B"/>
    <w:rsid w:val="00DE3F85"/>
    <w:rsid w:val="00E11FBF"/>
    <w:rsid w:val="00E17587"/>
    <w:rsid w:val="00E215BD"/>
    <w:rsid w:val="00E53144"/>
    <w:rsid w:val="00E55935"/>
    <w:rsid w:val="00E6049A"/>
    <w:rsid w:val="00E90B75"/>
    <w:rsid w:val="00EB42EF"/>
    <w:rsid w:val="00ED50BA"/>
    <w:rsid w:val="00F1480E"/>
    <w:rsid w:val="00F9128C"/>
    <w:rsid w:val="00FB50FC"/>
    <w:rsid w:val="00FE0973"/>
    <w:rsid w:val="00FF60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EEC8"/>
  <w15:chartTrackingRefBased/>
  <w15:docId w15:val="{62599E1D-2B92-4FC3-8EF7-0BF839B2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3B69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3B69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B69A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B69AF"/>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B69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B69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B69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B69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B69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A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3B69AF"/>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B69AF"/>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3B69AF"/>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B69AF"/>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B69AF"/>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B69AF"/>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B69AF"/>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B69AF"/>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B69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9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A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B69AF"/>
    <w:pPr>
      <w:spacing w:before="160"/>
      <w:jc w:val="center"/>
    </w:pPr>
    <w:rPr>
      <w:i/>
      <w:iCs/>
      <w:color w:val="404040" w:themeColor="text1" w:themeTint="BF"/>
    </w:rPr>
  </w:style>
  <w:style w:type="character" w:customStyle="1" w:styleId="QuoteChar">
    <w:name w:val="Quote Char"/>
    <w:basedOn w:val="DefaultParagraphFont"/>
    <w:link w:val="Quote"/>
    <w:uiPriority w:val="29"/>
    <w:rsid w:val="003B69AF"/>
    <w:rPr>
      <w:i/>
      <w:iCs/>
      <w:color w:val="404040" w:themeColor="text1" w:themeTint="BF"/>
    </w:rPr>
  </w:style>
  <w:style w:type="paragraph" w:styleId="ListParagraph">
    <w:name w:val="List Paragraph"/>
    <w:basedOn w:val="Normal"/>
    <w:uiPriority w:val="34"/>
    <w:qFormat/>
    <w:rsid w:val="003B69AF"/>
    <w:pPr>
      <w:ind w:left="720"/>
      <w:contextualSpacing/>
    </w:pPr>
  </w:style>
  <w:style w:type="character" w:styleId="IntenseEmphasis">
    <w:name w:val="Intense Emphasis"/>
    <w:basedOn w:val="DefaultParagraphFont"/>
    <w:uiPriority w:val="21"/>
    <w:qFormat/>
    <w:rsid w:val="003B69AF"/>
    <w:rPr>
      <w:i/>
      <w:iCs/>
      <w:color w:val="2F5496" w:themeColor="accent1" w:themeShade="BF"/>
    </w:rPr>
  </w:style>
  <w:style w:type="paragraph" w:styleId="IntenseQuote">
    <w:name w:val="Intense Quote"/>
    <w:basedOn w:val="Normal"/>
    <w:next w:val="Normal"/>
    <w:link w:val="IntenseQuoteChar"/>
    <w:uiPriority w:val="30"/>
    <w:qFormat/>
    <w:rsid w:val="003B6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9AF"/>
    <w:rPr>
      <w:i/>
      <w:iCs/>
      <w:color w:val="2F5496" w:themeColor="accent1" w:themeShade="BF"/>
    </w:rPr>
  </w:style>
  <w:style w:type="character" w:styleId="IntenseReference">
    <w:name w:val="Intense Reference"/>
    <w:basedOn w:val="DefaultParagraphFont"/>
    <w:uiPriority w:val="32"/>
    <w:qFormat/>
    <w:rsid w:val="003B69AF"/>
    <w:rPr>
      <w:b/>
      <w:bCs/>
      <w:smallCaps/>
      <w:color w:val="2F5496" w:themeColor="accent1" w:themeShade="BF"/>
      <w:spacing w:val="5"/>
    </w:rPr>
  </w:style>
  <w:style w:type="character" w:styleId="PlaceholderText">
    <w:name w:val="Placeholder Text"/>
    <w:basedOn w:val="DefaultParagraphFont"/>
    <w:uiPriority w:val="99"/>
    <w:semiHidden/>
    <w:rsid w:val="00F9128C"/>
    <w:rPr>
      <w:color w:val="666666"/>
    </w:rPr>
  </w:style>
  <w:style w:type="table" w:styleId="TableGrid">
    <w:name w:val="Table Grid"/>
    <w:basedOn w:val="TableNormal"/>
    <w:uiPriority w:val="39"/>
    <w:rsid w:val="001A3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A1937"/>
    <w:pPr>
      <w:snapToGrid w:val="0"/>
      <w:jc w:val="left"/>
    </w:pPr>
  </w:style>
  <w:style w:type="character" w:customStyle="1" w:styleId="FootnoteTextChar">
    <w:name w:val="Footnote Text Char"/>
    <w:basedOn w:val="DefaultParagraphFont"/>
    <w:link w:val="FootnoteText"/>
    <w:uiPriority w:val="99"/>
    <w:semiHidden/>
    <w:rsid w:val="004A1937"/>
  </w:style>
  <w:style w:type="character" w:styleId="FootnoteReference">
    <w:name w:val="footnote reference"/>
    <w:basedOn w:val="DefaultParagraphFont"/>
    <w:uiPriority w:val="99"/>
    <w:semiHidden/>
    <w:unhideWhenUsed/>
    <w:rsid w:val="004A19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9B149-6DF6-43DB-86EC-EB604C0F4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1056</Words>
  <Characters>6023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Seunghye Shin</dc:creator>
  <cp:keywords/>
  <dc:description/>
  <cp:lastModifiedBy>Carolin Pflueger</cp:lastModifiedBy>
  <cp:revision>11</cp:revision>
  <dcterms:created xsi:type="dcterms:W3CDTF">2024-06-25T06:27:00Z</dcterms:created>
  <dcterms:modified xsi:type="dcterms:W3CDTF">2024-10-29T20:07:00Z</dcterms:modified>
</cp:coreProperties>
</file>