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9D7656" w14:textId="77777777" w:rsidR="00E0527C" w:rsidRDefault="00E0527C" w:rsidP="00E0527C">
      <w:pPr>
        <w:pStyle w:val="ListParagraph"/>
        <w:numPr>
          <w:ilvl w:val="0"/>
          <w:numId w:val="1"/>
        </w:numPr>
        <w:autoSpaceDE w:val="0"/>
        <w:autoSpaceDN w:val="0"/>
        <w:adjustRightInd w:val="0"/>
        <w:spacing w:after="0" w:line="360" w:lineRule="auto"/>
        <w:rPr>
          <w:rFonts w:ascii="Times New Roman" w:hAnsi="Times New Roman" w:cs="Times New Roman"/>
          <w:color w:val="0000FF"/>
        </w:rPr>
      </w:pPr>
      <w:r w:rsidRPr="00B06825">
        <w:rPr>
          <w:rFonts w:ascii="Times New Roman" w:hAnsi="Times New Roman" w:cs="Times New Roman"/>
          <w:color w:val="0000FF"/>
        </w:rPr>
        <w:t xml:space="preserve">Fang, Liu and </w:t>
      </w:r>
      <w:proofErr w:type="spellStart"/>
      <w:r w:rsidRPr="00B06825">
        <w:rPr>
          <w:rFonts w:ascii="Times New Roman" w:hAnsi="Times New Roman" w:cs="Times New Roman"/>
          <w:color w:val="0000FF"/>
        </w:rPr>
        <w:t>Roussanov</w:t>
      </w:r>
      <w:proofErr w:type="spellEnd"/>
      <w:r w:rsidRPr="00B06825">
        <w:rPr>
          <w:rFonts w:ascii="Times New Roman" w:hAnsi="Times New Roman" w:cs="Times New Roman"/>
          <w:color w:val="0000FF"/>
        </w:rPr>
        <w:t xml:space="preserve"> (2022) consider a </w:t>
      </w:r>
      <w:proofErr w:type="gramStart"/>
      <w:r w:rsidRPr="00B06825">
        <w:rPr>
          <w:rFonts w:ascii="Times New Roman" w:hAnsi="Times New Roman" w:cs="Times New Roman"/>
          <w:color w:val="0000FF"/>
        </w:rPr>
        <w:t>fairly stylized</w:t>
      </w:r>
      <w:proofErr w:type="gramEnd"/>
      <w:r w:rsidRPr="00B06825">
        <w:rPr>
          <w:rFonts w:ascii="Times New Roman" w:hAnsi="Times New Roman" w:cs="Times New Roman"/>
          <w:color w:val="0000FF"/>
        </w:rPr>
        <w:t xml:space="preserve"> model where the monetary policy rule is very simple and constant. They instead focus on changes in the volatilities of energy demand vs. supply shocks. </w:t>
      </w:r>
    </w:p>
    <w:p w14:paraId="55D16E46" w14:textId="77777777" w:rsidR="00E0527C" w:rsidRDefault="00E0527C" w:rsidP="00E0527C">
      <w:pPr>
        <w:pStyle w:val="ListParagraph"/>
        <w:numPr>
          <w:ilvl w:val="0"/>
          <w:numId w:val="1"/>
        </w:numPr>
        <w:autoSpaceDE w:val="0"/>
        <w:autoSpaceDN w:val="0"/>
        <w:adjustRightInd w:val="0"/>
        <w:spacing w:after="0" w:line="360" w:lineRule="auto"/>
        <w:rPr>
          <w:rFonts w:ascii="Times New Roman" w:hAnsi="Times New Roman" w:cs="Times New Roman"/>
          <w:color w:val="0000FF"/>
        </w:rPr>
      </w:pPr>
      <w:r>
        <w:rPr>
          <w:rFonts w:ascii="Times New Roman" w:hAnsi="Times New Roman" w:cs="Times New Roman"/>
          <w:color w:val="0000FF"/>
        </w:rPr>
        <w:t xml:space="preserve">Kozak (2022): This is a nice model of changing real bond-stock correlations. Different from this paper, Kozak (2022) does not feature inflation or monetary policy, so it is not suitable for explaining the empirical fact in the current manuscript. </w:t>
      </w:r>
    </w:p>
    <w:p w14:paraId="5E8053A3" w14:textId="77777777" w:rsidR="00E0527C" w:rsidRDefault="00E0527C" w:rsidP="00E0527C">
      <w:pPr>
        <w:pStyle w:val="ListParagraph"/>
        <w:numPr>
          <w:ilvl w:val="0"/>
          <w:numId w:val="1"/>
        </w:numPr>
        <w:autoSpaceDE w:val="0"/>
        <w:autoSpaceDN w:val="0"/>
        <w:adjustRightInd w:val="0"/>
        <w:spacing w:after="0" w:line="360" w:lineRule="auto"/>
        <w:rPr>
          <w:rFonts w:ascii="Times New Roman" w:hAnsi="Times New Roman" w:cs="Times New Roman"/>
          <w:color w:val="0000FF"/>
        </w:rPr>
      </w:pPr>
      <w:proofErr w:type="spellStart"/>
      <w:r>
        <w:rPr>
          <w:rFonts w:ascii="Times New Roman" w:hAnsi="Times New Roman" w:cs="Times New Roman"/>
          <w:color w:val="0000FF"/>
        </w:rPr>
        <w:t>Gourio</w:t>
      </w:r>
      <w:proofErr w:type="spellEnd"/>
      <w:r>
        <w:rPr>
          <w:rFonts w:ascii="Times New Roman" w:hAnsi="Times New Roman" w:cs="Times New Roman"/>
          <w:color w:val="0000FF"/>
        </w:rPr>
        <w:t xml:space="preserve"> and Ngo (2022): This paper focuses on a different mechanism, linking bond-stock covariances to the level of inflation in a production-based model with only TFP shocks but no demand shocks, therefore not being suited to conducting comparative statistics by the composition of macroeconomic shocks. By linking bond-stock comovements closely to inflation, their model is insufficient to explain the key empirical finding in this paper that bond-stock betas remained close to the pre-pandemic 2000, despite the substantial runup in inflation during 2021. inflation rising during 2021 to levels last seen 40 years ago.  </w:t>
      </w:r>
    </w:p>
    <w:p w14:paraId="7C1576BE" w14:textId="77777777" w:rsidR="00E0527C" w:rsidRDefault="00E0527C" w:rsidP="00E0527C">
      <w:pPr>
        <w:pStyle w:val="ListParagraph"/>
        <w:numPr>
          <w:ilvl w:val="0"/>
          <w:numId w:val="1"/>
        </w:numPr>
        <w:autoSpaceDE w:val="0"/>
        <w:autoSpaceDN w:val="0"/>
        <w:adjustRightInd w:val="0"/>
        <w:spacing w:after="0" w:line="360" w:lineRule="auto"/>
        <w:rPr>
          <w:rFonts w:ascii="Times New Roman" w:hAnsi="Times New Roman" w:cs="Times New Roman"/>
          <w:color w:val="0000FF"/>
        </w:rPr>
      </w:pPr>
      <w:r>
        <w:rPr>
          <w:rFonts w:ascii="Times New Roman" w:hAnsi="Times New Roman" w:cs="Times New Roman"/>
          <w:color w:val="0000FF"/>
        </w:rPr>
        <w:t xml:space="preserve">Rudebusch and Swanson (2012): This is not a paper about bond-stock comovements, but about term premia, so it does not need to be included in the same paragraph as the comovement papers. </w:t>
      </w:r>
    </w:p>
    <w:p w14:paraId="5E7951C1" w14:textId="77777777" w:rsidR="00E0527C" w:rsidRDefault="00E0527C" w:rsidP="00E0527C">
      <w:pPr>
        <w:pStyle w:val="ListParagraph"/>
        <w:numPr>
          <w:ilvl w:val="0"/>
          <w:numId w:val="1"/>
        </w:numPr>
        <w:autoSpaceDE w:val="0"/>
        <w:autoSpaceDN w:val="0"/>
        <w:adjustRightInd w:val="0"/>
        <w:spacing w:after="0" w:line="360" w:lineRule="auto"/>
        <w:rPr>
          <w:rFonts w:ascii="Times New Roman" w:hAnsi="Times New Roman" w:cs="Times New Roman"/>
          <w:color w:val="0000FF"/>
        </w:rPr>
      </w:pPr>
      <w:r>
        <w:rPr>
          <w:rFonts w:ascii="Times New Roman" w:hAnsi="Times New Roman" w:cs="Times New Roman"/>
          <w:color w:val="0000FF"/>
        </w:rPr>
        <w:t xml:space="preserve"> Swanson (2021): “Proof-of-concept” model that unconditional asset pricing moments, such as the equity premium, term premia, and credit spreads can be matched within a New Keynesian </w:t>
      </w:r>
      <w:proofErr w:type="gramStart"/>
      <w:r>
        <w:rPr>
          <w:rFonts w:ascii="Times New Roman" w:hAnsi="Times New Roman" w:cs="Times New Roman"/>
          <w:color w:val="0000FF"/>
        </w:rPr>
        <w:t>model, but</w:t>
      </w:r>
      <w:proofErr w:type="gramEnd"/>
      <w:r>
        <w:rPr>
          <w:rFonts w:ascii="Times New Roman" w:hAnsi="Times New Roman" w:cs="Times New Roman"/>
          <w:color w:val="0000FF"/>
        </w:rPr>
        <w:t xml:space="preserve"> does not model bond-stock comovements as functions of either changing volatilities of shocks or monetary policy. </w:t>
      </w:r>
    </w:p>
    <w:p w14:paraId="6F424755" w14:textId="77777777" w:rsidR="00E0527C" w:rsidRDefault="00E0527C" w:rsidP="00E0527C">
      <w:pPr>
        <w:pStyle w:val="ListParagraph"/>
        <w:numPr>
          <w:ilvl w:val="0"/>
          <w:numId w:val="1"/>
        </w:numPr>
        <w:autoSpaceDE w:val="0"/>
        <w:autoSpaceDN w:val="0"/>
        <w:adjustRightInd w:val="0"/>
        <w:spacing w:after="0" w:line="360" w:lineRule="auto"/>
        <w:rPr>
          <w:rFonts w:ascii="Times New Roman" w:hAnsi="Times New Roman" w:cs="Times New Roman"/>
          <w:color w:val="0000FF"/>
        </w:rPr>
      </w:pPr>
      <w:proofErr w:type="spellStart"/>
      <w:r w:rsidRPr="00B06825">
        <w:rPr>
          <w:rFonts w:ascii="Times New Roman" w:hAnsi="Times New Roman" w:cs="Times New Roman"/>
          <w:color w:val="0000FF"/>
        </w:rPr>
        <w:t>Gourio</w:t>
      </w:r>
      <w:proofErr w:type="spellEnd"/>
      <w:r w:rsidRPr="00B06825">
        <w:rPr>
          <w:rFonts w:ascii="Times New Roman" w:hAnsi="Times New Roman" w:cs="Times New Roman"/>
          <w:color w:val="0000FF"/>
        </w:rPr>
        <w:t xml:space="preserve"> and Ngo (2020) focus on changes in monetary policy due to the zero-lower-</w:t>
      </w:r>
      <w:proofErr w:type="gramStart"/>
      <w:r w:rsidRPr="00B06825">
        <w:rPr>
          <w:rFonts w:ascii="Times New Roman" w:hAnsi="Times New Roman" w:cs="Times New Roman"/>
          <w:color w:val="0000FF"/>
        </w:rPr>
        <w:t>bound, but</w:t>
      </w:r>
      <w:proofErr w:type="gramEnd"/>
      <w:r w:rsidRPr="00B06825">
        <w:rPr>
          <w:rFonts w:ascii="Times New Roman" w:hAnsi="Times New Roman" w:cs="Times New Roman"/>
          <w:color w:val="0000FF"/>
        </w:rPr>
        <w:t xml:space="preserve"> conclude that their model has counterfactual implications for inflation and real rates at the zero-lower-bound. </w:t>
      </w:r>
      <w:r>
        <w:rPr>
          <w:rFonts w:ascii="Times New Roman" w:hAnsi="Times New Roman" w:cs="Times New Roman"/>
          <w:color w:val="0000FF"/>
        </w:rPr>
        <w:t>LRR model. Does not consider changes in the volatilities of shocks.</w:t>
      </w:r>
    </w:p>
    <w:p w14:paraId="5CB76922" w14:textId="77777777" w:rsidR="00E0527C" w:rsidRDefault="00E0527C" w:rsidP="00E0527C">
      <w:pPr>
        <w:pStyle w:val="ListParagraph"/>
        <w:numPr>
          <w:ilvl w:val="0"/>
          <w:numId w:val="1"/>
        </w:numPr>
        <w:autoSpaceDE w:val="0"/>
        <w:autoSpaceDN w:val="0"/>
        <w:adjustRightInd w:val="0"/>
        <w:spacing w:after="0" w:line="360" w:lineRule="auto"/>
        <w:rPr>
          <w:rFonts w:ascii="Times New Roman" w:hAnsi="Times New Roman" w:cs="Times New Roman"/>
          <w:color w:val="0000FF"/>
        </w:rPr>
      </w:pPr>
      <w:r>
        <w:rPr>
          <w:rFonts w:ascii="Times New Roman" w:hAnsi="Times New Roman" w:cs="Times New Roman"/>
          <w:color w:val="0000FF"/>
        </w:rPr>
        <w:t xml:space="preserve">Li et al. (2022) is a nice paper that studies how changes in monetary and fiscal policy impact bond-stock and inflation-output correlations, while assuming constant volatilities and persistence of macroeconomic shocks.  </w:t>
      </w:r>
    </w:p>
    <w:p w14:paraId="034934DE" w14:textId="77777777" w:rsidR="00E0527C" w:rsidRPr="002417AF" w:rsidRDefault="00E0527C" w:rsidP="00E0527C">
      <w:pPr>
        <w:pStyle w:val="ListParagraph"/>
        <w:numPr>
          <w:ilvl w:val="0"/>
          <w:numId w:val="1"/>
        </w:numPr>
        <w:autoSpaceDE w:val="0"/>
        <w:autoSpaceDN w:val="0"/>
        <w:adjustRightInd w:val="0"/>
        <w:spacing w:after="0" w:line="240" w:lineRule="auto"/>
        <w:rPr>
          <w:rFonts w:ascii="Times New Roman" w:hAnsi="Times New Roman" w:cs="Times New Roman"/>
          <w:color w:val="0000FF"/>
        </w:rPr>
      </w:pPr>
      <w:proofErr w:type="spellStart"/>
      <w:r w:rsidRPr="002417AF">
        <w:rPr>
          <w:rFonts w:ascii="Times New Roman" w:hAnsi="Times New Roman" w:cs="Times New Roman"/>
          <w:color w:val="0000FF"/>
        </w:rPr>
        <w:lastRenderedPageBreak/>
        <w:t>Gourio</w:t>
      </w:r>
      <w:proofErr w:type="spellEnd"/>
      <w:r w:rsidRPr="002417AF">
        <w:rPr>
          <w:rFonts w:ascii="Times New Roman" w:hAnsi="Times New Roman" w:cs="Times New Roman"/>
          <w:color w:val="0000FF"/>
        </w:rPr>
        <w:t xml:space="preserve"> and Ngo (2020) and Li et al. (2022) are not models of bonds and stocks, as moments such as the equity premium and equity return volatility are either not reported at all or deviate substantially from the data, limiting their usefulness for understanding key asset pricing moments</w:t>
      </w:r>
      <w:proofErr w:type="gramStart"/>
      <w:r w:rsidRPr="002417AF">
        <w:rPr>
          <w:rFonts w:ascii="Times New Roman" w:hAnsi="Times New Roman" w:cs="Times New Roman"/>
          <w:color w:val="0000FF"/>
        </w:rPr>
        <w:t>. ]</w:t>
      </w:r>
      <w:proofErr w:type="gramEnd"/>
    </w:p>
    <w:p w14:paraId="3EED0D7C" w14:textId="77777777" w:rsidR="0089603F" w:rsidRDefault="0089603F"/>
    <w:sectPr w:rsidR="008960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200B0"/>
    <w:multiLevelType w:val="hybridMultilevel"/>
    <w:tmpl w:val="12FEE1DC"/>
    <w:lvl w:ilvl="0" w:tplc="04090001">
      <w:start w:val="1"/>
      <w:numFmt w:val="bullet"/>
      <w:lvlText w:val=""/>
      <w:lvlJc w:val="left"/>
      <w:pPr>
        <w:ind w:left="1958" w:hanging="360"/>
      </w:pPr>
      <w:rPr>
        <w:rFonts w:ascii="Symbol" w:hAnsi="Symbol" w:hint="default"/>
      </w:rPr>
    </w:lvl>
    <w:lvl w:ilvl="1" w:tplc="04090003" w:tentative="1">
      <w:start w:val="1"/>
      <w:numFmt w:val="bullet"/>
      <w:lvlText w:val="o"/>
      <w:lvlJc w:val="left"/>
      <w:pPr>
        <w:ind w:left="2678" w:hanging="360"/>
      </w:pPr>
      <w:rPr>
        <w:rFonts w:ascii="Courier New" w:hAnsi="Courier New" w:cs="Courier New" w:hint="default"/>
      </w:rPr>
    </w:lvl>
    <w:lvl w:ilvl="2" w:tplc="04090005" w:tentative="1">
      <w:start w:val="1"/>
      <w:numFmt w:val="bullet"/>
      <w:lvlText w:val=""/>
      <w:lvlJc w:val="left"/>
      <w:pPr>
        <w:ind w:left="3398" w:hanging="360"/>
      </w:pPr>
      <w:rPr>
        <w:rFonts w:ascii="Wingdings" w:hAnsi="Wingdings" w:hint="default"/>
      </w:rPr>
    </w:lvl>
    <w:lvl w:ilvl="3" w:tplc="04090001" w:tentative="1">
      <w:start w:val="1"/>
      <w:numFmt w:val="bullet"/>
      <w:lvlText w:val=""/>
      <w:lvlJc w:val="left"/>
      <w:pPr>
        <w:ind w:left="4118" w:hanging="360"/>
      </w:pPr>
      <w:rPr>
        <w:rFonts w:ascii="Symbol" w:hAnsi="Symbol" w:hint="default"/>
      </w:rPr>
    </w:lvl>
    <w:lvl w:ilvl="4" w:tplc="04090003" w:tentative="1">
      <w:start w:val="1"/>
      <w:numFmt w:val="bullet"/>
      <w:lvlText w:val="o"/>
      <w:lvlJc w:val="left"/>
      <w:pPr>
        <w:ind w:left="4838" w:hanging="360"/>
      </w:pPr>
      <w:rPr>
        <w:rFonts w:ascii="Courier New" w:hAnsi="Courier New" w:cs="Courier New" w:hint="default"/>
      </w:rPr>
    </w:lvl>
    <w:lvl w:ilvl="5" w:tplc="04090005" w:tentative="1">
      <w:start w:val="1"/>
      <w:numFmt w:val="bullet"/>
      <w:lvlText w:val=""/>
      <w:lvlJc w:val="left"/>
      <w:pPr>
        <w:ind w:left="5558" w:hanging="360"/>
      </w:pPr>
      <w:rPr>
        <w:rFonts w:ascii="Wingdings" w:hAnsi="Wingdings" w:hint="default"/>
      </w:rPr>
    </w:lvl>
    <w:lvl w:ilvl="6" w:tplc="04090001" w:tentative="1">
      <w:start w:val="1"/>
      <w:numFmt w:val="bullet"/>
      <w:lvlText w:val=""/>
      <w:lvlJc w:val="left"/>
      <w:pPr>
        <w:ind w:left="6278" w:hanging="360"/>
      </w:pPr>
      <w:rPr>
        <w:rFonts w:ascii="Symbol" w:hAnsi="Symbol" w:hint="default"/>
      </w:rPr>
    </w:lvl>
    <w:lvl w:ilvl="7" w:tplc="04090003" w:tentative="1">
      <w:start w:val="1"/>
      <w:numFmt w:val="bullet"/>
      <w:lvlText w:val="o"/>
      <w:lvlJc w:val="left"/>
      <w:pPr>
        <w:ind w:left="6998" w:hanging="360"/>
      </w:pPr>
      <w:rPr>
        <w:rFonts w:ascii="Courier New" w:hAnsi="Courier New" w:cs="Courier New" w:hint="default"/>
      </w:rPr>
    </w:lvl>
    <w:lvl w:ilvl="8" w:tplc="04090005" w:tentative="1">
      <w:start w:val="1"/>
      <w:numFmt w:val="bullet"/>
      <w:lvlText w:val=""/>
      <w:lvlJc w:val="left"/>
      <w:pPr>
        <w:ind w:left="7718" w:hanging="360"/>
      </w:pPr>
      <w:rPr>
        <w:rFonts w:ascii="Wingdings" w:hAnsi="Wingdings" w:hint="default"/>
      </w:rPr>
    </w:lvl>
  </w:abstractNum>
  <w:num w:numId="1" w16cid:durableId="2059619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27C"/>
    <w:rsid w:val="006C3D0C"/>
    <w:rsid w:val="0089603F"/>
    <w:rsid w:val="00C444B8"/>
    <w:rsid w:val="00E05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BE148"/>
  <w15:chartTrackingRefBased/>
  <w15:docId w15:val="{64132FE3-9CB1-482B-9FFE-1538AE4BD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27C"/>
    <w:rPr>
      <w:rFonts w:eastAsiaTheme="majorEastAsia" w:cstheme="majorBidi"/>
      <w:color w:val="272727" w:themeColor="text1" w:themeTint="D8"/>
    </w:rPr>
  </w:style>
  <w:style w:type="paragraph" w:styleId="Title">
    <w:name w:val="Title"/>
    <w:basedOn w:val="Normal"/>
    <w:next w:val="Normal"/>
    <w:link w:val="TitleChar"/>
    <w:uiPriority w:val="10"/>
    <w:qFormat/>
    <w:rsid w:val="00E05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27C"/>
    <w:pPr>
      <w:spacing w:before="160"/>
      <w:jc w:val="center"/>
    </w:pPr>
    <w:rPr>
      <w:i/>
      <w:iCs/>
      <w:color w:val="404040" w:themeColor="text1" w:themeTint="BF"/>
    </w:rPr>
  </w:style>
  <w:style w:type="character" w:customStyle="1" w:styleId="QuoteChar">
    <w:name w:val="Quote Char"/>
    <w:basedOn w:val="DefaultParagraphFont"/>
    <w:link w:val="Quote"/>
    <w:uiPriority w:val="29"/>
    <w:rsid w:val="00E0527C"/>
    <w:rPr>
      <w:i/>
      <w:iCs/>
      <w:color w:val="404040" w:themeColor="text1" w:themeTint="BF"/>
    </w:rPr>
  </w:style>
  <w:style w:type="paragraph" w:styleId="ListParagraph">
    <w:name w:val="List Paragraph"/>
    <w:basedOn w:val="Normal"/>
    <w:uiPriority w:val="34"/>
    <w:qFormat/>
    <w:rsid w:val="00E0527C"/>
    <w:pPr>
      <w:ind w:left="720"/>
      <w:contextualSpacing/>
    </w:pPr>
  </w:style>
  <w:style w:type="character" w:styleId="IntenseEmphasis">
    <w:name w:val="Intense Emphasis"/>
    <w:basedOn w:val="DefaultParagraphFont"/>
    <w:uiPriority w:val="21"/>
    <w:qFormat/>
    <w:rsid w:val="00E0527C"/>
    <w:rPr>
      <w:i/>
      <w:iCs/>
      <w:color w:val="0F4761" w:themeColor="accent1" w:themeShade="BF"/>
    </w:rPr>
  </w:style>
  <w:style w:type="paragraph" w:styleId="IntenseQuote">
    <w:name w:val="Intense Quote"/>
    <w:basedOn w:val="Normal"/>
    <w:next w:val="Normal"/>
    <w:link w:val="IntenseQuoteChar"/>
    <w:uiPriority w:val="30"/>
    <w:qFormat/>
    <w:rsid w:val="00E05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27C"/>
    <w:rPr>
      <w:i/>
      <w:iCs/>
      <w:color w:val="0F4761" w:themeColor="accent1" w:themeShade="BF"/>
    </w:rPr>
  </w:style>
  <w:style w:type="character" w:styleId="IntenseReference">
    <w:name w:val="Intense Reference"/>
    <w:basedOn w:val="DefaultParagraphFont"/>
    <w:uiPriority w:val="32"/>
    <w:qFormat/>
    <w:rsid w:val="00E052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2007</Characters>
  <Application>Microsoft Office Word</Application>
  <DocSecurity>0</DocSecurity>
  <Lines>16</Lines>
  <Paragraphs>4</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 Pflueger</dc:creator>
  <cp:keywords/>
  <dc:description/>
  <cp:lastModifiedBy>Carolin Pflueger</cp:lastModifiedBy>
  <cp:revision>1</cp:revision>
  <dcterms:created xsi:type="dcterms:W3CDTF">2024-09-17T20:59:00Z</dcterms:created>
  <dcterms:modified xsi:type="dcterms:W3CDTF">2024-09-17T20:59:00Z</dcterms:modified>
</cp:coreProperties>
</file>