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0ABCAA" w14:textId="5F99F382" w:rsidR="00ED50BA" w:rsidRPr="00F9128C" w:rsidRDefault="00ED50BA" w:rsidP="00F9128C">
      <w:pPr>
        <w:wordWrap/>
        <w:adjustRightInd w:val="0"/>
        <w:spacing w:after="0" w:line="360" w:lineRule="auto"/>
        <w:jc w:val="center"/>
        <w:rPr>
          <w:rFonts w:ascii="Times New Roman" w:hAnsi="Times New Roman" w:cs="Times New Roman"/>
          <w:b/>
          <w:bCs/>
          <w:kern w:val="0"/>
          <w:sz w:val="32"/>
          <w:szCs w:val="32"/>
        </w:rPr>
      </w:pPr>
      <w:r w:rsidRPr="00F9128C">
        <w:rPr>
          <w:rFonts w:ascii="Times New Roman" w:hAnsi="Times New Roman" w:cs="Times New Roman" w:hint="eastAsia"/>
          <w:b/>
          <w:bCs/>
          <w:kern w:val="0"/>
          <w:sz w:val="32"/>
          <w:szCs w:val="32"/>
        </w:rPr>
        <w:t>Ref</w:t>
      </w:r>
      <w:r w:rsidR="007D1377">
        <w:rPr>
          <w:rFonts w:ascii="Times New Roman" w:hAnsi="Times New Roman" w:cs="Times New Roman"/>
          <w:b/>
          <w:bCs/>
          <w:kern w:val="0"/>
          <w:sz w:val="32"/>
          <w:szCs w:val="32"/>
        </w:rPr>
        <w:t>e</w:t>
      </w:r>
      <w:r w:rsidRPr="00F9128C">
        <w:rPr>
          <w:rFonts w:ascii="Times New Roman" w:hAnsi="Times New Roman" w:cs="Times New Roman" w:hint="eastAsia"/>
          <w:b/>
          <w:bCs/>
          <w:kern w:val="0"/>
          <w:sz w:val="32"/>
          <w:szCs w:val="32"/>
        </w:rPr>
        <w:t xml:space="preserve">ree report on </w:t>
      </w:r>
      <w:r w:rsidRPr="00F9128C">
        <w:rPr>
          <w:rFonts w:ascii="Times New Roman" w:hAnsi="Times New Roman" w:cs="Times New Roman"/>
          <w:b/>
          <w:bCs/>
          <w:kern w:val="0"/>
          <w:sz w:val="32"/>
          <w:szCs w:val="32"/>
        </w:rPr>
        <w:t>“</w:t>
      </w:r>
      <w:r w:rsidRPr="00F9128C">
        <w:rPr>
          <w:rFonts w:ascii="Times New Roman" w:hAnsi="Times New Roman" w:cs="Times New Roman" w:hint="eastAsia"/>
          <w:b/>
          <w:bCs/>
          <w:kern w:val="0"/>
          <w:sz w:val="32"/>
          <w:szCs w:val="32"/>
        </w:rPr>
        <w:t>Back to the 1980s or Not? The Drivers of Inflation and Real Risks in Treasury Bonds</w:t>
      </w:r>
      <w:r w:rsidRPr="00F9128C">
        <w:rPr>
          <w:rFonts w:ascii="Times New Roman" w:hAnsi="Times New Roman" w:cs="Times New Roman"/>
          <w:b/>
          <w:bCs/>
          <w:kern w:val="0"/>
          <w:sz w:val="32"/>
          <w:szCs w:val="32"/>
        </w:rPr>
        <w:t>”</w:t>
      </w:r>
    </w:p>
    <w:p w14:paraId="20558DF0" w14:textId="0D32E6D0" w:rsidR="008E61DE" w:rsidRPr="00F9128C" w:rsidRDefault="00ED50BA" w:rsidP="008E61DE">
      <w:pPr>
        <w:wordWrap/>
        <w:adjustRightInd w:val="0"/>
        <w:spacing w:before="240" w:after="0" w:line="360" w:lineRule="auto"/>
        <w:rPr>
          <w:rFonts w:ascii="Times New Roman" w:hAnsi="Times New Roman" w:cs="Times New Roman"/>
          <w:b/>
          <w:bCs/>
          <w:kern w:val="0"/>
          <w:sz w:val="28"/>
          <w:szCs w:val="28"/>
        </w:rPr>
      </w:pPr>
      <w:r w:rsidRPr="00F9128C">
        <w:rPr>
          <w:rFonts w:ascii="Times New Roman" w:hAnsi="Times New Roman" w:cs="Times New Roman" w:hint="eastAsia"/>
          <w:b/>
          <w:bCs/>
          <w:kern w:val="0"/>
          <w:sz w:val="28"/>
          <w:szCs w:val="28"/>
        </w:rPr>
        <w:t>Summary</w:t>
      </w:r>
    </w:p>
    <w:p w14:paraId="632A48BA" w14:textId="7399035B" w:rsidR="00E11FBF" w:rsidRDefault="00ED50BA" w:rsidP="008E61DE">
      <w:pPr>
        <w:wordWrap/>
        <w:adjustRightInd w:val="0"/>
        <w:spacing w:before="240" w:after="0" w:line="360" w:lineRule="auto"/>
        <w:ind w:firstLineChars="50" w:firstLine="110"/>
        <w:rPr>
          <w:rFonts w:ascii="Times New Roman" w:hAnsi="Times New Roman" w:cs="Times New Roman"/>
          <w:sz w:val="22"/>
        </w:rPr>
      </w:pPr>
      <w:r w:rsidRPr="00ED50BA">
        <w:rPr>
          <w:rFonts w:ascii="Times New Roman" w:hAnsi="Times New Roman" w:cs="Times New Roman"/>
          <w:sz w:val="22"/>
        </w:rPr>
        <w:t>The paper examines the economic determinants of bond-stock betas within a standard New Keynesian</w:t>
      </w:r>
      <w:r>
        <w:rPr>
          <w:rFonts w:ascii="Times New Roman" w:hAnsi="Times New Roman" w:cs="Times New Roman" w:hint="eastAsia"/>
          <w:sz w:val="22"/>
        </w:rPr>
        <w:t xml:space="preserve"> </w:t>
      </w:r>
      <w:r w:rsidRPr="00ED50BA">
        <w:rPr>
          <w:rFonts w:ascii="Times New Roman" w:hAnsi="Times New Roman" w:cs="Times New Roman"/>
          <w:sz w:val="22"/>
        </w:rPr>
        <w:t>(NK) framework. The modeling section is divided into two parts.</w:t>
      </w:r>
    </w:p>
    <w:p w14:paraId="17522A48" w14:textId="148F01B4" w:rsidR="00F9128C" w:rsidRDefault="00F9128C" w:rsidP="00DE3F85">
      <w:pPr>
        <w:wordWrap/>
        <w:adjustRightInd w:val="0"/>
        <w:spacing w:before="240" w:after="0" w:line="360" w:lineRule="auto"/>
        <w:rPr>
          <w:rFonts w:ascii="Times New Roman" w:hAnsi="Times New Roman" w:cs="Times New Roman"/>
          <w:sz w:val="22"/>
        </w:rPr>
      </w:pPr>
      <w:r>
        <w:rPr>
          <w:rFonts w:ascii="Times New Roman" w:hAnsi="Times New Roman" w:cs="Times New Roman" w:hint="eastAsia"/>
          <w:sz w:val="22"/>
        </w:rPr>
        <w:t>(P1) The first part derives key model state variables, i.e., output gap</w:t>
      </w:r>
      <w:r w:rsidRPr="00F9128C">
        <w:rPr>
          <w:rFonts w:ascii="Cambria Math" w:hAnsi="Cambria Math" w:cs="Times New Roman" w:hint="eastAsia"/>
          <w:i/>
          <w:sz w:val="22"/>
        </w:rPr>
        <w:t xml:space="preserve"> </w:t>
      </w:r>
      <m:oMath>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t</m:t>
            </m:r>
          </m:sub>
        </m:sSub>
      </m:oMath>
      <w:r>
        <w:rPr>
          <w:rFonts w:ascii="Times New Roman" w:hAnsi="Times New Roman" w:cs="Times New Roman" w:hint="eastAsia"/>
          <w:sz w:val="22"/>
        </w:rPr>
        <w:t xml:space="preserve">, wage inflation </w:t>
      </w:r>
      <m:oMath>
        <m:sSubSup>
          <m:sSubSupPr>
            <m:ctrlPr>
              <w:rPr>
                <w:rFonts w:ascii="Cambria Math" w:hAnsi="Cambria Math" w:cs="Times New Roman"/>
                <w:i/>
                <w:sz w:val="22"/>
              </w:rPr>
            </m:ctrlPr>
          </m:sSubSupPr>
          <m:e>
            <m:r>
              <m:rPr>
                <m:sty m:val="p"/>
              </m:rPr>
              <w:rPr>
                <w:rFonts w:ascii="Cambria Math" w:hAnsi="Cambria Math" w:cs="Times New Roman"/>
                <w:sz w:val="22"/>
              </w:rPr>
              <m:t>π</m:t>
            </m:r>
            <m:ctrlPr>
              <w:rPr>
                <w:rFonts w:ascii="Cambria Math" w:hAnsi="Cambria Math" w:cs="Times New Roman"/>
                <w:sz w:val="22"/>
              </w:rPr>
            </m:ctrlPr>
          </m:e>
          <m:sub>
            <m:r>
              <m:rPr>
                <m:sty m:val="p"/>
              </m:rPr>
              <w:rPr>
                <w:rFonts w:ascii="Cambria Math" w:hAnsi="Cambria Math" w:cs="Times New Roman"/>
                <w:sz w:val="22"/>
              </w:rPr>
              <m:t>t</m:t>
            </m:r>
          </m:sub>
          <m:sup>
            <m:r>
              <m:rPr>
                <m:sty m:val="p"/>
              </m:rPr>
              <w:rPr>
                <w:rFonts w:ascii="Cambria Math" w:hAnsi="Cambria Math" w:cs="Times New Roman"/>
                <w:sz w:val="22"/>
              </w:rPr>
              <m:t>w</m:t>
            </m:r>
          </m:sup>
        </m:sSubSup>
      </m:oMath>
      <w:r>
        <w:rPr>
          <w:rFonts w:ascii="Times New Roman" w:hAnsi="Times New Roman" w:cs="Times New Roman" w:hint="eastAsia"/>
          <w:sz w:val="22"/>
        </w:rPr>
        <w:t>, interest rate</w:t>
      </w:r>
      <w:r w:rsidR="00D66649">
        <w:rPr>
          <w:rFonts w:ascii="Times New Roman" w:hAnsi="Times New Roman" w:cs="Times New Roman" w:hint="eastAsia"/>
          <w:sz w:val="22"/>
        </w:rPr>
        <w:t xml:space="preserve"> </w:t>
      </w:r>
      <m:oMath>
        <m:sSub>
          <m:sSubPr>
            <m:ctrlPr>
              <w:rPr>
                <w:rFonts w:ascii="Cambria Math" w:hAnsi="Cambria Math" w:cs="Times New Roman"/>
                <w:i/>
                <w:sz w:val="22"/>
              </w:rPr>
            </m:ctrlPr>
          </m:sSubPr>
          <m:e>
            <m:r>
              <w:rPr>
                <w:rFonts w:ascii="Cambria Math" w:hAnsi="Cambria Math" w:cs="Times New Roman"/>
                <w:sz w:val="22"/>
              </w:rPr>
              <m:t>i</m:t>
            </m:r>
          </m:e>
          <m:sub>
            <m:r>
              <w:rPr>
                <w:rFonts w:ascii="Cambria Math" w:hAnsi="Cambria Math" w:cs="Times New Roman"/>
                <w:sz w:val="22"/>
              </w:rPr>
              <m:t>t</m:t>
            </m:r>
          </m:sub>
        </m:sSub>
      </m:oMath>
      <w:r>
        <w:rPr>
          <w:rFonts w:ascii="Times New Roman" w:hAnsi="Times New Roman" w:cs="Times New Roman" w:hint="eastAsia"/>
          <w:sz w:val="22"/>
        </w:rPr>
        <w:t>, from a log-linearized New Keynesian (NK) model:</w:t>
      </w:r>
    </w:p>
    <w:p w14:paraId="413F854A" w14:textId="5789185F" w:rsidR="00D66649" w:rsidRDefault="00000000" w:rsidP="00DE3F85">
      <w:pPr>
        <w:wordWrap/>
        <w:adjustRightInd w:val="0"/>
        <w:spacing w:before="240" w:after="0" w:line="360" w:lineRule="auto"/>
        <w:jc w:val="right"/>
        <w:rPr>
          <w:rFonts w:ascii="Times New Roman" w:hAnsi="Times New Roman" w:cs="Times New Roman"/>
          <w:sz w:val="22"/>
        </w:rPr>
      </w:pPr>
      <m:oMath>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t</m:t>
            </m:r>
          </m:sub>
        </m:sSub>
        <m:r>
          <w:rPr>
            <w:rFonts w:ascii="Cambria Math" w:hAnsi="Cambria Math" w:cs="Times New Roman"/>
            <w:sz w:val="22"/>
          </w:rPr>
          <m:t>=</m:t>
        </m:r>
        <m:sSup>
          <m:sSupPr>
            <m:ctrlPr>
              <w:rPr>
                <w:rFonts w:ascii="Cambria Math" w:hAnsi="Cambria Math" w:cs="Times New Roman"/>
                <w:i/>
                <w:sz w:val="22"/>
              </w:rPr>
            </m:ctrlPr>
          </m:sSupPr>
          <m:e>
            <m:r>
              <w:rPr>
                <w:rFonts w:ascii="Cambria Math" w:hAnsi="Cambria Math" w:cs="Times New Roman"/>
                <w:sz w:val="22"/>
              </w:rPr>
              <m:t>f</m:t>
            </m:r>
          </m:e>
          <m:sup>
            <m:r>
              <w:rPr>
                <w:rFonts w:ascii="Cambria Math" w:hAnsi="Cambria Math" w:cs="Times New Roman"/>
                <w:sz w:val="22"/>
              </w:rPr>
              <m:t>x</m:t>
            </m:r>
          </m:sup>
        </m:sSup>
        <m:sSub>
          <m:sSubPr>
            <m:ctrlPr>
              <w:rPr>
                <w:rFonts w:ascii="Cambria Math" w:hAnsi="Cambria Math" w:cs="Times New Roman"/>
                <w:i/>
                <w:sz w:val="22"/>
              </w:rPr>
            </m:ctrlPr>
          </m:sSubPr>
          <m:e>
            <m:r>
              <w:rPr>
                <w:rFonts w:ascii="Cambria Math" w:hAnsi="Cambria Math" w:cs="Times New Roman"/>
                <w:sz w:val="22"/>
              </w:rPr>
              <m:t>E</m:t>
            </m:r>
          </m:e>
          <m:sub>
            <m:r>
              <w:rPr>
                <w:rFonts w:ascii="Cambria Math" w:hAnsi="Cambria Math" w:cs="Times New Roman"/>
                <w:sz w:val="22"/>
              </w:rPr>
              <m:t>t</m:t>
            </m:r>
          </m:sub>
        </m:sSub>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t+1</m:t>
            </m:r>
          </m:sub>
        </m:sSub>
        <m:r>
          <w:rPr>
            <w:rFonts w:ascii="Cambria Math" w:hAnsi="Cambria Math" w:cs="Times New Roman"/>
            <w:sz w:val="22"/>
          </w:rPr>
          <m:t>+</m:t>
        </m:r>
        <m:sSup>
          <m:sSupPr>
            <m:ctrlPr>
              <w:rPr>
                <w:rFonts w:ascii="Cambria Math" w:hAnsi="Cambria Math" w:cs="Times New Roman"/>
                <w:i/>
                <w:sz w:val="22"/>
              </w:rPr>
            </m:ctrlPr>
          </m:sSupPr>
          <m:e>
            <m:r>
              <m:rPr>
                <m:sty m:val="p"/>
              </m:rPr>
              <w:rPr>
                <w:rFonts w:ascii="Cambria Math" w:hAnsi="Cambria Math" w:cs="Times New Roman"/>
                <w:sz w:val="22"/>
              </w:rPr>
              <m:t>ρ</m:t>
            </m:r>
          </m:e>
          <m:sup>
            <m:r>
              <w:rPr>
                <w:rFonts w:ascii="Cambria Math" w:hAnsi="Cambria Math" w:cs="Times New Roman"/>
                <w:sz w:val="22"/>
              </w:rPr>
              <m:t>x</m:t>
            </m:r>
          </m:sup>
        </m:sSup>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t-1</m:t>
            </m:r>
          </m:sub>
        </m:sSub>
        <m:r>
          <w:rPr>
            <w:rFonts w:ascii="Cambria Math" w:hAnsi="Cambria Math" w:cs="Times New Roman"/>
            <w:sz w:val="22"/>
          </w:rPr>
          <m:t>-ψ</m:t>
        </m:r>
        <m:d>
          <m:dPr>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i</m:t>
                </m:r>
              </m:e>
              <m:sub>
                <m:r>
                  <w:rPr>
                    <w:rFonts w:ascii="Cambria Math" w:hAnsi="Cambria Math" w:cs="Times New Roman"/>
                    <w:sz w:val="22"/>
                  </w:rPr>
                  <m:t>t</m:t>
                </m:r>
              </m:sub>
            </m:sSub>
            <m:r>
              <w:rPr>
                <w:rFonts w:ascii="Cambria Math" w:hAnsi="Cambria Math" w:cs="Times New Roman"/>
                <w:sz w:val="22"/>
              </w:rPr>
              <m:t>-</m:t>
            </m:r>
            <m:limUpp>
              <m:limUppPr>
                <m:ctrlPr>
                  <w:rPr>
                    <w:rFonts w:ascii="Cambria Math" w:hAnsi="Cambria Math" w:cs="Times New Roman"/>
                    <w:i/>
                    <w:sz w:val="22"/>
                  </w:rPr>
                </m:ctrlPr>
              </m:limUppPr>
              <m:e>
                <m:groupChr>
                  <m:groupChrPr>
                    <m:chr m:val="⏞"/>
                    <m:pos m:val="top"/>
                    <m:vertJc m:val="bot"/>
                    <m:ctrlPr>
                      <w:rPr>
                        <w:rFonts w:ascii="Cambria Math" w:hAnsi="Cambria Math" w:cs="Times New Roman"/>
                        <w:sz w:val="22"/>
                      </w:rPr>
                    </m:ctrlPr>
                  </m:groupChrPr>
                  <m:e>
                    <m:d>
                      <m:dPr>
                        <m:begChr m:val="["/>
                        <m:endChr m:val="]"/>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E</m:t>
                            </m:r>
                          </m:e>
                          <m:sub>
                            <m:r>
                              <w:rPr>
                                <w:rFonts w:ascii="Cambria Math" w:hAnsi="Cambria Math" w:cs="Times New Roman"/>
                                <w:sz w:val="22"/>
                              </w:rPr>
                              <m:t>t</m:t>
                            </m:r>
                          </m:sub>
                        </m:sSub>
                        <m:sSubSup>
                          <m:sSubSupPr>
                            <m:ctrlPr>
                              <w:rPr>
                                <w:rFonts w:ascii="Cambria Math" w:hAnsi="Cambria Math" w:cs="Times New Roman"/>
                                <w:i/>
                                <w:sz w:val="22"/>
                              </w:rPr>
                            </m:ctrlPr>
                          </m:sSubSupPr>
                          <m:e>
                            <m:r>
                              <m:rPr>
                                <m:sty m:val="p"/>
                              </m:rPr>
                              <w:rPr>
                                <w:rFonts w:ascii="Cambria Math" w:hAnsi="Cambria Math" w:cs="Times New Roman"/>
                                <w:sz w:val="22"/>
                              </w:rPr>
                              <m:t>π</m:t>
                            </m:r>
                            <m:ctrlPr>
                              <w:rPr>
                                <w:rFonts w:ascii="Cambria Math" w:hAnsi="Cambria Math" w:cs="Times New Roman"/>
                                <w:sz w:val="22"/>
                              </w:rPr>
                            </m:ctrlPr>
                          </m:e>
                          <m:sub>
                            <m:r>
                              <w:rPr>
                                <w:rFonts w:ascii="Cambria Math" w:hAnsi="Cambria Math" w:cs="Times New Roman"/>
                                <w:sz w:val="22"/>
                              </w:rPr>
                              <m:t>t+1</m:t>
                            </m:r>
                          </m:sub>
                          <m:sup>
                            <m:r>
                              <w:rPr>
                                <w:rFonts w:ascii="Cambria Math" w:hAnsi="Cambria Math" w:cs="Times New Roman"/>
                                <w:sz w:val="22"/>
                              </w:rPr>
                              <m:t>w</m:t>
                            </m:r>
                          </m:sup>
                        </m:sSubSup>
                        <m:r>
                          <w:rPr>
                            <w:rFonts w:ascii="Cambria Math" w:hAnsi="Cambria Math" w:cs="Times New Roman"/>
                            <w:sz w:val="22"/>
                          </w:rPr>
                          <m:t>-</m:t>
                        </m:r>
                        <m:d>
                          <m:dPr>
                            <m:ctrlPr>
                              <w:rPr>
                                <w:rFonts w:ascii="Cambria Math" w:hAnsi="Cambria Math" w:cs="Times New Roman"/>
                                <w:i/>
                                <w:sz w:val="22"/>
                              </w:rPr>
                            </m:ctrlPr>
                          </m:dPr>
                          <m:e>
                            <m:r>
                              <w:rPr>
                                <w:rFonts w:ascii="Cambria Math" w:hAnsi="Cambria Math" w:cs="Times New Roman"/>
                                <w:sz w:val="22"/>
                              </w:rPr>
                              <m:t>1-ϕ</m:t>
                            </m:r>
                          </m:e>
                        </m:d>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t</m:t>
                            </m:r>
                          </m:sub>
                        </m:sSub>
                      </m:e>
                    </m:d>
                  </m:e>
                </m:groupChr>
              </m:e>
              <m:lim>
                <m:sSub>
                  <m:sSubPr>
                    <m:ctrlPr>
                      <w:rPr>
                        <w:rFonts w:ascii="Cambria Math" w:hAnsi="Cambria Math" w:cs="Times New Roman"/>
                        <w:i/>
                        <w:sz w:val="22"/>
                      </w:rPr>
                    </m:ctrlPr>
                  </m:sSubPr>
                  <m:e>
                    <m:r>
                      <w:rPr>
                        <w:rFonts w:ascii="Cambria Math" w:hAnsi="Cambria Math" w:cs="Times New Roman"/>
                        <w:sz w:val="22"/>
                      </w:rPr>
                      <m:t>E</m:t>
                    </m:r>
                  </m:e>
                  <m:sub>
                    <m:r>
                      <w:rPr>
                        <w:rFonts w:ascii="Cambria Math" w:hAnsi="Cambria Math" w:cs="Times New Roman"/>
                        <w:sz w:val="22"/>
                      </w:rPr>
                      <m:t>t</m:t>
                    </m:r>
                  </m:sub>
                </m:sSub>
                <m:sSub>
                  <m:sSubPr>
                    <m:ctrlPr>
                      <w:rPr>
                        <w:rFonts w:ascii="Cambria Math" w:hAnsi="Cambria Math" w:cs="Times New Roman"/>
                        <w:i/>
                        <w:sz w:val="22"/>
                      </w:rPr>
                    </m:ctrlPr>
                  </m:sSubPr>
                  <m:e>
                    <m:r>
                      <w:rPr>
                        <w:rFonts w:ascii="Cambria Math" w:hAnsi="Cambria Math" w:cs="Times New Roman"/>
                        <w:sz w:val="22"/>
                      </w:rPr>
                      <m:t>π</m:t>
                    </m:r>
                    <m:ctrlPr>
                      <w:rPr>
                        <w:rFonts w:ascii="Cambria Math" w:hAnsi="Cambria Math" w:cs="Times New Roman"/>
                        <w:sz w:val="22"/>
                      </w:rPr>
                    </m:ctrlPr>
                  </m:e>
                  <m:sub>
                    <m:r>
                      <w:rPr>
                        <w:rFonts w:ascii="Cambria Math" w:hAnsi="Cambria Math" w:cs="Times New Roman"/>
                        <w:sz w:val="22"/>
                      </w:rPr>
                      <m:t>t+1</m:t>
                    </m:r>
                  </m:sub>
                </m:sSub>
              </m:lim>
            </m:limUpp>
          </m:e>
        </m:d>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ν</m:t>
            </m:r>
          </m:e>
          <m:sub>
            <m:r>
              <w:rPr>
                <w:rFonts w:ascii="Cambria Math" w:hAnsi="Cambria Math" w:cs="Times New Roman"/>
                <w:sz w:val="22"/>
              </w:rPr>
              <m:t>x,t</m:t>
            </m:r>
          </m:sub>
        </m:sSub>
      </m:oMath>
      <w:r w:rsidR="002E58C2">
        <w:rPr>
          <w:rFonts w:ascii="Times New Roman" w:hAnsi="Times New Roman" w:cs="Times New Roman"/>
          <w:sz w:val="22"/>
        </w:rPr>
        <w:t xml:space="preserve">              (Euler equation)</w:t>
      </w:r>
    </w:p>
    <w:p w14:paraId="7998E6F4" w14:textId="0477A281" w:rsidR="002E58C2" w:rsidRDefault="00000000" w:rsidP="002E58C2">
      <w:pPr>
        <w:wordWrap/>
        <w:adjustRightInd w:val="0"/>
        <w:spacing w:after="0" w:line="360" w:lineRule="auto"/>
        <w:jc w:val="right"/>
        <w:rPr>
          <w:rFonts w:ascii="Times New Roman" w:hAnsi="Times New Roman" w:cs="Times New Roman"/>
          <w:sz w:val="22"/>
        </w:rPr>
      </w:pPr>
      <m:oMath>
        <m:sSubSup>
          <m:sSubSupPr>
            <m:ctrlPr>
              <w:rPr>
                <w:rFonts w:ascii="Cambria Math" w:hAnsi="Cambria Math" w:cs="Times New Roman"/>
                <w:i/>
                <w:sz w:val="22"/>
              </w:rPr>
            </m:ctrlPr>
          </m:sSubSupPr>
          <m:e>
            <m:r>
              <m:rPr>
                <m:sty m:val="p"/>
              </m:rPr>
              <w:rPr>
                <w:rFonts w:ascii="Cambria Math" w:hAnsi="Cambria Math" w:cs="Times New Roman"/>
                <w:sz w:val="22"/>
              </w:rPr>
              <m:t>π</m:t>
            </m:r>
            <m:ctrlPr>
              <w:rPr>
                <w:rFonts w:ascii="Cambria Math" w:hAnsi="Cambria Math" w:cs="Times New Roman"/>
                <w:sz w:val="22"/>
              </w:rPr>
            </m:ctrlPr>
          </m:e>
          <m:sub>
            <m:r>
              <w:rPr>
                <w:rFonts w:ascii="Cambria Math" w:hAnsi="Cambria Math" w:cs="Times New Roman"/>
                <w:sz w:val="22"/>
              </w:rPr>
              <m:t>t</m:t>
            </m:r>
          </m:sub>
          <m:sup>
            <m:r>
              <w:rPr>
                <w:rFonts w:ascii="Cambria Math" w:hAnsi="Cambria Math" w:cs="Times New Roman"/>
                <w:sz w:val="22"/>
              </w:rPr>
              <m:t>w</m:t>
            </m:r>
          </m:sup>
        </m:sSubSup>
        <m:r>
          <w:rPr>
            <w:rFonts w:ascii="Cambria Math" w:hAnsi="Cambria Math" w:cs="Times New Roman"/>
            <w:sz w:val="22"/>
          </w:rPr>
          <m:t>=</m:t>
        </m:r>
        <m:sSup>
          <m:sSupPr>
            <m:ctrlPr>
              <w:rPr>
                <w:rFonts w:ascii="Cambria Math" w:hAnsi="Cambria Math" w:cs="Times New Roman"/>
                <w:i/>
                <w:sz w:val="22"/>
              </w:rPr>
            </m:ctrlPr>
          </m:sSupPr>
          <m:e>
            <m:r>
              <w:rPr>
                <w:rFonts w:ascii="Cambria Math" w:hAnsi="Cambria Math" w:cs="Times New Roman"/>
                <w:sz w:val="22"/>
              </w:rPr>
              <m:t>f</m:t>
            </m:r>
          </m:e>
          <m:sup>
            <m:r>
              <m:rPr>
                <m:sty m:val="p"/>
              </m:rPr>
              <w:rPr>
                <w:rFonts w:ascii="Cambria Math" w:hAnsi="Cambria Math" w:cs="Times New Roman"/>
                <w:sz w:val="22"/>
              </w:rPr>
              <m:t>π</m:t>
            </m:r>
          </m:sup>
        </m:sSup>
        <m:sSub>
          <m:sSubPr>
            <m:ctrlPr>
              <w:rPr>
                <w:rFonts w:ascii="Cambria Math" w:hAnsi="Cambria Math" w:cs="Times New Roman"/>
                <w:i/>
                <w:sz w:val="22"/>
              </w:rPr>
            </m:ctrlPr>
          </m:sSubPr>
          <m:e>
            <m:r>
              <w:rPr>
                <w:rFonts w:ascii="Cambria Math" w:hAnsi="Cambria Math" w:cs="Times New Roman"/>
                <w:sz w:val="22"/>
              </w:rPr>
              <m:t>E</m:t>
            </m:r>
          </m:e>
          <m:sub>
            <m:r>
              <w:rPr>
                <w:rFonts w:ascii="Cambria Math" w:hAnsi="Cambria Math" w:cs="Times New Roman"/>
                <w:sz w:val="22"/>
              </w:rPr>
              <m:t>t</m:t>
            </m:r>
          </m:sub>
        </m:sSub>
        <m:sSubSup>
          <m:sSubSupPr>
            <m:ctrlPr>
              <w:rPr>
                <w:rFonts w:ascii="Cambria Math" w:hAnsi="Cambria Math" w:cs="Times New Roman"/>
                <w:i/>
                <w:sz w:val="22"/>
              </w:rPr>
            </m:ctrlPr>
          </m:sSubSupPr>
          <m:e>
            <m:r>
              <m:rPr>
                <m:sty m:val="p"/>
              </m:rPr>
              <w:rPr>
                <w:rFonts w:ascii="Cambria Math" w:hAnsi="Cambria Math" w:cs="Times New Roman"/>
                <w:sz w:val="22"/>
              </w:rPr>
              <m:t>π</m:t>
            </m:r>
            <m:ctrlPr>
              <w:rPr>
                <w:rFonts w:ascii="Cambria Math" w:hAnsi="Cambria Math" w:cs="Times New Roman"/>
                <w:sz w:val="22"/>
              </w:rPr>
            </m:ctrlPr>
          </m:e>
          <m:sub>
            <m:r>
              <w:rPr>
                <w:rFonts w:ascii="Cambria Math" w:hAnsi="Cambria Math" w:cs="Times New Roman"/>
                <w:sz w:val="22"/>
              </w:rPr>
              <m:t>t+1</m:t>
            </m:r>
          </m:sub>
          <m:sup>
            <m:r>
              <w:rPr>
                <w:rFonts w:ascii="Cambria Math" w:hAnsi="Cambria Math" w:cs="Times New Roman"/>
                <w:sz w:val="22"/>
              </w:rPr>
              <m:t>w</m:t>
            </m:r>
          </m:sup>
        </m:sSubSup>
        <m:r>
          <w:rPr>
            <w:rFonts w:ascii="Cambria Math" w:hAnsi="Cambria Math" w:cs="Times New Roman"/>
            <w:sz w:val="22"/>
          </w:rPr>
          <m:t>+</m:t>
        </m:r>
        <m:sSup>
          <m:sSupPr>
            <m:ctrlPr>
              <w:rPr>
                <w:rFonts w:ascii="Cambria Math" w:hAnsi="Cambria Math" w:cs="Times New Roman"/>
                <w:i/>
                <w:sz w:val="22"/>
              </w:rPr>
            </m:ctrlPr>
          </m:sSupPr>
          <m:e>
            <m:r>
              <m:rPr>
                <m:sty m:val="p"/>
              </m:rPr>
              <w:rPr>
                <w:rFonts w:ascii="Cambria Math" w:hAnsi="Cambria Math" w:cs="Times New Roman"/>
                <w:sz w:val="22"/>
              </w:rPr>
              <m:t>ρ</m:t>
            </m:r>
          </m:e>
          <m:sup>
            <m:r>
              <m:rPr>
                <m:sty m:val="p"/>
              </m:rPr>
              <w:rPr>
                <w:rFonts w:ascii="Cambria Math" w:hAnsi="Cambria Math" w:cs="Times New Roman"/>
                <w:sz w:val="22"/>
              </w:rPr>
              <m:t>π</m:t>
            </m:r>
          </m:sup>
        </m:sSup>
        <m:sSubSup>
          <m:sSubSupPr>
            <m:ctrlPr>
              <w:rPr>
                <w:rFonts w:ascii="Cambria Math" w:hAnsi="Cambria Math" w:cs="Times New Roman"/>
                <w:i/>
                <w:sz w:val="22"/>
              </w:rPr>
            </m:ctrlPr>
          </m:sSubSupPr>
          <m:e>
            <m:r>
              <m:rPr>
                <m:sty m:val="p"/>
              </m:rPr>
              <w:rPr>
                <w:rFonts w:ascii="Cambria Math" w:hAnsi="Cambria Math" w:cs="Times New Roman"/>
                <w:sz w:val="22"/>
              </w:rPr>
              <m:t>π</m:t>
            </m:r>
            <m:ctrlPr>
              <w:rPr>
                <w:rFonts w:ascii="Cambria Math" w:hAnsi="Cambria Math" w:cs="Times New Roman"/>
                <w:sz w:val="22"/>
              </w:rPr>
            </m:ctrlPr>
          </m:e>
          <m:sub>
            <m:r>
              <w:rPr>
                <w:rFonts w:ascii="Cambria Math" w:hAnsi="Cambria Math" w:cs="Times New Roman"/>
                <w:sz w:val="22"/>
              </w:rPr>
              <m:t>t-1</m:t>
            </m:r>
          </m:sub>
          <m:sup>
            <m:r>
              <w:rPr>
                <w:rFonts w:ascii="Cambria Math" w:hAnsi="Cambria Math" w:cs="Times New Roman"/>
                <w:sz w:val="22"/>
              </w:rPr>
              <m:t>w</m:t>
            </m:r>
          </m:sup>
        </m:sSubSup>
        <m:r>
          <w:rPr>
            <w:rFonts w:ascii="Cambria Math" w:hAnsi="Cambria Math" w:cs="Times New Roman"/>
            <w:sz w:val="22"/>
          </w:rPr>
          <m:t>+</m:t>
        </m:r>
        <m:r>
          <m:rPr>
            <m:sty m:val="p"/>
          </m:rPr>
          <w:rPr>
            <w:rFonts w:ascii="Cambria Math" w:hAnsi="Cambria Math" w:cs="Times New Roman"/>
            <w:sz w:val="22"/>
          </w:rPr>
          <m:t>κ</m:t>
        </m:r>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t</m:t>
            </m:r>
          </m:sub>
        </m:sSub>
        <m:r>
          <w:rPr>
            <w:rFonts w:ascii="Cambria Math" w:hAnsi="Cambria Math" w:cs="Times New Roman"/>
            <w:sz w:val="22"/>
          </w:rPr>
          <m:t>+</m:t>
        </m:r>
        <m:sSub>
          <m:sSubPr>
            <m:ctrlPr>
              <w:rPr>
                <w:rFonts w:ascii="Cambria Math" w:hAnsi="Cambria Math" w:cs="Times New Roman"/>
                <w:i/>
                <w:sz w:val="22"/>
              </w:rPr>
            </m:ctrlPr>
          </m:sSubPr>
          <m:e>
            <m:r>
              <m:rPr>
                <m:sty m:val="p"/>
              </m:rPr>
              <w:rPr>
                <w:rFonts w:ascii="Cambria Math" w:hAnsi="Cambria Math" w:cs="Times New Roman"/>
                <w:sz w:val="22"/>
              </w:rPr>
              <m:t>ν</m:t>
            </m:r>
          </m:e>
          <m:sub>
            <m:r>
              <m:rPr>
                <m:sty m:val="p"/>
              </m:rPr>
              <w:rPr>
                <w:rFonts w:ascii="Cambria Math" w:hAnsi="Cambria Math" w:cs="Times New Roman"/>
                <w:sz w:val="22"/>
              </w:rPr>
              <m:t>π</m:t>
            </m:r>
            <m:r>
              <w:rPr>
                <w:rFonts w:ascii="Cambria Math" w:hAnsi="Cambria Math" w:cs="Times New Roman"/>
                <w:sz w:val="22"/>
              </w:rPr>
              <m:t>,t</m:t>
            </m:r>
          </m:sub>
        </m:sSub>
      </m:oMath>
      <w:r w:rsidR="00FB50FC">
        <w:rPr>
          <w:rFonts w:ascii="Times New Roman" w:hAnsi="Times New Roman" w:cs="Times New Roman"/>
          <w:sz w:val="22"/>
        </w:rPr>
        <w:t xml:space="preserve">                                     (Phillips curve)</w:t>
      </w:r>
    </w:p>
    <w:p w14:paraId="00E58431" w14:textId="34B69D27" w:rsidR="00382313" w:rsidRDefault="00000000" w:rsidP="00382313">
      <w:pPr>
        <w:wordWrap/>
        <w:adjustRightInd w:val="0"/>
        <w:spacing w:after="0" w:line="360" w:lineRule="auto"/>
        <w:ind w:right="220"/>
        <w:jc w:val="right"/>
        <w:rPr>
          <w:rFonts w:ascii="Times New Roman" w:hAnsi="Times New Roman" w:cs="Times New Roman"/>
          <w:sz w:val="22"/>
        </w:rPr>
      </w:pPr>
      <m:oMath>
        <m:sSub>
          <m:sSubPr>
            <m:ctrlPr>
              <w:rPr>
                <w:rFonts w:ascii="Cambria Math" w:hAnsi="Cambria Math" w:cs="Times New Roman"/>
                <w:sz w:val="22"/>
              </w:rPr>
            </m:ctrlPr>
          </m:sSubPr>
          <m:e>
            <m:r>
              <m:rPr>
                <m:sty m:val="p"/>
              </m:rPr>
              <w:rPr>
                <w:rFonts w:ascii="Cambria Math" w:hAnsi="Cambria Math" w:cs="Times New Roman"/>
                <w:sz w:val="22"/>
              </w:rPr>
              <m:t>i</m:t>
            </m:r>
          </m:e>
          <m:sub>
            <m:r>
              <m:rPr>
                <m:sty m:val="p"/>
              </m:rPr>
              <w:rPr>
                <w:rFonts w:ascii="Cambria Math" w:hAnsi="Cambria Math" w:cs="Times New Roman"/>
                <w:sz w:val="22"/>
              </w:rPr>
              <m:t>t</m:t>
            </m:r>
          </m:sub>
        </m:sSub>
        <m:r>
          <m:rPr>
            <m:sty m:val="p"/>
          </m:rPr>
          <w:rPr>
            <w:rFonts w:ascii="Cambria Math" w:hAnsi="Cambria Math" w:cs="Times New Roman"/>
            <w:sz w:val="22"/>
          </w:rPr>
          <m:t>=</m:t>
        </m:r>
        <m:sSup>
          <m:sSupPr>
            <m:ctrlPr>
              <w:rPr>
                <w:rFonts w:ascii="Cambria Math" w:hAnsi="Cambria Math" w:cs="Times New Roman"/>
                <w:sz w:val="22"/>
              </w:rPr>
            </m:ctrlPr>
          </m:sSupPr>
          <m:e>
            <m:r>
              <m:rPr>
                <m:sty m:val="p"/>
              </m:rPr>
              <w:rPr>
                <w:rFonts w:ascii="Cambria Math" w:hAnsi="Cambria Math" w:cs="Times New Roman"/>
                <w:sz w:val="22"/>
              </w:rPr>
              <m:t>ρ</m:t>
            </m:r>
          </m:e>
          <m:sup>
            <m:r>
              <m:rPr>
                <m:sty m:val="p"/>
              </m:rPr>
              <w:rPr>
                <w:rFonts w:ascii="Cambria Math" w:hAnsi="Cambria Math" w:cs="Times New Roman"/>
                <w:sz w:val="22"/>
              </w:rPr>
              <m:t>i</m:t>
            </m:r>
          </m:sup>
        </m:sSup>
        <m:sSub>
          <m:sSubPr>
            <m:ctrlPr>
              <w:rPr>
                <w:rFonts w:ascii="Cambria Math" w:hAnsi="Cambria Math" w:cs="Times New Roman"/>
                <w:sz w:val="22"/>
              </w:rPr>
            </m:ctrlPr>
          </m:sSubPr>
          <m:e>
            <m:r>
              <m:rPr>
                <m:sty m:val="p"/>
              </m:rPr>
              <w:rPr>
                <w:rFonts w:ascii="Cambria Math" w:hAnsi="Cambria Math" w:cs="Times New Roman"/>
                <w:sz w:val="22"/>
              </w:rPr>
              <m:t>i</m:t>
            </m:r>
          </m:e>
          <m:sub>
            <m:r>
              <m:rPr>
                <m:sty m:val="p"/>
              </m:rPr>
              <w:rPr>
                <w:rFonts w:ascii="Cambria Math" w:hAnsi="Cambria Math" w:cs="Times New Roman"/>
                <w:sz w:val="22"/>
              </w:rPr>
              <m:t>t-1</m:t>
            </m:r>
          </m:sub>
        </m:sSub>
        <m:r>
          <m:rPr>
            <m:sty m:val="p"/>
          </m:rPr>
          <w:rPr>
            <w:rFonts w:ascii="Cambria Math" w:hAnsi="Cambria Math" w:cs="Times New Roman"/>
            <w:sz w:val="22"/>
          </w:rPr>
          <m:t>+</m:t>
        </m:r>
        <m:d>
          <m:dPr>
            <m:ctrlPr>
              <w:rPr>
                <w:rFonts w:ascii="Cambria Math" w:hAnsi="Cambria Math" w:cs="Times New Roman"/>
                <w:sz w:val="22"/>
              </w:rPr>
            </m:ctrlPr>
          </m:dPr>
          <m:e>
            <m:r>
              <m:rPr>
                <m:sty m:val="p"/>
              </m:rPr>
              <w:rPr>
                <w:rFonts w:ascii="Cambria Math" w:hAnsi="Cambria Math" w:cs="Times New Roman"/>
                <w:sz w:val="22"/>
              </w:rPr>
              <m:t>1-</m:t>
            </m:r>
            <m:sSub>
              <m:sSubPr>
                <m:ctrlPr>
                  <w:rPr>
                    <w:rFonts w:ascii="Cambria Math" w:hAnsi="Cambria Math" w:cs="Times New Roman"/>
                    <w:sz w:val="22"/>
                  </w:rPr>
                </m:ctrlPr>
              </m:sSubPr>
              <m:e>
                <m:r>
                  <m:rPr>
                    <m:sty m:val="p"/>
                  </m:rPr>
                  <w:rPr>
                    <w:rFonts w:ascii="Cambria Math" w:hAnsi="Cambria Math" w:cs="Times New Roman"/>
                    <w:sz w:val="22"/>
                  </w:rPr>
                  <m:t>ρ</m:t>
                </m:r>
              </m:e>
              <m:sub>
                <m:r>
                  <m:rPr>
                    <m:sty m:val="p"/>
                  </m:rPr>
                  <w:rPr>
                    <w:rFonts w:ascii="Cambria Math" w:hAnsi="Cambria Math" w:cs="Times New Roman"/>
                    <w:sz w:val="22"/>
                  </w:rPr>
                  <m:t>i</m:t>
                </m:r>
              </m:sub>
            </m:sSub>
          </m:e>
        </m:d>
        <m:d>
          <m:dPr>
            <m:ctrlPr>
              <w:rPr>
                <w:rFonts w:ascii="Cambria Math" w:hAnsi="Cambria Math" w:cs="Times New Roman"/>
                <w:sz w:val="22"/>
              </w:rPr>
            </m:ctrlPr>
          </m:dPr>
          <m:e>
            <m:sSup>
              <m:sSupPr>
                <m:ctrlPr>
                  <w:rPr>
                    <w:rFonts w:ascii="Cambria Math" w:hAnsi="Cambria Math" w:cs="Times New Roman"/>
                    <w:sz w:val="22"/>
                  </w:rPr>
                </m:ctrlPr>
              </m:sSupPr>
              <m:e>
                <m:r>
                  <m:rPr>
                    <m:sty m:val="p"/>
                  </m:rPr>
                  <w:rPr>
                    <w:rFonts w:ascii="Cambria Math" w:hAnsi="Cambria Math" w:cs="Times New Roman"/>
                    <w:sz w:val="22"/>
                  </w:rPr>
                  <m:t>γ</m:t>
                </m:r>
              </m:e>
              <m:sup>
                <m:r>
                  <m:rPr>
                    <m:sty m:val="p"/>
                  </m:rPr>
                  <w:rPr>
                    <w:rFonts w:ascii="Cambria Math" w:hAnsi="Cambria Math" w:cs="Times New Roman"/>
                    <w:sz w:val="22"/>
                  </w:rPr>
                  <m:t>x</m:t>
                </m:r>
              </m:sup>
            </m:sSup>
            <m:sSub>
              <m:sSubPr>
                <m:ctrlPr>
                  <w:rPr>
                    <w:rFonts w:ascii="Cambria Math" w:hAnsi="Cambria Math" w:cs="Times New Roman"/>
                    <w:sz w:val="22"/>
                  </w:rPr>
                </m:ctrlPr>
              </m:sSubPr>
              <m:e>
                <m:r>
                  <m:rPr>
                    <m:sty m:val="p"/>
                  </m:rPr>
                  <w:rPr>
                    <w:rFonts w:ascii="Cambria Math" w:hAnsi="Cambria Math" w:cs="Times New Roman"/>
                    <w:sz w:val="22"/>
                  </w:rPr>
                  <m:t>x</m:t>
                </m:r>
              </m:e>
              <m:sub>
                <m:r>
                  <m:rPr>
                    <m:sty m:val="p"/>
                  </m:rPr>
                  <w:rPr>
                    <w:rFonts w:ascii="Cambria Math" w:hAnsi="Cambria Math" w:cs="Times New Roman"/>
                    <w:sz w:val="22"/>
                  </w:rPr>
                  <m:t>t</m:t>
                </m:r>
              </m:sub>
            </m:sSub>
            <m:r>
              <m:rPr>
                <m:sty m:val="p"/>
              </m:rPr>
              <w:rPr>
                <w:rFonts w:ascii="Cambria Math" w:hAnsi="Cambria Math" w:cs="Times New Roman"/>
                <w:sz w:val="22"/>
              </w:rPr>
              <m:t>+</m:t>
            </m:r>
            <m:sSup>
              <m:sSupPr>
                <m:ctrlPr>
                  <w:rPr>
                    <w:rFonts w:ascii="Cambria Math" w:hAnsi="Cambria Math" w:cs="Times New Roman"/>
                    <w:sz w:val="22"/>
                  </w:rPr>
                </m:ctrlPr>
              </m:sSupPr>
              <m:e>
                <m:r>
                  <m:rPr>
                    <m:sty m:val="p"/>
                  </m:rPr>
                  <w:rPr>
                    <w:rFonts w:ascii="Cambria Math" w:hAnsi="Cambria Math" w:cs="Times New Roman"/>
                    <w:sz w:val="22"/>
                  </w:rPr>
                  <m:t>γ</m:t>
                </m:r>
              </m:e>
              <m:sup>
                <m:r>
                  <m:rPr>
                    <m:sty m:val="p"/>
                  </m:rPr>
                  <w:rPr>
                    <w:rFonts w:ascii="Cambria Math" w:hAnsi="Cambria Math" w:cs="Times New Roman"/>
                    <w:sz w:val="22"/>
                  </w:rPr>
                  <m:t>π</m:t>
                </m:r>
              </m:sup>
            </m:sSup>
            <m:limLow>
              <m:limLowPr>
                <m:ctrlPr>
                  <w:rPr>
                    <w:rFonts w:ascii="Cambria Math" w:hAnsi="Cambria Math" w:cs="Times New Roman"/>
                    <w:sz w:val="22"/>
                  </w:rPr>
                </m:ctrlPr>
              </m:limLowPr>
              <m:e>
                <m:groupChr>
                  <m:groupChrPr>
                    <m:ctrlPr>
                      <w:rPr>
                        <w:rFonts w:ascii="Cambria Math" w:hAnsi="Cambria Math" w:cs="Times New Roman"/>
                        <w:sz w:val="22"/>
                      </w:rPr>
                    </m:ctrlPr>
                  </m:groupChrPr>
                  <m:e>
                    <m:d>
                      <m:dPr>
                        <m:begChr m:val="["/>
                        <m:endChr m:val="]"/>
                        <m:ctrlPr>
                          <w:rPr>
                            <w:rFonts w:ascii="Cambria Math" w:hAnsi="Cambria Math" w:cs="Times New Roman"/>
                            <w:sz w:val="22"/>
                          </w:rPr>
                        </m:ctrlPr>
                      </m:dPr>
                      <m:e>
                        <m:sSubSup>
                          <m:sSubSupPr>
                            <m:ctrlPr>
                              <w:rPr>
                                <w:rFonts w:ascii="Cambria Math" w:hAnsi="Cambria Math" w:cs="Times New Roman"/>
                                <w:i/>
                                <w:sz w:val="22"/>
                              </w:rPr>
                            </m:ctrlPr>
                          </m:sSubSupPr>
                          <m:e>
                            <m:r>
                              <m:rPr>
                                <m:sty m:val="p"/>
                              </m:rPr>
                              <w:rPr>
                                <w:rFonts w:ascii="Cambria Math" w:hAnsi="Cambria Math" w:cs="Times New Roman"/>
                                <w:sz w:val="22"/>
                              </w:rPr>
                              <m:t>π</m:t>
                            </m:r>
                            <m:ctrlPr>
                              <w:rPr>
                                <w:rFonts w:ascii="Cambria Math" w:hAnsi="Cambria Math" w:cs="Times New Roman"/>
                                <w:sz w:val="22"/>
                              </w:rPr>
                            </m:ctrlPr>
                          </m:e>
                          <m:sub>
                            <m:r>
                              <m:rPr>
                                <m:sty m:val="p"/>
                              </m:rPr>
                              <w:rPr>
                                <w:rFonts w:ascii="Cambria Math" w:hAnsi="Cambria Math" w:cs="Times New Roman"/>
                                <w:sz w:val="22"/>
                              </w:rPr>
                              <m:t>t</m:t>
                            </m:r>
                          </m:sub>
                          <m:sup>
                            <m:r>
                              <m:rPr>
                                <m:sty m:val="p"/>
                              </m:rPr>
                              <w:rPr>
                                <w:rFonts w:ascii="Cambria Math" w:hAnsi="Cambria Math" w:cs="Times New Roman"/>
                                <w:sz w:val="22"/>
                              </w:rPr>
                              <m:t>w</m:t>
                            </m:r>
                          </m:sup>
                        </m:sSubSup>
                        <m:r>
                          <w:rPr>
                            <w:rFonts w:ascii="Cambria Math" w:hAnsi="Cambria Math" w:cs="Times New Roman"/>
                            <w:sz w:val="22"/>
                          </w:rPr>
                          <m:t>-</m:t>
                        </m:r>
                        <m:d>
                          <m:dPr>
                            <m:ctrlPr>
                              <w:rPr>
                                <w:rFonts w:ascii="Cambria Math" w:hAnsi="Cambria Math" w:cs="Times New Roman"/>
                                <w:sz w:val="22"/>
                              </w:rPr>
                            </m:ctrlPr>
                          </m:dPr>
                          <m:e>
                            <m:r>
                              <w:rPr>
                                <w:rFonts w:ascii="Cambria Math" w:hAnsi="Cambria Math" w:cs="Times New Roman"/>
                                <w:sz w:val="22"/>
                              </w:rPr>
                              <m:t>1-</m:t>
                            </m:r>
                            <m:r>
                              <m:rPr>
                                <m:sty m:val="p"/>
                              </m:rPr>
                              <w:rPr>
                                <w:rFonts w:ascii="Cambria Math" w:hAnsi="Cambria Math" w:cs="Times New Roman"/>
                                <w:sz w:val="22"/>
                              </w:rPr>
                              <m:t>ϕ</m:t>
                            </m:r>
                            <m:ctrlPr>
                              <w:rPr>
                                <w:rFonts w:ascii="Cambria Math" w:hAnsi="Cambria Math" w:cs="Times New Roman"/>
                                <w:i/>
                                <w:sz w:val="22"/>
                              </w:rPr>
                            </m:ctrlPr>
                          </m:e>
                        </m:d>
                        <m:sSub>
                          <m:sSubPr>
                            <m:ctrlPr>
                              <w:rPr>
                                <w:rFonts w:ascii="Cambria Math" w:hAnsi="Cambria Math" w:cs="Times New Roman"/>
                                <w:i/>
                                <w:sz w:val="22"/>
                              </w:rPr>
                            </m:ctrlPr>
                          </m:sSubPr>
                          <m:e>
                            <m:r>
                              <m:rPr>
                                <m:sty m:val="p"/>
                              </m:rPr>
                              <w:rPr>
                                <w:rFonts w:ascii="Cambria Math" w:hAnsi="Cambria Math" w:cs="Times New Roman"/>
                                <w:sz w:val="22"/>
                              </w:rPr>
                              <m:t>x</m:t>
                            </m:r>
                            <m:ctrlPr>
                              <w:rPr>
                                <w:rFonts w:ascii="Cambria Math" w:hAnsi="Cambria Math" w:cs="Times New Roman"/>
                                <w:sz w:val="22"/>
                              </w:rPr>
                            </m:ctrlPr>
                          </m:e>
                          <m:sub>
                            <m:r>
                              <m:rPr>
                                <m:sty m:val="p"/>
                              </m:rPr>
                              <w:rPr>
                                <w:rFonts w:ascii="Cambria Math" w:hAnsi="Cambria Math" w:cs="Times New Roman"/>
                                <w:sz w:val="22"/>
                              </w:rPr>
                              <m:t>t</m:t>
                            </m:r>
                            <m:r>
                              <w:rPr>
                                <w:rFonts w:ascii="Cambria Math" w:hAnsi="Cambria Math" w:cs="Times New Roman"/>
                                <w:sz w:val="22"/>
                              </w:rPr>
                              <m:t>-1</m:t>
                            </m:r>
                          </m:sub>
                        </m:sSub>
                        <m:ctrlPr>
                          <w:rPr>
                            <w:rFonts w:ascii="Cambria Math" w:hAnsi="Cambria Math" w:cs="Times New Roman"/>
                            <w:i/>
                            <w:sz w:val="22"/>
                          </w:rPr>
                        </m:ctrlPr>
                      </m:e>
                    </m:d>
                  </m:e>
                </m:groupChr>
              </m:e>
              <m:lim>
                <m:sSub>
                  <m:sSubPr>
                    <m:ctrlPr>
                      <w:rPr>
                        <w:rFonts w:ascii="Cambria Math" w:hAnsi="Cambria Math" w:cs="Times New Roman"/>
                        <w:sz w:val="22"/>
                      </w:rPr>
                    </m:ctrlPr>
                  </m:sSubPr>
                  <m:e>
                    <m:r>
                      <m:rPr>
                        <m:sty m:val="p"/>
                      </m:rPr>
                      <w:rPr>
                        <w:rFonts w:ascii="Cambria Math" w:hAnsi="Cambria Math" w:cs="Times New Roman"/>
                        <w:sz w:val="22"/>
                      </w:rPr>
                      <m:t>π</m:t>
                    </m:r>
                  </m:e>
                  <m:sub>
                    <m:r>
                      <m:rPr>
                        <m:sty m:val="p"/>
                      </m:rPr>
                      <w:rPr>
                        <w:rFonts w:ascii="Cambria Math" w:hAnsi="Cambria Math" w:cs="Times New Roman"/>
                        <w:sz w:val="22"/>
                      </w:rPr>
                      <m:t>t</m:t>
                    </m:r>
                  </m:sub>
                </m:sSub>
              </m:lim>
            </m:limLow>
          </m:e>
        </m:d>
        <m:r>
          <m:rPr>
            <m:sty m:val="p"/>
          </m:rPr>
          <w:rPr>
            <w:rFonts w:ascii="Cambria Math" w:hAnsi="Cambria Math" w:cs="Times New Roman"/>
            <w:sz w:val="22"/>
          </w:rPr>
          <m:t>+</m:t>
        </m:r>
        <m:sSub>
          <m:sSubPr>
            <m:ctrlPr>
              <w:rPr>
                <w:rFonts w:ascii="Cambria Math" w:hAnsi="Cambria Math" w:cs="Times New Roman"/>
                <w:sz w:val="22"/>
              </w:rPr>
            </m:ctrlPr>
          </m:sSubPr>
          <m:e>
            <m:r>
              <m:rPr>
                <m:sty m:val="p"/>
              </m:rPr>
              <w:rPr>
                <w:rFonts w:ascii="Cambria Math" w:hAnsi="Cambria Math" w:cs="Times New Roman"/>
                <w:sz w:val="22"/>
              </w:rPr>
              <m:t>ν</m:t>
            </m:r>
          </m:e>
          <m:sub>
            <m:r>
              <m:rPr>
                <m:sty m:val="p"/>
              </m:rPr>
              <w:rPr>
                <w:rFonts w:ascii="Cambria Math" w:hAnsi="Cambria Math" w:cs="Times New Roman"/>
                <w:sz w:val="22"/>
              </w:rPr>
              <m:t>i,t</m:t>
            </m:r>
          </m:sub>
        </m:sSub>
      </m:oMath>
      <w:r w:rsidR="00E90B75">
        <w:rPr>
          <w:rFonts w:ascii="Times New Roman" w:hAnsi="Times New Roman" w:cs="Times New Roman" w:hint="eastAsia"/>
          <w:sz w:val="22"/>
        </w:rPr>
        <w:t xml:space="preserve">                  (Taylor rule)</w:t>
      </w:r>
    </w:p>
    <w:p w14:paraId="1DF06E6F" w14:textId="6514C7D4" w:rsidR="00E17587" w:rsidRDefault="00E17587" w:rsidP="00DE3F85">
      <w:pPr>
        <w:wordWrap/>
        <w:adjustRightInd w:val="0"/>
        <w:spacing w:before="240" w:after="0" w:line="360" w:lineRule="auto"/>
        <w:ind w:right="220"/>
        <w:rPr>
          <w:rFonts w:ascii="Times New Roman" w:hAnsi="Times New Roman" w:cs="Times New Roman"/>
          <w:sz w:val="22"/>
        </w:rPr>
      </w:pPr>
      <w:r>
        <w:rPr>
          <w:rFonts w:ascii="Times New Roman" w:hAnsi="Times New Roman" w:cs="Times New Roman" w:hint="eastAsia"/>
          <w:sz w:val="22"/>
        </w:rPr>
        <w:t>(P2) The second part assumes a relationship between the output gap and consumption growth</w:t>
      </w:r>
    </w:p>
    <w:p w14:paraId="30549789" w14:textId="3C20CF45" w:rsidR="00E17587" w:rsidRPr="00E17587" w:rsidRDefault="00E17587" w:rsidP="00DE3F85">
      <w:pPr>
        <w:wordWrap/>
        <w:adjustRightInd w:val="0"/>
        <w:spacing w:before="240" w:after="0" w:line="360" w:lineRule="auto"/>
        <w:ind w:right="220"/>
        <w:jc w:val="right"/>
        <w:rPr>
          <w:rFonts w:ascii="Times New Roman" w:hAnsi="Times New Roman" w:cs="Times New Roman"/>
          <w:sz w:val="22"/>
        </w:rPr>
      </w:pPr>
      <m:oMath>
        <m:r>
          <m:rPr>
            <m:sty m:val="p"/>
          </m:rPr>
          <w:rPr>
            <w:rFonts w:ascii="Cambria Math" w:hAnsi="Cambria Math" w:cs="Times New Roman"/>
            <w:sz w:val="22"/>
          </w:rPr>
          <m:t>Δ</m:t>
        </m:r>
        <m:sSub>
          <m:sSubPr>
            <m:ctrlPr>
              <w:rPr>
                <w:rFonts w:ascii="Cambria Math" w:hAnsi="Cambria Math" w:cs="Times New Roman"/>
                <w:i/>
                <w:sz w:val="22"/>
              </w:rPr>
            </m:ctrlPr>
          </m:sSubPr>
          <m:e>
            <m:r>
              <w:rPr>
                <w:rFonts w:ascii="Cambria Math" w:hAnsi="Cambria Math" w:cs="Times New Roman"/>
                <w:sz w:val="22"/>
              </w:rPr>
              <m:t>c</m:t>
            </m:r>
          </m:e>
          <m:sub>
            <m:r>
              <w:rPr>
                <w:rFonts w:ascii="Cambria Math" w:hAnsi="Cambria Math" w:cs="Times New Roman"/>
                <w:sz w:val="22"/>
              </w:rPr>
              <m:t>t+1</m:t>
            </m:r>
          </m:sub>
        </m:sSub>
        <m:r>
          <w:rPr>
            <w:rFonts w:ascii="Cambria Math" w:hAnsi="Cambria Math" w:cs="Times New Roman"/>
            <w:sz w:val="22"/>
          </w:rPr>
          <m:t>=</m:t>
        </m:r>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t+1</m:t>
            </m:r>
          </m:sub>
        </m:sSub>
        <m:r>
          <w:rPr>
            <w:rFonts w:ascii="Cambria Math" w:hAnsi="Cambria Math" w:cs="Times New Roman"/>
            <w:sz w:val="22"/>
          </w:rPr>
          <m:t>-</m:t>
        </m:r>
        <m:r>
          <m:rPr>
            <m:sty m:val="p"/>
          </m:rPr>
          <w:rPr>
            <w:rFonts w:ascii="Cambria Math" w:hAnsi="Cambria Math" w:cs="Times New Roman"/>
            <w:sz w:val="22"/>
          </w:rPr>
          <m:t>ϕ</m:t>
        </m:r>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t</m:t>
            </m:r>
          </m:sub>
        </m:sSub>
      </m:oMath>
      <w:r>
        <w:rPr>
          <w:rFonts w:ascii="Times New Roman" w:hAnsi="Times New Roman" w:cs="Times New Roman" w:hint="eastAsia"/>
          <w:sz w:val="22"/>
        </w:rPr>
        <w:t xml:space="preserve">                     (Consumption growth-output gap relation)</w:t>
      </w:r>
    </w:p>
    <w:p w14:paraId="4A7C20EA" w14:textId="3FE4D466" w:rsidR="00E17587" w:rsidRDefault="00E17587" w:rsidP="00DE3F85">
      <w:pPr>
        <w:wordWrap/>
        <w:adjustRightInd w:val="0"/>
        <w:spacing w:before="240" w:after="0" w:line="360" w:lineRule="auto"/>
        <w:ind w:right="220"/>
        <w:rPr>
          <w:rFonts w:ascii="Times New Roman" w:hAnsi="Times New Roman" w:cs="Times New Roman"/>
          <w:sz w:val="22"/>
        </w:rPr>
      </w:pPr>
      <w:r>
        <w:rPr>
          <w:rFonts w:ascii="Times New Roman" w:hAnsi="Times New Roman" w:cs="Times New Roman" w:hint="eastAsia"/>
          <w:sz w:val="22"/>
        </w:rPr>
        <w:t xml:space="preserve">    and imposes habit formation preferences</w:t>
      </w:r>
    </w:p>
    <w:p w14:paraId="6734E149" w14:textId="091BF542" w:rsidR="00E17587" w:rsidRDefault="00000000" w:rsidP="00DE3F85">
      <w:pPr>
        <w:wordWrap/>
        <w:adjustRightInd w:val="0"/>
        <w:spacing w:before="240" w:after="0" w:line="360" w:lineRule="auto"/>
        <w:ind w:right="220"/>
        <w:jc w:val="right"/>
        <w:rPr>
          <w:rFonts w:ascii="Times New Roman" w:hAnsi="Times New Roman" w:cs="Times New Roman"/>
          <w:sz w:val="22"/>
        </w:rPr>
      </w:pPr>
      <m:oMath>
        <m:sSub>
          <m:sSubPr>
            <m:ctrlPr>
              <w:rPr>
                <w:rFonts w:ascii="Cambria Math" w:hAnsi="Cambria Math" w:cs="Times New Roman"/>
                <w:i/>
                <w:sz w:val="22"/>
              </w:rPr>
            </m:ctrlPr>
          </m:sSubPr>
          <m:e>
            <m:r>
              <w:rPr>
                <w:rFonts w:ascii="Cambria Math" w:hAnsi="Cambria Math" w:cs="Times New Roman"/>
                <w:sz w:val="22"/>
              </w:rPr>
              <m:t>s</m:t>
            </m:r>
          </m:e>
          <m:sub>
            <m:r>
              <w:rPr>
                <w:rFonts w:ascii="Cambria Math" w:hAnsi="Cambria Math" w:cs="Times New Roman"/>
                <w:sz w:val="22"/>
              </w:rPr>
              <m:t>t+1</m:t>
            </m:r>
          </m:sub>
        </m:sSub>
        <m:r>
          <w:rPr>
            <w:rFonts w:ascii="Cambria Math" w:hAnsi="Cambria Math" w:cs="Times New Roman"/>
            <w:sz w:val="22"/>
          </w:rPr>
          <m:t>=</m:t>
        </m:r>
        <m:d>
          <m:dPr>
            <m:ctrlPr>
              <w:rPr>
                <w:rFonts w:ascii="Cambria Math" w:hAnsi="Cambria Math" w:cs="Times New Roman"/>
                <w:i/>
                <w:sz w:val="22"/>
              </w:rPr>
            </m:ctrlPr>
          </m:dPr>
          <m:e>
            <m:r>
              <w:rPr>
                <w:rFonts w:ascii="Cambria Math" w:hAnsi="Cambria Math" w:cs="Times New Roman"/>
                <w:sz w:val="22"/>
              </w:rPr>
              <m:t>1-</m:t>
            </m:r>
            <m:sSub>
              <m:sSubPr>
                <m:ctrlPr>
                  <w:rPr>
                    <w:rFonts w:ascii="Cambria Math" w:hAnsi="Cambria Math" w:cs="Times New Roman"/>
                    <w:i/>
                    <w:sz w:val="22"/>
                  </w:rPr>
                </m:ctrlPr>
              </m:sSubPr>
              <m:e>
                <m:r>
                  <m:rPr>
                    <m:sty m:val="p"/>
                  </m:rPr>
                  <w:rPr>
                    <w:rFonts w:ascii="Cambria Math" w:hAnsi="Cambria Math" w:cs="Times New Roman"/>
                    <w:sz w:val="22"/>
                  </w:rPr>
                  <m:t>θ</m:t>
                </m:r>
              </m:e>
              <m:sub>
                <m:r>
                  <w:rPr>
                    <w:rFonts w:ascii="Cambria Math" w:hAnsi="Cambria Math" w:cs="Times New Roman"/>
                    <w:sz w:val="22"/>
                  </w:rPr>
                  <m:t>0</m:t>
                </m:r>
              </m:sub>
            </m:sSub>
          </m:e>
        </m:d>
        <m:acc>
          <m:accPr>
            <m:chr m:val="̅"/>
            <m:ctrlPr>
              <w:rPr>
                <w:rFonts w:ascii="Cambria Math" w:hAnsi="Cambria Math" w:cs="Times New Roman"/>
                <w:sz w:val="22"/>
              </w:rPr>
            </m:ctrlPr>
          </m:accPr>
          <m:e>
            <m:r>
              <w:rPr>
                <w:rFonts w:ascii="Cambria Math" w:hAnsi="Cambria Math" w:cs="Times New Roman"/>
                <w:sz w:val="22"/>
              </w:rPr>
              <m:t>s</m:t>
            </m:r>
          </m:e>
        </m:acc>
        <m:r>
          <w:rPr>
            <w:rFonts w:ascii="Cambria Math" w:hAnsi="Cambria Math" w:cs="Times New Roman"/>
            <w:sz w:val="22"/>
          </w:rPr>
          <m:t>+</m:t>
        </m:r>
        <m:sSub>
          <m:sSubPr>
            <m:ctrlPr>
              <w:rPr>
                <w:rFonts w:ascii="Cambria Math" w:hAnsi="Cambria Math" w:cs="Times New Roman"/>
                <w:i/>
                <w:sz w:val="22"/>
              </w:rPr>
            </m:ctrlPr>
          </m:sSubPr>
          <m:e>
            <m:r>
              <m:rPr>
                <m:sty m:val="p"/>
              </m:rPr>
              <w:rPr>
                <w:rFonts w:ascii="Cambria Math" w:hAnsi="Cambria Math" w:cs="Times New Roman"/>
                <w:sz w:val="22"/>
              </w:rPr>
              <m:t>θ</m:t>
            </m:r>
          </m:e>
          <m:sub>
            <m:r>
              <w:rPr>
                <w:rFonts w:ascii="Cambria Math" w:hAnsi="Cambria Math" w:cs="Times New Roman"/>
                <w:sz w:val="22"/>
              </w:rPr>
              <m:t>0</m:t>
            </m:r>
          </m:sub>
        </m:sSub>
        <m:sSub>
          <m:sSubPr>
            <m:ctrlPr>
              <w:rPr>
                <w:rFonts w:ascii="Cambria Math" w:hAnsi="Cambria Math" w:cs="Times New Roman"/>
                <w:i/>
                <w:sz w:val="22"/>
              </w:rPr>
            </m:ctrlPr>
          </m:sSubPr>
          <m:e>
            <m:r>
              <w:rPr>
                <w:rFonts w:ascii="Cambria Math" w:hAnsi="Cambria Math" w:cs="Times New Roman"/>
                <w:sz w:val="22"/>
              </w:rPr>
              <m:t>s</m:t>
            </m:r>
          </m:e>
          <m:sub>
            <m:r>
              <w:rPr>
                <w:rFonts w:ascii="Cambria Math" w:hAnsi="Cambria Math" w:cs="Times New Roman"/>
                <w:sz w:val="22"/>
              </w:rPr>
              <m:t>t</m:t>
            </m:r>
          </m:sub>
        </m:sSub>
        <m:r>
          <w:rPr>
            <w:rFonts w:ascii="Cambria Math" w:hAnsi="Cambria Math" w:cs="Times New Roman"/>
            <w:sz w:val="22"/>
          </w:rPr>
          <m:t>+</m:t>
        </m:r>
        <m:sSub>
          <m:sSubPr>
            <m:ctrlPr>
              <w:rPr>
                <w:rFonts w:ascii="Cambria Math" w:hAnsi="Cambria Math" w:cs="Times New Roman"/>
                <w:i/>
                <w:sz w:val="22"/>
              </w:rPr>
            </m:ctrlPr>
          </m:sSubPr>
          <m:e>
            <m:r>
              <m:rPr>
                <m:sty m:val="p"/>
              </m:rPr>
              <w:rPr>
                <w:rFonts w:ascii="Cambria Math" w:hAnsi="Cambria Math" w:cs="Times New Roman"/>
                <w:sz w:val="22"/>
              </w:rPr>
              <m:t>θ</m:t>
            </m:r>
          </m:e>
          <m:sub>
            <m:r>
              <w:rPr>
                <w:rFonts w:ascii="Cambria Math" w:hAnsi="Cambria Math" w:cs="Times New Roman"/>
                <w:sz w:val="22"/>
              </w:rPr>
              <m:t>1</m:t>
            </m:r>
          </m:sub>
        </m:sSub>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t</m:t>
            </m:r>
          </m:sub>
        </m:sSub>
        <m:r>
          <w:rPr>
            <w:rFonts w:ascii="Cambria Math" w:hAnsi="Cambria Math" w:cs="Times New Roman"/>
            <w:sz w:val="22"/>
          </w:rPr>
          <m:t>+</m:t>
        </m:r>
        <m:sSub>
          <m:sSubPr>
            <m:ctrlPr>
              <w:rPr>
                <w:rFonts w:ascii="Cambria Math" w:hAnsi="Cambria Math" w:cs="Times New Roman"/>
                <w:i/>
                <w:sz w:val="22"/>
              </w:rPr>
            </m:ctrlPr>
          </m:sSubPr>
          <m:e>
            <m:r>
              <m:rPr>
                <m:sty m:val="p"/>
              </m:rPr>
              <w:rPr>
                <w:rFonts w:ascii="Cambria Math" w:hAnsi="Cambria Math" w:cs="Times New Roman"/>
                <w:sz w:val="22"/>
              </w:rPr>
              <m:t>θ</m:t>
            </m:r>
          </m:e>
          <m:sub>
            <m:r>
              <w:rPr>
                <w:rFonts w:ascii="Cambria Math" w:hAnsi="Cambria Math" w:cs="Times New Roman"/>
                <w:sz w:val="22"/>
              </w:rPr>
              <m:t>2</m:t>
            </m:r>
          </m:sub>
        </m:sSub>
        <m:sSub>
          <m:sSubPr>
            <m:ctrlPr>
              <w:rPr>
                <w:rFonts w:ascii="Cambria Math" w:hAnsi="Cambria Math" w:cs="Times New Roman"/>
                <w:i/>
                <w:sz w:val="22"/>
              </w:rPr>
            </m:ctrlPr>
          </m:sSubPr>
          <m:e>
            <m:r>
              <w:rPr>
                <w:rFonts w:ascii="Cambria Math" w:hAnsi="Cambria Math" w:cs="Times New Roman"/>
                <w:sz w:val="22"/>
              </w:rPr>
              <m:t>x</m:t>
            </m:r>
          </m:e>
          <m:sub>
            <m:r>
              <w:rPr>
                <w:rFonts w:ascii="Cambria Math" w:hAnsi="Cambria Math" w:cs="Times New Roman"/>
                <w:sz w:val="22"/>
              </w:rPr>
              <m:t>t-1</m:t>
            </m:r>
          </m:sub>
        </m:sSub>
        <m:r>
          <w:rPr>
            <w:rFonts w:ascii="Cambria Math" w:hAnsi="Cambria Math" w:cs="Times New Roman"/>
            <w:sz w:val="22"/>
          </w:rPr>
          <m:t>+</m:t>
        </m:r>
        <m:r>
          <m:rPr>
            <m:sty m:val="p"/>
          </m:rPr>
          <w:rPr>
            <w:rFonts w:ascii="Cambria Math" w:hAnsi="Cambria Math" w:cs="Times New Roman"/>
            <w:sz w:val="22"/>
          </w:rPr>
          <m:t>λ</m:t>
        </m:r>
        <m:d>
          <m:dPr>
            <m:ctrlPr>
              <w:rPr>
                <w:rFonts w:ascii="Cambria Math" w:hAnsi="Cambria Math" w:cs="Times New Roman"/>
                <w:i/>
                <w:sz w:val="22"/>
              </w:rPr>
            </m:ctrlPr>
          </m:dPr>
          <m:e>
            <m:sSub>
              <m:sSubPr>
                <m:ctrlPr>
                  <w:rPr>
                    <w:rFonts w:ascii="Cambria Math" w:hAnsi="Cambria Math" w:cs="Times New Roman"/>
                    <w:i/>
                    <w:sz w:val="22"/>
                  </w:rPr>
                </m:ctrlPr>
              </m:sSubPr>
              <m:e>
                <m:r>
                  <w:rPr>
                    <w:rFonts w:ascii="Cambria Math" w:hAnsi="Cambria Math" w:cs="Times New Roman"/>
                    <w:sz w:val="22"/>
                  </w:rPr>
                  <m:t>s</m:t>
                </m:r>
              </m:e>
              <m:sub>
                <m:r>
                  <w:rPr>
                    <w:rFonts w:ascii="Cambria Math" w:hAnsi="Cambria Math" w:cs="Times New Roman"/>
                    <w:sz w:val="22"/>
                  </w:rPr>
                  <m:t>t</m:t>
                </m:r>
              </m:sub>
            </m:sSub>
          </m:e>
        </m:d>
        <m:sSub>
          <m:sSubPr>
            <m:ctrlPr>
              <w:rPr>
                <w:rFonts w:ascii="Cambria Math" w:hAnsi="Cambria Math" w:cs="Times New Roman"/>
                <w:i/>
                <w:sz w:val="22"/>
              </w:rPr>
            </m:ctrlPr>
          </m:sSubPr>
          <m:e>
            <m:r>
              <m:rPr>
                <m:sty m:val="p"/>
              </m:rPr>
              <w:rPr>
                <w:rFonts w:ascii="Cambria Math" w:hAnsi="Cambria Math" w:cs="Times New Roman"/>
                <w:sz w:val="22"/>
              </w:rPr>
              <m:t>ε</m:t>
            </m:r>
            <m:ctrlPr>
              <w:rPr>
                <w:rFonts w:ascii="Cambria Math" w:hAnsi="Cambria Math" w:cs="Times New Roman"/>
                <w:sz w:val="22"/>
              </w:rPr>
            </m:ctrlPr>
          </m:e>
          <m:sub>
            <m:r>
              <w:rPr>
                <w:rFonts w:ascii="Cambria Math" w:hAnsi="Cambria Math" w:cs="Times New Roman"/>
                <w:sz w:val="22"/>
              </w:rPr>
              <m:t>c,t+1</m:t>
            </m:r>
          </m:sub>
        </m:sSub>
      </m:oMath>
      <w:r w:rsidR="00FF60C4">
        <w:rPr>
          <w:rFonts w:ascii="Times New Roman" w:hAnsi="Times New Roman" w:cs="Times New Roman" w:hint="eastAsia"/>
          <w:sz w:val="22"/>
        </w:rPr>
        <w:t xml:space="preserve">               (Surplus consumption)</w:t>
      </w:r>
    </w:p>
    <w:p w14:paraId="7D0119E7" w14:textId="59E31150" w:rsidR="00E17587" w:rsidRDefault="00E17587" w:rsidP="00DE3F85">
      <w:pPr>
        <w:wordWrap/>
        <w:adjustRightInd w:val="0"/>
        <w:spacing w:before="240" w:after="0" w:line="360" w:lineRule="auto"/>
        <w:ind w:right="220"/>
        <w:rPr>
          <w:rFonts w:ascii="Times New Roman" w:hAnsi="Times New Roman" w:cs="Times New Roman"/>
          <w:sz w:val="22"/>
        </w:rPr>
      </w:pPr>
      <w:r>
        <w:rPr>
          <w:rFonts w:ascii="Times New Roman" w:hAnsi="Times New Roman" w:cs="Times New Roman" w:hint="eastAsia"/>
          <w:sz w:val="22"/>
        </w:rPr>
        <w:t xml:space="preserve">    </w:t>
      </w:r>
      <w:r w:rsidR="004B7E61">
        <w:rPr>
          <w:rFonts w:ascii="Times New Roman" w:hAnsi="Times New Roman" w:cs="Times New Roman" w:hint="eastAsia"/>
          <w:sz w:val="22"/>
        </w:rPr>
        <w:t>t</w:t>
      </w:r>
      <w:r>
        <w:rPr>
          <w:rFonts w:ascii="Times New Roman" w:hAnsi="Times New Roman" w:cs="Times New Roman" w:hint="eastAsia"/>
          <w:sz w:val="22"/>
        </w:rPr>
        <w:t>o obtain the stochastic discount factor</w:t>
      </w:r>
    </w:p>
    <w:p w14:paraId="72614DAC" w14:textId="46FDB146" w:rsidR="00E11FBF" w:rsidRPr="00E11FBF" w:rsidRDefault="00000000" w:rsidP="00DE3F85">
      <w:pPr>
        <w:wordWrap/>
        <w:adjustRightInd w:val="0"/>
        <w:spacing w:before="240" w:line="360" w:lineRule="auto"/>
        <w:ind w:right="220"/>
        <w:jc w:val="right"/>
        <w:rPr>
          <w:rFonts w:ascii="Times New Roman" w:hAnsi="Times New Roman" w:cs="Times New Roman"/>
          <w:sz w:val="22"/>
        </w:rPr>
      </w:pPr>
      <m:oMath>
        <m:sSub>
          <m:sSubPr>
            <m:ctrlPr>
              <w:rPr>
                <w:rFonts w:ascii="Cambria Math" w:hAnsi="Cambria Math" w:cs="Times New Roman"/>
                <w:i/>
                <w:sz w:val="22"/>
              </w:rPr>
            </m:ctrlPr>
          </m:sSubPr>
          <m:e>
            <m:r>
              <w:rPr>
                <w:rFonts w:ascii="Cambria Math" w:hAnsi="Cambria Math" w:cs="Times New Roman"/>
                <w:sz w:val="22"/>
              </w:rPr>
              <m:t>m</m:t>
            </m:r>
          </m:e>
          <m:sub>
            <m:r>
              <w:rPr>
                <w:rFonts w:ascii="Cambria Math" w:hAnsi="Cambria Math" w:cs="Times New Roman"/>
                <w:sz w:val="22"/>
              </w:rPr>
              <m:t>t+1</m:t>
            </m:r>
          </m:sub>
        </m:sSub>
        <m:r>
          <w:rPr>
            <w:rFonts w:ascii="Cambria Math" w:hAnsi="Cambria Math" w:cs="Times New Roman"/>
            <w:sz w:val="22"/>
          </w:rPr>
          <m:t>=ln</m:t>
        </m:r>
        <m:r>
          <m:rPr>
            <m:sty m:val="p"/>
          </m:rPr>
          <w:rPr>
            <w:rFonts w:ascii="Cambria Math" w:hAnsi="Cambria Math" w:cs="Times New Roman"/>
            <w:sz w:val="22"/>
          </w:rPr>
          <m:t>β</m:t>
        </m:r>
        <m:r>
          <w:rPr>
            <w:rFonts w:ascii="Cambria Math" w:hAnsi="Cambria Math" w:cs="Times New Roman"/>
            <w:sz w:val="22"/>
          </w:rPr>
          <m:t>-</m:t>
        </m:r>
        <m:r>
          <m:rPr>
            <m:sty m:val="p"/>
          </m:rPr>
          <w:rPr>
            <w:rFonts w:ascii="Cambria Math" w:hAnsi="Cambria Math" w:cs="Times New Roman"/>
            <w:sz w:val="22"/>
          </w:rPr>
          <m:t>γ</m:t>
        </m:r>
        <m:r>
          <m:rPr>
            <m:sty m:val="p"/>
          </m:rPr>
          <w:rPr>
            <w:rFonts w:ascii="Cambria Math" w:hAnsi="Cambria Math" w:cs="Times New Roman" w:hint="eastAsia"/>
            <w:sz w:val="22"/>
          </w:rPr>
          <m:t>Δ</m:t>
        </m:r>
        <m:sSub>
          <m:sSubPr>
            <m:ctrlPr>
              <w:rPr>
                <w:rFonts w:ascii="Cambria Math" w:hAnsi="Cambria Math" w:cs="Times New Roman"/>
                <w:i/>
                <w:sz w:val="22"/>
              </w:rPr>
            </m:ctrlPr>
          </m:sSubPr>
          <m:e>
            <m:r>
              <w:rPr>
                <w:rFonts w:ascii="Cambria Math" w:hAnsi="Cambria Math" w:cs="Times New Roman"/>
                <w:sz w:val="22"/>
              </w:rPr>
              <m:t>s</m:t>
            </m:r>
          </m:e>
          <m:sub>
            <m:r>
              <w:rPr>
                <w:rFonts w:ascii="Cambria Math" w:hAnsi="Cambria Math" w:cs="Times New Roman"/>
                <w:sz w:val="22"/>
              </w:rPr>
              <m:t>t+1</m:t>
            </m:r>
          </m:sub>
        </m:sSub>
        <m:r>
          <w:rPr>
            <w:rFonts w:ascii="Cambria Math" w:hAnsi="Cambria Math" w:cs="Times New Roman"/>
            <w:sz w:val="22"/>
          </w:rPr>
          <m:t>-</m:t>
        </m:r>
        <m:r>
          <m:rPr>
            <m:sty m:val="p"/>
          </m:rPr>
          <w:rPr>
            <w:rFonts w:ascii="Cambria Math" w:hAnsi="Cambria Math" w:cs="Times New Roman"/>
            <w:sz w:val="22"/>
          </w:rPr>
          <m:t>γ</m:t>
        </m:r>
        <m:r>
          <m:rPr>
            <m:sty m:val="p"/>
          </m:rPr>
          <w:rPr>
            <w:rFonts w:ascii="Cambria Math" w:hAnsi="Cambria Math" w:cs="Times New Roman" w:hint="eastAsia"/>
            <w:sz w:val="22"/>
          </w:rPr>
          <m:t>Δ</m:t>
        </m:r>
        <m:sSub>
          <m:sSubPr>
            <m:ctrlPr>
              <w:rPr>
                <w:rFonts w:ascii="Cambria Math" w:hAnsi="Cambria Math" w:cs="Times New Roman"/>
                <w:i/>
                <w:sz w:val="22"/>
              </w:rPr>
            </m:ctrlPr>
          </m:sSubPr>
          <m:e>
            <m:r>
              <w:rPr>
                <w:rFonts w:ascii="Cambria Math" w:hAnsi="Cambria Math" w:cs="Times New Roman"/>
                <w:sz w:val="22"/>
              </w:rPr>
              <m:t>c</m:t>
            </m:r>
          </m:e>
          <m:sub>
            <m:r>
              <w:rPr>
                <w:rFonts w:ascii="Cambria Math" w:hAnsi="Cambria Math" w:cs="Times New Roman"/>
                <w:sz w:val="22"/>
              </w:rPr>
              <m:t>t+1</m:t>
            </m:r>
          </m:sub>
        </m:sSub>
        <m:r>
          <w:rPr>
            <w:rFonts w:ascii="Cambria Math" w:hAnsi="Cambria Math" w:cs="Times New Roman"/>
            <w:sz w:val="22"/>
          </w:rPr>
          <m:t>.</m:t>
        </m:r>
      </m:oMath>
      <w:r w:rsidR="00E11FBF">
        <w:rPr>
          <w:rFonts w:ascii="Times New Roman" w:hAnsi="Times New Roman" w:cs="Times New Roman" w:hint="eastAsia"/>
          <w:sz w:val="22"/>
        </w:rPr>
        <w:t xml:space="preserve">                                        (SDF)</w:t>
      </w:r>
    </w:p>
    <w:p w14:paraId="67CBE1EB" w14:textId="38665C7F" w:rsidR="00E17587" w:rsidRDefault="00E17587" w:rsidP="00DE3F85">
      <w:pPr>
        <w:wordWrap/>
        <w:adjustRightInd w:val="0"/>
        <w:spacing w:line="360" w:lineRule="auto"/>
        <w:ind w:left="440" w:right="220" w:hangingChars="200" w:hanging="440"/>
        <w:rPr>
          <w:rFonts w:ascii="Times New Roman" w:hAnsi="Times New Roman" w:cs="Times New Roman"/>
          <w:sz w:val="22"/>
        </w:rPr>
      </w:pPr>
      <w:r>
        <w:rPr>
          <w:rFonts w:ascii="Times New Roman" w:hAnsi="Times New Roman" w:cs="Times New Roman" w:hint="eastAsia"/>
          <w:sz w:val="22"/>
        </w:rPr>
        <w:t xml:space="preserve">    Together with the key state variables derived earlier, this framework is used to derive nonlinear asset (stocks, real and nominal bonds) prices.</w:t>
      </w:r>
    </w:p>
    <w:p w14:paraId="0072C717" w14:textId="77777777" w:rsidR="00E11FBF" w:rsidRDefault="00E11FBF" w:rsidP="00E11FBF">
      <w:pPr>
        <w:wordWrap/>
        <w:adjustRightInd w:val="0"/>
        <w:spacing w:after="0" w:line="360" w:lineRule="auto"/>
        <w:ind w:left="440" w:right="220" w:hangingChars="200" w:hanging="440"/>
        <w:rPr>
          <w:rFonts w:ascii="Times New Roman" w:hAnsi="Times New Roman" w:cs="Times New Roman"/>
          <w:sz w:val="22"/>
        </w:rPr>
      </w:pPr>
    </w:p>
    <w:p w14:paraId="514D9895" w14:textId="44FD1451" w:rsidR="00DE3F85" w:rsidRDefault="00E11FBF" w:rsidP="00E11FBF">
      <w:pPr>
        <w:wordWrap/>
        <w:adjustRightInd w:val="0"/>
        <w:spacing w:after="0" w:line="360" w:lineRule="auto"/>
        <w:ind w:right="220" w:firstLineChars="50" w:firstLine="110"/>
        <w:rPr>
          <w:rFonts w:ascii="Times New Roman" w:hAnsi="Times New Roman" w:cs="Times New Roman"/>
          <w:sz w:val="22"/>
        </w:rPr>
      </w:pPr>
      <w:r>
        <w:rPr>
          <w:rFonts w:ascii="Times New Roman" w:hAnsi="Times New Roman" w:cs="Times New Roman"/>
          <w:sz w:val="22"/>
        </w:rPr>
        <w:t>In</w:t>
      </w:r>
      <w:r>
        <w:rPr>
          <w:rFonts w:ascii="Times New Roman" w:hAnsi="Times New Roman" w:cs="Times New Roman" w:hint="eastAsia"/>
          <w:sz w:val="22"/>
        </w:rPr>
        <w:t xml:space="preserve"> this sense, the paper</w:t>
      </w:r>
      <w:r>
        <w:rPr>
          <w:rFonts w:ascii="Times New Roman" w:hAnsi="Times New Roman" w:cs="Times New Roman"/>
          <w:sz w:val="22"/>
        </w:rPr>
        <w:t>’</w:t>
      </w:r>
      <w:r>
        <w:rPr>
          <w:rFonts w:ascii="Times New Roman" w:hAnsi="Times New Roman" w:cs="Times New Roman" w:hint="eastAsia"/>
          <w:sz w:val="22"/>
        </w:rPr>
        <w:t>s setup builds on the author</w:t>
      </w:r>
      <w:r>
        <w:rPr>
          <w:rFonts w:ascii="Times New Roman" w:hAnsi="Times New Roman" w:cs="Times New Roman"/>
          <w:sz w:val="22"/>
        </w:rPr>
        <w:t>’</w:t>
      </w:r>
      <w:r>
        <w:rPr>
          <w:rFonts w:ascii="Times New Roman" w:hAnsi="Times New Roman" w:cs="Times New Roman" w:hint="eastAsia"/>
          <w:sz w:val="22"/>
        </w:rPr>
        <w:t xml:space="preserve">s previous two published papers, Campbell, Pflueger, and </w:t>
      </w:r>
      <w:proofErr w:type="spellStart"/>
      <w:r>
        <w:rPr>
          <w:rFonts w:ascii="Times New Roman" w:hAnsi="Times New Roman" w:cs="Times New Roman" w:hint="eastAsia"/>
          <w:sz w:val="22"/>
        </w:rPr>
        <w:t>Viceira</w:t>
      </w:r>
      <w:proofErr w:type="spellEnd"/>
      <w:r>
        <w:rPr>
          <w:rFonts w:ascii="Times New Roman" w:hAnsi="Times New Roman" w:cs="Times New Roman" w:hint="eastAsia"/>
          <w:sz w:val="22"/>
        </w:rPr>
        <w:t xml:space="preserve"> (2020) and Pflueger and Rinaldi (2022), as they both include (P1) and (P2). While the model (P1) in Campbell, Pflueger, and </w:t>
      </w:r>
      <w:proofErr w:type="spellStart"/>
      <w:r>
        <w:rPr>
          <w:rFonts w:ascii="Times New Roman" w:hAnsi="Times New Roman" w:cs="Times New Roman" w:hint="eastAsia"/>
          <w:sz w:val="22"/>
        </w:rPr>
        <w:t>Viceira</w:t>
      </w:r>
      <w:proofErr w:type="spellEnd"/>
      <w:r>
        <w:rPr>
          <w:rFonts w:ascii="Times New Roman" w:hAnsi="Times New Roman" w:cs="Times New Roman" w:hint="eastAsia"/>
          <w:sz w:val="22"/>
        </w:rPr>
        <w:t xml:space="preserve"> (2020) is not as micro-founded as the one in the current paper, (P1) in Pflueger and Rinaldi (2022) is very similar, but with some important changes such as enriching structural shocks to include both demand and </w:t>
      </w:r>
      <w:proofErr w:type="gramStart"/>
      <w:r>
        <w:rPr>
          <w:rFonts w:ascii="Times New Roman" w:hAnsi="Times New Roman" w:cs="Times New Roman" w:hint="eastAsia"/>
          <w:sz w:val="22"/>
        </w:rPr>
        <w:t>supply, and</w:t>
      </w:r>
      <w:proofErr w:type="gramEnd"/>
      <w:r>
        <w:rPr>
          <w:rFonts w:ascii="Times New Roman" w:hAnsi="Times New Roman" w:cs="Times New Roman" w:hint="eastAsia"/>
          <w:sz w:val="22"/>
        </w:rPr>
        <w:t xml:space="preserve"> considering adaptive subjective inflation expectations.</w:t>
      </w:r>
      <w:r w:rsidR="00DE3F85">
        <w:rPr>
          <w:rFonts w:ascii="Times New Roman" w:hAnsi="Times New Roman" w:cs="Times New Roman"/>
          <w:sz w:val="22"/>
        </w:rPr>
        <w:br w:type="page"/>
      </w:r>
    </w:p>
    <w:p w14:paraId="77F4D2EF" w14:textId="0CEF7F63" w:rsidR="00DE3F85" w:rsidRDefault="00DE3F85" w:rsidP="00DE3F85">
      <w:pPr>
        <w:wordWrap/>
        <w:adjustRightInd w:val="0"/>
        <w:spacing w:line="360" w:lineRule="auto"/>
        <w:ind w:right="220" w:firstLineChars="50" w:firstLine="110"/>
        <w:jc w:val="center"/>
        <w:rPr>
          <w:rFonts w:ascii="Times New Roman" w:hAnsi="Times New Roman" w:cs="Times New Roman"/>
          <w:sz w:val="22"/>
        </w:rPr>
      </w:pPr>
      <w:r>
        <w:rPr>
          <w:rFonts w:ascii="Times New Roman" w:hAnsi="Times New Roman" w:cs="Times New Roman" w:hint="eastAsia"/>
          <w:sz w:val="22"/>
        </w:rPr>
        <w:lastRenderedPageBreak/>
        <w:t>Table 1: Calibration</w:t>
      </w:r>
    </w:p>
    <w:tbl>
      <w:tblPr>
        <w:tblStyle w:val="TableGrid"/>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992"/>
        <w:gridCol w:w="1221"/>
        <w:gridCol w:w="1047"/>
        <w:gridCol w:w="1134"/>
        <w:gridCol w:w="992"/>
        <w:gridCol w:w="1134"/>
        <w:gridCol w:w="1094"/>
      </w:tblGrid>
      <w:tr w:rsidR="00BA24A1" w14:paraId="50108C77" w14:textId="77777777" w:rsidTr="00DE3F85">
        <w:tc>
          <w:tcPr>
            <w:tcW w:w="2122" w:type="dxa"/>
          </w:tcPr>
          <w:p w14:paraId="0928E742" w14:textId="6D0575F8" w:rsidR="001A3DF9" w:rsidRDefault="001A3DF9" w:rsidP="009A39D9">
            <w:pPr>
              <w:wordWrap/>
              <w:adjustRightInd w:val="0"/>
              <w:spacing w:line="360" w:lineRule="auto"/>
              <w:ind w:right="220"/>
              <w:rPr>
                <w:rFonts w:ascii="Times New Roman" w:hAnsi="Times New Roman" w:cs="Times New Roman"/>
                <w:sz w:val="22"/>
              </w:rPr>
            </w:pPr>
            <w:r>
              <w:rPr>
                <w:rFonts w:ascii="Times New Roman" w:hAnsi="Times New Roman" w:cs="Times New Roman" w:hint="eastAsia"/>
                <w:sz w:val="22"/>
              </w:rPr>
              <w:t>Taylor rule</w:t>
            </w:r>
          </w:p>
        </w:tc>
        <w:tc>
          <w:tcPr>
            <w:tcW w:w="992" w:type="dxa"/>
          </w:tcPr>
          <w:p w14:paraId="013C738C" w14:textId="53CBB772" w:rsidR="001A3DF9" w:rsidRDefault="001A3DF9" w:rsidP="009A39D9">
            <w:pPr>
              <w:wordWrap/>
              <w:adjustRightInd w:val="0"/>
              <w:spacing w:line="360" w:lineRule="auto"/>
              <w:ind w:right="220"/>
              <w:rPr>
                <w:rFonts w:ascii="Times New Roman" w:hAnsi="Times New Roman" w:cs="Times New Roman"/>
                <w:sz w:val="22"/>
              </w:rPr>
            </w:pPr>
            <w:r>
              <w:rPr>
                <w:rFonts w:ascii="Times New Roman" w:hAnsi="Times New Roman" w:cs="Times New Roman" w:hint="eastAsia"/>
                <w:sz w:val="22"/>
              </w:rPr>
              <w:t>[R1]</w:t>
            </w:r>
          </w:p>
        </w:tc>
        <w:tc>
          <w:tcPr>
            <w:tcW w:w="1221" w:type="dxa"/>
          </w:tcPr>
          <w:p w14:paraId="0729678D" w14:textId="77CE92D8" w:rsidR="001A3DF9" w:rsidRDefault="00000000" w:rsidP="009A39D9">
            <w:pPr>
              <w:wordWrap/>
              <w:adjustRightInd w:val="0"/>
              <w:spacing w:line="360" w:lineRule="auto"/>
              <w:ind w:right="220"/>
              <w:rPr>
                <w:rFonts w:ascii="Times New Roman" w:hAnsi="Times New Roman" w:cs="Times New Roman"/>
                <w:sz w:val="22"/>
              </w:rPr>
            </w:pPr>
            <m:oMathPara>
              <m:oMath>
                <m:sSup>
                  <m:sSupPr>
                    <m:ctrlPr>
                      <w:rPr>
                        <w:rFonts w:ascii="Cambria Math" w:hAnsi="Cambria Math" w:cs="Times New Roman"/>
                        <w:i/>
                        <w:sz w:val="22"/>
                      </w:rPr>
                    </m:ctrlPr>
                  </m:sSupPr>
                  <m:e>
                    <m:r>
                      <m:rPr>
                        <m:sty m:val="p"/>
                      </m:rPr>
                      <w:rPr>
                        <w:rFonts w:ascii="Cambria Math" w:hAnsi="Cambria Math" w:cs="Times New Roman"/>
                        <w:sz w:val="22"/>
                      </w:rPr>
                      <m:t>γ</m:t>
                    </m:r>
                    <m:ctrlPr>
                      <w:rPr>
                        <w:rFonts w:ascii="Cambria Math" w:hAnsi="Cambria Math" w:cs="Times New Roman"/>
                        <w:sz w:val="22"/>
                      </w:rPr>
                    </m:ctrlPr>
                  </m:e>
                  <m:sup>
                    <m:r>
                      <w:rPr>
                        <w:rFonts w:ascii="Cambria Math" w:hAnsi="Cambria Math" w:cs="Times New Roman"/>
                        <w:sz w:val="22"/>
                      </w:rPr>
                      <m:t>x</m:t>
                    </m:r>
                  </m:sup>
                </m:sSup>
              </m:oMath>
            </m:oMathPara>
          </w:p>
        </w:tc>
        <w:tc>
          <w:tcPr>
            <w:tcW w:w="1047" w:type="dxa"/>
          </w:tcPr>
          <w:p w14:paraId="5A764DB6" w14:textId="08690115" w:rsidR="001A3DF9" w:rsidRDefault="001A3DF9" w:rsidP="009A39D9">
            <w:pPr>
              <w:wordWrap/>
              <w:adjustRightInd w:val="0"/>
              <w:spacing w:line="360" w:lineRule="auto"/>
              <w:ind w:right="220"/>
              <w:rPr>
                <w:rFonts w:ascii="Times New Roman" w:hAnsi="Times New Roman" w:cs="Times New Roman"/>
                <w:sz w:val="22"/>
              </w:rPr>
            </w:pPr>
            <w:r>
              <w:rPr>
                <w:rFonts w:ascii="Times New Roman" w:hAnsi="Times New Roman" w:cs="Times New Roman" w:hint="eastAsia"/>
                <w:sz w:val="22"/>
              </w:rPr>
              <w:t>0.125</w:t>
            </w:r>
          </w:p>
        </w:tc>
        <w:tc>
          <w:tcPr>
            <w:tcW w:w="1134" w:type="dxa"/>
          </w:tcPr>
          <w:p w14:paraId="07901B05" w14:textId="090657A6" w:rsidR="001A3DF9" w:rsidRDefault="00000000" w:rsidP="009A39D9">
            <w:pPr>
              <w:wordWrap/>
              <w:adjustRightInd w:val="0"/>
              <w:spacing w:line="360" w:lineRule="auto"/>
              <w:ind w:right="220"/>
              <w:rPr>
                <w:rFonts w:ascii="Times New Roman" w:hAnsi="Times New Roman" w:cs="Times New Roman"/>
                <w:sz w:val="22"/>
              </w:rPr>
            </w:pPr>
            <m:oMathPara>
              <m:oMath>
                <m:sSup>
                  <m:sSupPr>
                    <m:ctrlPr>
                      <w:rPr>
                        <w:rFonts w:ascii="Cambria Math" w:hAnsi="Cambria Math" w:cs="Times New Roman"/>
                        <w:i/>
                        <w:sz w:val="22"/>
                      </w:rPr>
                    </m:ctrlPr>
                  </m:sSupPr>
                  <m:e>
                    <m:r>
                      <m:rPr>
                        <m:sty m:val="p"/>
                      </m:rPr>
                      <w:rPr>
                        <w:rFonts w:ascii="Cambria Math" w:hAnsi="Cambria Math" w:cs="Times New Roman"/>
                        <w:sz w:val="22"/>
                      </w:rPr>
                      <m:t>γ</m:t>
                    </m:r>
                    <m:ctrlPr>
                      <w:rPr>
                        <w:rFonts w:ascii="Cambria Math" w:hAnsi="Cambria Math" w:cs="Times New Roman"/>
                        <w:sz w:val="22"/>
                      </w:rPr>
                    </m:ctrlPr>
                  </m:e>
                  <m:sup>
                    <m:r>
                      <w:rPr>
                        <w:rFonts w:ascii="Cambria Math" w:hAnsi="Cambria Math" w:cs="Times New Roman"/>
                        <w:sz w:val="22"/>
                      </w:rPr>
                      <m:t>π</m:t>
                    </m:r>
                  </m:sup>
                </m:sSup>
              </m:oMath>
            </m:oMathPara>
          </w:p>
        </w:tc>
        <w:tc>
          <w:tcPr>
            <w:tcW w:w="992" w:type="dxa"/>
          </w:tcPr>
          <w:p w14:paraId="3E694D28" w14:textId="7932AFD3" w:rsidR="001A3DF9" w:rsidRDefault="001A3DF9" w:rsidP="009A39D9">
            <w:pPr>
              <w:wordWrap/>
              <w:adjustRightInd w:val="0"/>
              <w:spacing w:line="360" w:lineRule="auto"/>
              <w:ind w:right="220"/>
              <w:rPr>
                <w:rFonts w:ascii="Times New Roman" w:hAnsi="Times New Roman" w:cs="Times New Roman"/>
                <w:sz w:val="22"/>
              </w:rPr>
            </w:pPr>
            <w:r>
              <w:rPr>
                <w:rFonts w:ascii="Times New Roman" w:hAnsi="Times New Roman" w:cs="Times New Roman" w:hint="eastAsia"/>
                <w:sz w:val="22"/>
              </w:rPr>
              <w:t>1.35</w:t>
            </w:r>
          </w:p>
        </w:tc>
        <w:tc>
          <w:tcPr>
            <w:tcW w:w="1134" w:type="dxa"/>
          </w:tcPr>
          <w:p w14:paraId="68C1D62A" w14:textId="4E2D73A9" w:rsidR="001A3DF9" w:rsidRDefault="00000000" w:rsidP="009A39D9">
            <w:pPr>
              <w:wordWrap/>
              <w:adjustRightInd w:val="0"/>
              <w:spacing w:line="360" w:lineRule="auto"/>
              <w:ind w:right="220"/>
              <w:rPr>
                <w:rFonts w:ascii="Times New Roman" w:hAnsi="Times New Roman" w:cs="Times New Roman"/>
                <w:sz w:val="22"/>
              </w:rPr>
            </w:pPr>
            <m:oMathPara>
              <m:oMath>
                <m:sSup>
                  <m:sSupPr>
                    <m:ctrlPr>
                      <w:rPr>
                        <w:rFonts w:ascii="Cambria Math" w:hAnsi="Cambria Math" w:cs="Times New Roman"/>
                        <w:i/>
                        <w:sz w:val="22"/>
                      </w:rPr>
                    </m:ctrlPr>
                  </m:sSupPr>
                  <m:e>
                    <m:r>
                      <w:rPr>
                        <w:rFonts w:ascii="Cambria Math" w:hAnsi="Cambria Math" w:cs="Times New Roman"/>
                        <w:sz w:val="22"/>
                      </w:rPr>
                      <m:t>ρ</m:t>
                    </m:r>
                    <m:ctrlPr>
                      <w:rPr>
                        <w:rFonts w:ascii="Cambria Math" w:hAnsi="Cambria Math" w:cs="Times New Roman"/>
                        <w:sz w:val="22"/>
                      </w:rPr>
                    </m:ctrlPr>
                  </m:e>
                  <m:sup>
                    <m:r>
                      <w:rPr>
                        <w:rFonts w:ascii="Cambria Math" w:hAnsi="Cambria Math" w:cs="Times New Roman"/>
                        <w:sz w:val="22"/>
                      </w:rPr>
                      <m:t>i</m:t>
                    </m:r>
                  </m:sup>
                </m:sSup>
              </m:oMath>
            </m:oMathPara>
          </w:p>
        </w:tc>
        <w:tc>
          <w:tcPr>
            <w:tcW w:w="1094" w:type="dxa"/>
          </w:tcPr>
          <w:p w14:paraId="6F41F2E7" w14:textId="1DC7E36C" w:rsidR="001A3DF9" w:rsidRDefault="001A3DF9" w:rsidP="009A39D9">
            <w:pPr>
              <w:wordWrap/>
              <w:adjustRightInd w:val="0"/>
              <w:spacing w:line="360" w:lineRule="auto"/>
              <w:ind w:right="220"/>
              <w:rPr>
                <w:rFonts w:ascii="Times New Roman" w:hAnsi="Times New Roman" w:cs="Times New Roman"/>
                <w:sz w:val="22"/>
              </w:rPr>
            </w:pPr>
            <w:r>
              <w:rPr>
                <w:rFonts w:ascii="Times New Roman" w:hAnsi="Times New Roman" w:cs="Times New Roman" w:hint="eastAsia"/>
                <w:sz w:val="22"/>
              </w:rPr>
              <w:t>0.54</w:t>
            </w:r>
          </w:p>
        </w:tc>
      </w:tr>
      <w:tr w:rsidR="00BA24A1" w14:paraId="26C1842E" w14:textId="77777777" w:rsidTr="00DE3F85">
        <w:tc>
          <w:tcPr>
            <w:tcW w:w="2122" w:type="dxa"/>
          </w:tcPr>
          <w:p w14:paraId="25E99782" w14:textId="77777777" w:rsidR="001A3DF9" w:rsidRDefault="001A3DF9" w:rsidP="009A39D9">
            <w:pPr>
              <w:wordWrap/>
              <w:adjustRightInd w:val="0"/>
              <w:spacing w:line="360" w:lineRule="auto"/>
              <w:ind w:right="220"/>
              <w:rPr>
                <w:rFonts w:ascii="Times New Roman" w:hAnsi="Times New Roman" w:cs="Times New Roman"/>
                <w:sz w:val="22"/>
              </w:rPr>
            </w:pPr>
          </w:p>
        </w:tc>
        <w:tc>
          <w:tcPr>
            <w:tcW w:w="992" w:type="dxa"/>
          </w:tcPr>
          <w:p w14:paraId="0D662DBF" w14:textId="43EA0F8D" w:rsidR="001A3DF9" w:rsidRDefault="001A3DF9" w:rsidP="009A39D9">
            <w:pPr>
              <w:wordWrap/>
              <w:adjustRightInd w:val="0"/>
              <w:spacing w:line="360" w:lineRule="auto"/>
              <w:ind w:right="220"/>
              <w:rPr>
                <w:rFonts w:ascii="Times New Roman" w:hAnsi="Times New Roman" w:cs="Times New Roman"/>
                <w:sz w:val="22"/>
              </w:rPr>
            </w:pPr>
            <w:r>
              <w:rPr>
                <w:rFonts w:ascii="Times New Roman" w:hAnsi="Times New Roman" w:cs="Times New Roman" w:hint="eastAsia"/>
                <w:sz w:val="22"/>
              </w:rPr>
              <w:t>[R2]</w:t>
            </w:r>
          </w:p>
        </w:tc>
        <w:tc>
          <w:tcPr>
            <w:tcW w:w="1221" w:type="dxa"/>
          </w:tcPr>
          <w:p w14:paraId="23F5B1DC" w14:textId="6341D3ED" w:rsidR="001A3DF9" w:rsidRDefault="00000000" w:rsidP="009A39D9">
            <w:pPr>
              <w:wordWrap/>
              <w:adjustRightInd w:val="0"/>
              <w:spacing w:line="360" w:lineRule="auto"/>
              <w:ind w:right="220"/>
              <w:rPr>
                <w:rFonts w:ascii="Times New Roman" w:hAnsi="Times New Roman" w:cs="Times New Roman"/>
                <w:sz w:val="22"/>
              </w:rPr>
            </w:pPr>
            <m:oMathPara>
              <m:oMath>
                <m:sSup>
                  <m:sSupPr>
                    <m:ctrlPr>
                      <w:rPr>
                        <w:rFonts w:ascii="Cambria Math" w:hAnsi="Cambria Math" w:cs="Times New Roman"/>
                        <w:i/>
                        <w:sz w:val="22"/>
                      </w:rPr>
                    </m:ctrlPr>
                  </m:sSupPr>
                  <m:e>
                    <m:r>
                      <m:rPr>
                        <m:sty m:val="p"/>
                      </m:rPr>
                      <w:rPr>
                        <w:rFonts w:ascii="Cambria Math" w:hAnsi="Cambria Math" w:cs="Times New Roman"/>
                        <w:sz w:val="22"/>
                      </w:rPr>
                      <m:t>γ</m:t>
                    </m:r>
                    <m:ctrlPr>
                      <w:rPr>
                        <w:rFonts w:ascii="Cambria Math" w:hAnsi="Cambria Math" w:cs="Times New Roman"/>
                        <w:sz w:val="22"/>
                      </w:rPr>
                    </m:ctrlPr>
                  </m:e>
                  <m:sup>
                    <m:r>
                      <w:rPr>
                        <w:rFonts w:ascii="Cambria Math" w:hAnsi="Cambria Math" w:cs="Times New Roman"/>
                        <w:sz w:val="22"/>
                      </w:rPr>
                      <m:t>x</m:t>
                    </m:r>
                  </m:sup>
                </m:sSup>
              </m:oMath>
            </m:oMathPara>
          </w:p>
        </w:tc>
        <w:tc>
          <w:tcPr>
            <w:tcW w:w="1047" w:type="dxa"/>
          </w:tcPr>
          <w:p w14:paraId="23B5049D" w14:textId="74DD4EA9" w:rsidR="001A3DF9" w:rsidRDefault="001A3DF9" w:rsidP="009A39D9">
            <w:pPr>
              <w:wordWrap/>
              <w:adjustRightInd w:val="0"/>
              <w:spacing w:line="360" w:lineRule="auto"/>
              <w:ind w:right="220"/>
              <w:rPr>
                <w:rFonts w:ascii="Times New Roman" w:hAnsi="Times New Roman" w:cs="Times New Roman"/>
                <w:sz w:val="22"/>
              </w:rPr>
            </w:pPr>
            <w:r>
              <w:rPr>
                <w:rFonts w:ascii="Times New Roman" w:hAnsi="Times New Roman" w:cs="Times New Roman" w:hint="eastAsia"/>
                <w:sz w:val="22"/>
              </w:rPr>
              <w:t>0.25</w:t>
            </w:r>
          </w:p>
        </w:tc>
        <w:tc>
          <w:tcPr>
            <w:tcW w:w="1134" w:type="dxa"/>
          </w:tcPr>
          <w:p w14:paraId="727EBDA5" w14:textId="56A22C19" w:rsidR="001A3DF9" w:rsidRDefault="00000000" w:rsidP="009A39D9">
            <w:pPr>
              <w:wordWrap/>
              <w:adjustRightInd w:val="0"/>
              <w:spacing w:line="360" w:lineRule="auto"/>
              <w:ind w:right="220"/>
              <w:rPr>
                <w:rFonts w:ascii="Times New Roman" w:hAnsi="Times New Roman" w:cs="Times New Roman"/>
                <w:sz w:val="22"/>
              </w:rPr>
            </w:pPr>
            <m:oMathPara>
              <m:oMath>
                <m:sSup>
                  <m:sSupPr>
                    <m:ctrlPr>
                      <w:rPr>
                        <w:rFonts w:ascii="Cambria Math" w:hAnsi="Cambria Math" w:cs="Times New Roman"/>
                        <w:i/>
                        <w:sz w:val="22"/>
                      </w:rPr>
                    </m:ctrlPr>
                  </m:sSupPr>
                  <m:e>
                    <m:r>
                      <m:rPr>
                        <m:sty m:val="p"/>
                      </m:rPr>
                      <w:rPr>
                        <w:rFonts w:ascii="Cambria Math" w:hAnsi="Cambria Math" w:cs="Times New Roman"/>
                        <w:sz w:val="22"/>
                      </w:rPr>
                      <m:t>γ</m:t>
                    </m:r>
                    <m:ctrlPr>
                      <w:rPr>
                        <w:rFonts w:ascii="Cambria Math" w:hAnsi="Cambria Math" w:cs="Times New Roman"/>
                        <w:sz w:val="22"/>
                      </w:rPr>
                    </m:ctrlPr>
                  </m:e>
                  <m:sup>
                    <m:r>
                      <w:rPr>
                        <w:rFonts w:ascii="Cambria Math" w:hAnsi="Cambria Math" w:cs="Times New Roman"/>
                        <w:sz w:val="22"/>
                      </w:rPr>
                      <m:t>π</m:t>
                    </m:r>
                  </m:sup>
                </m:sSup>
              </m:oMath>
            </m:oMathPara>
          </w:p>
        </w:tc>
        <w:tc>
          <w:tcPr>
            <w:tcW w:w="992" w:type="dxa"/>
          </w:tcPr>
          <w:p w14:paraId="033E4F24" w14:textId="5129B079" w:rsidR="001A3DF9" w:rsidRDefault="001A3DF9" w:rsidP="009A39D9">
            <w:pPr>
              <w:wordWrap/>
              <w:adjustRightInd w:val="0"/>
              <w:spacing w:line="360" w:lineRule="auto"/>
              <w:ind w:right="220"/>
              <w:rPr>
                <w:rFonts w:ascii="Times New Roman" w:hAnsi="Times New Roman" w:cs="Times New Roman"/>
                <w:sz w:val="22"/>
              </w:rPr>
            </w:pPr>
            <w:r>
              <w:rPr>
                <w:rFonts w:ascii="Times New Roman" w:hAnsi="Times New Roman" w:cs="Times New Roman" w:hint="eastAsia"/>
                <w:sz w:val="22"/>
              </w:rPr>
              <w:t>1.10</w:t>
            </w:r>
          </w:p>
        </w:tc>
        <w:tc>
          <w:tcPr>
            <w:tcW w:w="1134" w:type="dxa"/>
          </w:tcPr>
          <w:p w14:paraId="086ED6A6" w14:textId="3C40B28C" w:rsidR="001A3DF9" w:rsidRDefault="00000000" w:rsidP="009A39D9">
            <w:pPr>
              <w:wordWrap/>
              <w:adjustRightInd w:val="0"/>
              <w:spacing w:line="360" w:lineRule="auto"/>
              <w:ind w:right="220"/>
              <w:rPr>
                <w:rFonts w:ascii="Times New Roman" w:hAnsi="Times New Roman" w:cs="Times New Roman"/>
                <w:sz w:val="22"/>
              </w:rPr>
            </w:pPr>
            <m:oMathPara>
              <m:oMath>
                <m:sSup>
                  <m:sSupPr>
                    <m:ctrlPr>
                      <w:rPr>
                        <w:rFonts w:ascii="Cambria Math" w:hAnsi="Cambria Math" w:cs="Times New Roman"/>
                        <w:i/>
                        <w:sz w:val="22"/>
                      </w:rPr>
                    </m:ctrlPr>
                  </m:sSupPr>
                  <m:e>
                    <m:r>
                      <w:rPr>
                        <w:rFonts w:ascii="Cambria Math" w:hAnsi="Cambria Math" w:cs="Times New Roman"/>
                        <w:sz w:val="22"/>
                      </w:rPr>
                      <m:t>ρ</m:t>
                    </m:r>
                    <m:ctrlPr>
                      <w:rPr>
                        <w:rFonts w:ascii="Cambria Math" w:hAnsi="Cambria Math" w:cs="Times New Roman"/>
                        <w:sz w:val="22"/>
                      </w:rPr>
                    </m:ctrlPr>
                  </m:e>
                  <m:sup>
                    <m:r>
                      <w:rPr>
                        <w:rFonts w:ascii="Cambria Math" w:hAnsi="Cambria Math" w:cs="Times New Roman"/>
                        <w:sz w:val="22"/>
                      </w:rPr>
                      <m:t>i</m:t>
                    </m:r>
                  </m:sup>
                </m:sSup>
              </m:oMath>
            </m:oMathPara>
          </w:p>
        </w:tc>
        <w:tc>
          <w:tcPr>
            <w:tcW w:w="1094" w:type="dxa"/>
          </w:tcPr>
          <w:p w14:paraId="1F2D451F" w14:textId="4136C951" w:rsidR="001A3DF9" w:rsidRDefault="001A3DF9" w:rsidP="009A39D9">
            <w:pPr>
              <w:wordWrap/>
              <w:adjustRightInd w:val="0"/>
              <w:spacing w:line="360" w:lineRule="auto"/>
              <w:ind w:right="220"/>
              <w:rPr>
                <w:rFonts w:ascii="Times New Roman" w:hAnsi="Times New Roman" w:cs="Times New Roman"/>
                <w:sz w:val="22"/>
              </w:rPr>
            </w:pPr>
            <w:r>
              <w:rPr>
                <w:rFonts w:ascii="Times New Roman" w:hAnsi="Times New Roman" w:cs="Times New Roman" w:hint="eastAsia"/>
                <w:sz w:val="22"/>
              </w:rPr>
              <w:t>0.80</w:t>
            </w:r>
          </w:p>
        </w:tc>
      </w:tr>
      <w:tr w:rsidR="00BA24A1" w14:paraId="4752CC98" w14:textId="77777777" w:rsidTr="00DE3F85">
        <w:tc>
          <w:tcPr>
            <w:tcW w:w="2122" w:type="dxa"/>
          </w:tcPr>
          <w:p w14:paraId="68F89FB4" w14:textId="1B4EDBC4" w:rsidR="001A3DF9" w:rsidRDefault="001A3DF9" w:rsidP="001A3DF9">
            <w:pPr>
              <w:wordWrap/>
              <w:adjustRightInd w:val="0"/>
              <w:spacing w:line="360" w:lineRule="auto"/>
              <w:ind w:right="220"/>
              <w:rPr>
                <w:rFonts w:ascii="Times New Roman" w:hAnsi="Times New Roman" w:cs="Times New Roman"/>
                <w:sz w:val="22"/>
              </w:rPr>
            </w:pPr>
            <w:r>
              <w:rPr>
                <w:rFonts w:ascii="Times New Roman" w:hAnsi="Times New Roman" w:cs="Times New Roman" w:hint="eastAsia"/>
                <w:sz w:val="22"/>
              </w:rPr>
              <w:t>Phillips curve</w:t>
            </w:r>
          </w:p>
        </w:tc>
        <w:tc>
          <w:tcPr>
            <w:tcW w:w="992" w:type="dxa"/>
          </w:tcPr>
          <w:p w14:paraId="2513AD6C" w14:textId="0BAA73BD" w:rsidR="001A3DF9" w:rsidRDefault="001A3DF9" w:rsidP="001A3DF9">
            <w:pPr>
              <w:wordWrap/>
              <w:adjustRightInd w:val="0"/>
              <w:spacing w:line="360" w:lineRule="auto"/>
              <w:ind w:right="220"/>
              <w:rPr>
                <w:rFonts w:ascii="Times New Roman" w:hAnsi="Times New Roman" w:cs="Times New Roman"/>
                <w:sz w:val="22"/>
              </w:rPr>
            </w:pPr>
            <w:r>
              <w:rPr>
                <w:rFonts w:ascii="Times New Roman" w:hAnsi="Times New Roman" w:cs="Times New Roman" w:hint="eastAsia"/>
                <w:sz w:val="22"/>
              </w:rPr>
              <w:t>[R1]</w:t>
            </w:r>
          </w:p>
        </w:tc>
        <w:tc>
          <w:tcPr>
            <w:tcW w:w="1221" w:type="dxa"/>
          </w:tcPr>
          <w:p w14:paraId="7EF0CF1D" w14:textId="4B5C4B14" w:rsidR="001A3DF9" w:rsidRDefault="00BA24A1" w:rsidP="001A3DF9">
            <w:pPr>
              <w:wordWrap/>
              <w:adjustRightInd w:val="0"/>
              <w:spacing w:line="360" w:lineRule="auto"/>
              <w:ind w:right="220"/>
              <w:rPr>
                <w:rFonts w:ascii="Times New Roman" w:hAnsi="Times New Roman" w:cs="Times New Roman"/>
                <w:sz w:val="22"/>
              </w:rPr>
            </w:pPr>
            <m:oMathPara>
              <m:oMath>
                <m:r>
                  <w:rPr>
                    <w:rFonts w:ascii="Cambria Math" w:hAnsi="Cambria Math" w:cs="Times New Roman"/>
                    <w:sz w:val="22"/>
                  </w:rPr>
                  <m:t>κ</m:t>
                </m:r>
              </m:oMath>
            </m:oMathPara>
          </w:p>
        </w:tc>
        <w:tc>
          <w:tcPr>
            <w:tcW w:w="1047" w:type="dxa"/>
          </w:tcPr>
          <w:p w14:paraId="7746854A" w14:textId="20F4A53E" w:rsidR="001A3DF9" w:rsidRDefault="001A3DF9" w:rsidP="001A3DF9">
            <w:pPr>
              <w:wordWrap/>
              <w:adjustRightInd w:val="0"/>
              <w:spacing w:line="360" w:lineRule="auto"/>
              <w:ind w:right="220"/>
              <w:rPr>
                <w:rFonts w:ascii="Times New Roman" w:hAnsi="Times New Roman" w:cs="Times New Roman"/>
                <w:sz w:val="22"/>
              </w:rPr>
            </w:pPr>
            <w:r>
              <w:rPr>
                <w:rFonts w:ascii="Times New Roman" w:hAnsi="Times New Roman" w:cs="Times New Roman" w:hint="eastAsia"/>
                <w:sz w:val="22"/>
              </w:rPr>
              <w:t>0.0015</w:t>
            </w:r>
          </w:p>
        </w:tc>
        <w:tc>
          <w:tcPr>
            <w:tcW w:w="1134" w:type="dxa"/>
          </w:tcPr>
          <w:p w14:paraId="67746E87" w14:textId="2250C9EA" w:rsidR="001A3DF9" w:rsidRDefault="00000000" w:rsidP="001A3DF9">
            <w:pPr>
              <w:wordWrap/>
              <w:adjustRightInd w:val="0"/>
              <w:spacing w:line="360" w:lineRule="auto"/>
              <w:ind w:right="220"/>
              <w:rPr>
                <w:rFonts w:ascii="Times New Roman" w:hAnsi="Times New Roman" w:cs="Times New Roman"/>
                <w:sz w:val="22"/>
              </w:rPr>
            </w:pPr>
            <m:oMathPara>
              <m:oMath>
                <m:sSup>
                  <m:sSupPr>
                    <m:ctrlPr>
                      <w:rPr>
                        <w:rFonts w:ascii="Cambria Math" w:hAnsi="Cambria Math" w:cs="Times New Roman"/>
                        <w:i/>
                        <w:sz w:val="22"/>
                      </w:rPr>
                    </m:ctrlPr>
                  </m:sSupPr>
                  <m:e>
                    <m:r>
                      <w:rPr>
                        <w:rFonts w:ascii="Cambria Math" w:hAnsi="Cambria Math" w:cs="Times New Roman"/>
                        <w:sz w:val="22"/>
                      </w:rPr>
                      <m:t>ρ</m:t>
                    </m:r>
                    <m:ctrlPr>
                      <w:rPr>
                        <w:rFonts w:ascii="Cambria Math" w:hAnsi="Cambria Math" w:cs="Times New Roman"/>
                        <w:sz w:val="22"/>
                      </w:rPr>
                    </m:ctrlPr>
                  </m:e>
                  <m:sup>
                    <m:r>
                      <w:rPr>
                        <w:rFonts w:ascii="Cambria Math" w:hAnsi="Cambria Math" w:cs="Times New Roman"/>
                        <w:sz w:val="22"/>
                      </w:rPr>
                      <m:t>π</m:t>
                    </m:r>
                  </m:sup>
                </m:sSup>
              </m:oMath>
            </m:oMathPara>
          </w:p>
        </w:tc>
        <w:tc>
          <w:tcPr>
            <w:tcW w:w="992" w:type="dxa"/>
          </w:tcPr>
          <w:p w14:paraId="78C11A9D" w14:textId="1D75516F" w:rsidR="001A3DF9" w:rsidRDefault="001A3DF9" w:rsidP="001A3DF9">
            <w:pPr>
              <w:wordWrap/>
              <w:adjustRightInd w:val="0"/>
              <w:spacing w:line="360" w:lineRule="auto"/>
              <w:ind w:right="220"/>
              <w:rPr>
                <w:rFonts w:ascii="Times New Roman" w:hAnsi="Times New Roman" w:cs="Times New Roman"/>
                <w:sz w:val="22"/>
              </w:rPr>
            </w:pPr>
            <w:r>
              <w:rPr>
                <w:rFonts w:ascii="Times New Roman" w:hAnsi="Times New Roman" w:cs="Times New Roman" w:hint="eastAsia"/>
                <w:sz w:val="22"/>
              </w:rPr>
              <w:t>0.803</w:t>
            </w:r>
          </w:p>
        </w:tc>
        <w:tc>
          <w:tcPr>
            <w:tcW w:w="1134" w:type="dxa"/>
          </w:tcPr>
          <w:p w14:paraId="2326F69E" w14:textId="511F7E77" w:rsidR="001A3DF9" w:rsidRDefault="00BA24A1" w:rsidP="001A3DF9">
            <w:pPr>
              <w:wordWrap/>
              <w:adjustRightInd w:val="0"/>
              <w:spacing w:line="360" w:lineRule="auto"/>
              <w:ind w:right="220"/>
              <w:rPr>
                <w:rFonts w:ascii="Times New Roman" w:hAnsi="Times New Roman" w:cs="Times New Roman"/>
                <w:sz w:val="22"/>
              </w:rPr>
            </w:pPr>
            <m:oMathPara>
              <m:oMath>
                <m:r>
                  <w:rPr>
                    <w:rFonts w:ascii="Cambria Math" w:hAnsi="Cambria Math" w:cs="Times New Roman"/>
                    <w:sz w:val="22"/>
                  </w:rPr>
                  <m:t>ζ</m:t>
                </m:r>
              </m:oMath>
            </m:oMathPara>
          </w:p>
        </w:tc>
        <w:tc>
          <w:tcPr>
            <w:tcW w:w="1094" w:type="dxa"/>
          </w:tcPr>
          <w:p w14:paraId="28CFCF5C" w14:textId="37459E8F" w:rsidR="001A3DF9" w:rsidRDefault="001A3DF9" w:rsidP="001A3DF9">
            <w:pPr>
              <w:wordWrap/>
              <w:adjustRightInd w:val="0"/>
              <w:spacing w:line="360" w:lineRule="auto"/>
              <w:ind w:right="220"/>
              <w:rPr>
                <w:rFonts w:ascii="Times New Roman" w:hAnsi="Times New Roman" w:cs="Times New Roman"/>
                <w:sz w:val="22"/>
              </w:rPr>
            </w:pPr>
            <w:r>
              <w:rPr>
                <w:rFonts w:ascii="Times New Roman" w:hAnsi="Times New Roman" w:cs="Times New Roman" w:hint="eastAsia"/>
                <w:sz w:val="22"/>
              </w:rPr>
              <w:t>0.60</w:t>
            </w:r>
          </w:p>
        </w:tc>
      </w:tr>
      <w:tr w:rsidR="00BA24A1" w14:paraId="7127B20F" w14:textId="77777777" w:rsidTr="00DE3F85">
        <w:tc>
          <w:tcPr>
            <w:tcW w:w="2122" w:type="dxa"/>
          </w:tcPr>
          <w:p w14:paraId="4E7FCAB2" w14:textId="77777777" w:rsidR="001A3DF9" w:rsidRDefault="001A3DF9" w:rsidP="001A3DF9">
            <w:pPr>
              <w:wordWrap/>
              <w:adjustRightInd w:val="0"/>
              <w:spacing w:line="360" w:lineRule="auto"/>
              <w:ind w:right="220"/>
              <w:rPr>
                <w:rFonts w:ascii="Times New Roman" w:hAnsi="Times New Roman" w:cs="Times New Roman"/>
                <w:sz w:val="22"/>
              </w:rPr>
            </w:pPr>
          </w:p>
        </w:tc>
        <w:tc>
          <w:tcPr>
            <w:tcW w:w="992" w:type="dxa"/>
          </w:tcPr>
          <w:p w14:paraId="178FE296" w14:textId="2526D4EE" w:rsidR="001A3DF9" w:rsidRDefault="001A3DF9" w:rsidP="001A3DF9">
            <w:pPr>
              <w:wordWrap/>
              <w:adjustRightInd w:val="0"/>
              <w:spacing w:line="360" w:lineRule="auto"/>
              <w:ind w:right="220"/>
              <w:rPr>
                <w:rFonts w:ascii="Times New Roman" w:hAnsi="Times New Roman" w:cs="Times New Roman"/>
                <w:sz w:val="22"/>
              </w:rPr>
            </w:pPr>
            <w:r>
              <w:rPr>
                <w:rFonts w:ascii="Times New Roman" w:hAnsi="Times New Roman" w:cs="Times New Roman" w:hint="eastAsia"/>
                <w:sz w:val="22"/>
              </w:rPr>
              <w:t>[R2]</w:t>
            </w:r>
          </w:p>
        </w:tc>
        <w:tc>
          <w:tcPr>
            <w:tcW w:w="1221" w:type="dxa"/>
          </w:tcPr>
          <w:p w14:paraId="05F458C1" w14:textId="4A74909C" w:rsidR="001A3DF9" w:rsidRDefault="00BA24A1" w:rsidP="001A3DF9">
            <w:pPr>
              <w:wordWrap/>
              <w:adjustRightInd w:val="0"/>
              <w:spacing w:line="360" w:lineRule="auto"/>
              <w:ind w:right="220"/>
              <w:rPr>
                <w:rFonts w:ascii="Times New Roman" w:hAnsi="Times New Roman" w:cs="Times New Roman"/>
                <w:sz w:val="22"/>
              </w:rPr>
            </w:pPr>
            <m:oMathPara>
              <m:oMath>
                <m:r>
                  <w:rPr>
                    <w:rFonts w:ascii="Cambria Math" w:hAnsi="Cambria Math" w:cs="Times New Roman"/>
                    <w:sz w:val="22"/>
                  </w:rPr>
                  <m:t>κ</m:t>
                </m:r>
              </m:oMath>
            </m:oMathPara>
          </w:p>
        </w:tc>
        <w:tc>
          <w:tcPr>
            <w:tcW w:w="1047" w:type="dxa"/>
          </w:tcPr>
          <w:p w14:paraId="09FDA9CD" w14:textId="0F9CBCF6" w:rsidR="001A3DF9" w:rsidRDefault="001A3DF9" w:rsidP="001A3DF9">
            <w:pPr>
              <w:wordWrap/>
              <w:adjustRightInd w:val="0"/>
              <w:spacing w:line="360" w:lineRule="auto"/>
              <w:ind w:right="220"/>
              <w:rPr>
                <w:rFonts w:ascii="Times New Roman" w:hAnsi="Times New Roman" w:cs="Times New Roman"/>
                <w:sz w:val="22"/>
              </w:rPr>
            </w:pPr>
            <w:r>
              <w:rPr>
                <w:rFonts w:ascii="Times New Roman" w:hAnsi="Times New Roman" w:cs="Times New Roman" w:hint="eastAsia"/>
                <w:sz w:val="22"/>
              </w:rPr>
              <w:t>0.0015</w:t>
            </w:r>
          </w:p>
        </w:tc>
        <w:tc>
          <w:tcPr>
            <w:tcW w:w="1134" w:type="dxa"/>
          </w:tcPr>
          <w:p w14:paraId="6367CE19" w14:textId="07D506ED" w:rsidR="001A3DF9" w:rsidRDefault="00000000" w:rsidP="001A3DF9">
            <w:pPr>
              <w:wordWrap/>
              <w:adjustRightInd w:val="0"/>
              <w:spacing w:line="360" w:lineRule="auto"/>
              <w:ind w:right="220"/>
              <w:rPr>
                <w:rFonts w:ascii="Times New Roman" w:hAnsi="Times New Roman" w:cs="Times New Roman"/>
                <w:sz w:val="22"/>
              </w:rPr>
            </w:pPr>
            <m:oMathPara>
              <m:oMath>
                <m:sSup>
                  <m:sSupPr>
                    <m:ctrlPr>
                      <w:rPr>
                        <w:rFonts w:ascii="Cambria Math" w:hAnsi="Cambria Math" w:cs="Times New Roman"/>
                        <w:i/>
                        <w:sz w:val="22"/>
                      </w:rPr>
                    </m:ctrlPr>
                  </m:sSupPr>
                  <m:e>
                    <m:r>
                      <w:rPr>
                        <w:rFonts w:ascii="Cambria Math" w:hAnsi="Cambria Math" w:cs="Times New Roman"/>
                        <w:sz w:val="22"/>
                      </w:rPr>
                      <m:t>ρ</m:t>
                    </m:r>
                    <m:ctrlPr>
                      <w:rPr>
                        <w:rFonts w:ascii="Cambria Math" w:hAnsi="Cambria Math" w:cs="Times New Roman"/>
                        <w:sz w:val="22"/>
                      </w:rPr>
                    </m:ctrlPr>
                  </m:e>
                  <m:sup>
                    <m:r>
                      <w:rPr>
                        <w:rFonts w:ascii="Cambria Math" w:hAnsi="Cambria Math" w:cs="Times New Roman"/>
                        <w:sz w:val="22"/>
                      </w:rPr>
                      <m:t>π</m:t>
                    </m:r>
                  </m:sup>
                </m:sSup>
              </m:oMath>
            </m:oMathPara>
          </w:p>
        </w:tc>
        <w:tc>
          <w:tcPr>
            <w:tcW w:w="992" w:type="dxa"/>
          </w:tcPr>
          <w:p w14:paraId="205A90DE" w14:textId="5BC7A2F9" w:rsidR="001A3DF9" w:rsidRDefault="001A3DF9" w:rsidP="001A3DF9">
            <w:pPr>
              <w:wordWrap/>
              <w:adjustRightInd w:val="0"/>
              <w:spacing w:line="360" w:lineRule="auto"/>
              <w:ind w:right="220"/>
              <w:rPr>
                <w:rFonts w:ascii="Times New Roman" w:hAnsi="Times New Roman" w:cs="Times New Roman"/>
                <w:sz w:val="22"/>
              </w:rPr>
            </w:pPr>
            <w:r>
              <w:rPr>
                <w:rFonts w:ascii="Times New Roman" w:hAnsi="Times New Roman" w:cs="Times New Roman" w:hint="eastAsia"/>
                <w:sz w:val="22"/>
              </w:rPr>
              <w:t>0.508</w:t>
            </w:r>
          </w:p>
        </w:tc>
        <w:tc>
          <w:tcPr>
            <w:tcW w:w="1134" w:type="dxa"/>
          </w:tcPr>
          <w:p w14:paraId="4D744AD2" w14:textId="150BEF61" w:rsidR="001A3DF9" w:rsidRDefault="00BA24A1" w:rsidP="001A3DF9">
            <w:pPr>
              <w:wordWrap/>
              <w:adjustRightInd w:val="0"/>
              <w:spacing w:line="360" w:lineRule="auto"/>
              <w:ind w:right="220"/>
              <w:rPr>
                <w:rFonts w:ascii="Times New Roman" w:hAnsi="Times New Roman" w:cs="Times New Roman"/>
                <w:sz w:val="22"/>
              </w:rPr>
            </w:pPr>
            <m:oMathPara>
              <m:oMath>
                <m:r>
                  <w:rPr>
                    <w:rFonts w:ascii="Cambria Math" w:hAnsi="Cambria Math" w:cs="Times New Roman"/>
                    <w:sz w:val="22"/>
                  </w:rPr>
                  <m:t>ζ</m:t>
                </m:r>
              </m:oMath>
            </m:oMathPara>
          </w:p>
        </w:tc>
        <w:tc>
          <w:tcPr>
            <w:tcW w:w="1094" w:type="dxa"/>
          </w:tcPr>
          <w:p w14:paraId="016740A5" w14:textId="76E82971" w:rsidR="001A3DF9" w:rsidRDefault="001A3DF9" w:rsidP="001A3DF9">
            <w:pPr>
              <w:wordWrap/>
              <w:adjustRightInd w:val="0"/>
              <w:spacing w:line="360" w:lineRule="auto"/>
              <w:ind w:right="220"/>
              <w:rPr>
                <w:rFonts w:ascii="Times New Roman" w:hAnsi="Times New Roman" w:cs="Times New Roman"/>
                <w:sz w:val="22"/>
              </w:rPr>
            </w:pPr>
            <w:r>
              <w:rPr>
                <w:rFonts w:ascii="Times New Roman" w:hAnsi="Times New Roman" w:cs="Times New Roman" w:hint="eastAsia"/>
                <w:sz w:val="22"/>
              </w:rPr>
              <w:t>0.0</w:t>
            </w:r>
          </w:p>
        </w:tc>
      </w:tr>
      <w:tr w:rsidR="00BA24A1" w14:paraId="2AF815A2" w14:textId="77777777" w:rsidTr="00DE3F85">
        <w:tc>
          <w:tcPr>
            <w:tcW w:w="2122" w:type="dxa"/>
          </w:tcPr>
          <w:p w14:paraId="1AE6EB87" w14:textId="465FEFA8" w:rsidR="001A3DF9" w:rsidRDefault="001A3DF9" w:rsidP="001A3DF9">
            <w:pPr>
              <w:wordWrap/>
              <w:adjustRightInd w:val="0"/>
              <w:spacing w:line="360" w:lineRule="auto"/>
              <w:ind w:right="220"/>
              <w:rPr>
                <w:rFonts w:ascii="Times New Roman" w:hAnsi="Times New Roman" w:cs="Times New Roman"/>
                <w:sz w:val="22"/>
              </w:rPr>
            </w:pPr>
            <w:proofErr w:type="spellStart"/>
            <w:r>
              <w:rPr>
                <w:rFonts w:ascii="Times New Roman" w:hAnsi="Times New Roman" w:cs="Times New Roman" w:hint="eastAsia"/>
                <w:sz w:val="22"/>
              </w:rPr>
              <w:t>Stdev</w:t>
            </w:r>
            <w:proofErr w:type="spellEnd"/>
            <w:r>
              <w:rPr>
                <w:rFonts w:ascii="Times New Roman" w:hAnsi="Times New Roman" w:cs="Times New Roman" w:hint="eastAsia"/>
                <w:sz w:val="22"/>
              </w:rPr>
              <w:t xml:space="preserve"> of shocks</w:t>
            </w:r>
          </w:p>
        </w:tc>
        <w:tc>
          <w:tcPr>
            <w:tcW w:w="992" w:type="dxa"/>
          </w:tcPr>
          <w:p w14:paraId="27E665A6" w14:textId="4AE97099" w:rsidR="001A3DF9" w:rsidRDefault="001A3DF9" w:rsidP="001A3DF9">
            <w:pPr>
              <w:wordWrap/>
              <w:adjustRightInd w:val="0"/>
              <w:spacing w:line="360" w:lineRule="auto"/>
              <w:ind w:right="220"/>
              <w:rPr>
                <w:rFonts w:ascii="Times New Roman" w:hAnsi="Times New Roman" w:cs="Times New Roman"/>
                <w:sz w:val="22"/>
              </w:rPr>
            </w:pPr>
            <w:r>
              <w:rPr>
                <w:rFonts w:ascii="Times New Roman" w:hAnsi="Times New Roman" w:cs="Times New Roman" w:hint="eastAsia"/>
                <w:sz w:val="22"/>
              </w:rPr>
              <w:t>[R1]</w:t>
            </w:r>
          </w:p>
        </w:tc>
        <w:tc>
          <w:tcPr>
            <w:tcW w:w="1221" w:type="dxa"/>
          </w:tcPr>
          <w:p w14:paraId="4CD64F58" w14:textId="6C7D6C72" w:rsidR="001A3DF9" w:rsidRDefault="00BA24A1" w:rsidP="001A3DF9">
            <w:pPr>
              <w:wordWrap/>
              <w:adjustRightInd w:val="0"/>
              <w:spacing w:line="360" w:lineRule="auto"/>
              <w:ind w:right="220"/>
              <w:rPr>
                <w:rFonts w:ascii="Times New Roman" w:hAnsi="Times New Roman" w:cs="Times New Roman"/>
                <w:sz w:val="22"/>
              </w:rPr>
            </w:pPr>
            <m:oMathPara>
              <m:oMath>
                <m:r>
                  <w:rPr>
                    <w:rFonts w:ascii="Cambria Math" w:hAnsi="Cambria Math" w:cs="Times New Roman"/>
                    <w:sz w:val="22"/>
                  </w:rPr>
                  <m:t>100</m:t>
                </m:r>
                <m:sSub>
                  <m:sSubPr>
                    <m:ctrlPr>
                      <w:rPr>
                        <w:rFonts w:ascii="Cambria Math" w:hAnsi="Cambria Math" w:cs="Times New Roman"/>
                        <w:i/>
                        <w:sz w:val="22"/>
                      </w:rPr>
                    </m:ctrlPr>
                  </m:sSubPr>
                  <m:e>
                    <m:r>
                      <w:rPr>
                        <w:rFonts w:ascii="Cambria Math" w:hAnsi="Cambria Math" w:cs="Times New Roman"/>
                        <w:sz w:val="22"/>
                      </w:rPr>
                      <m:t>σ</m:t>
                    </m:r>
                  </m:e>
                  <m:sub>
                    <m:r>
                      <w:rPr>
                        <w:rFonts w:ascii="Cambria Math" w:hAnsi="Cambria Math" w:cs="Times New Roman"/>
                        <w:sz w:val="22"/>
                      </w:rPr>
                      <m:t>x</m:t>
                    </m:r>
                  </m:sub>
                </m:sSub>
              </m:oMath>
            </m:oMathPara>
          </w:p>
        </w:tc>
        <w:tc>
          <w:tcPr>
            <w:tcW w:w="1047" w:type="dxa"/>
          </w:tcPr>
          <w:p w14:paraId="54AECC18" w14:textId="32339F57" w:rsidR="001A3DF9" w:rsidRDefault="001A3DF9" w:rsidP="001A3DF9">
            <w:pPr>
              <w:wordWrap/>
              <w:adjustRightInd w:val="0"/>
              <w:spacing w:line="360" w:lineRule="auto"/>
              <w:ind w:right="220"/>
              <w:rPr>
                <w:rFonts w:ascii="Times New Roman" w:hAnsi="Times New Roman" w:cs="Times New Roman"/>
                <w:sz w:val="22"/>
              </w:rPr>
            </w:pPr>
            <w:r>
              <w:rPr>
                <w:rFonts w:ascii="Times New Roman" w:hAnsi="Times New Roman" w:cs="Times New Roman" w:hint="eastAsia"/>
                <w:sz w:val="22"/>
              </w:rPr>
              <w:t>0.01</w:t>
            </w:r>
          </w:p>
        </w:tc>
        <w:tc>
          <w:tcPr>
            <w:tcW w:w="1134" w:type="dxa"/>
          </w:tcPr>
          <w:p w14:paraId="50D8887D" w14:textId="259E2E97" w:rsidR="001A3DF9" w:rsidRDefault="00BA24A1" w:rsidP="001A3DF9">
            <w:pPr>
              <w:wordWrap/>
              <w:adjustRightInd w:val="0"/>
              <w:spacing w:line="360" w:lineRule="auto"/>
              <w:ind w:right="220"/>
              <w:rPr>
                <w:rFonts w:ascii="Times New Roman" w:hAnsi="Times New Roman" w:cs="Times New Roman"/>
                <w:sz w:val="22"/>
              </w:rPr>
            </w:pPr>
            <m:oMathPara>
              <m:oMath>
                <m:r>
                  <w:rPr>
                    <w:rFonts w:ascii="Cambria Math" w:hAnsi="Cambria Math" w:cs="Times New Roman"/>
                    <w:sz w:val="22"/>
                  </w:rPr>
                  <m:t>100</m:t>
                </m:r>
                <m:sSub>
                  <m:sSubPr>
                    <m:ctrlPr>
                      <w:rPr>
                        <w:rFonts w:ascii="Cambria Math" w:hAnsi="Cambria Math" w:cs="Times New Roman"/>
                        <w:i/>
                        <w:sz w:val="22"/>
                      </w:rPr>
                    </m:ctrlPr>
                  </m:sSubPr>
                  <m:e>
                    <m:r>
                      <w:rPr>
                        <w:rFonts w:ascii="Cambria Math" w:hAnsi="Cambria Math" w:cs="Times New Roman"/>
                        <w:sz w:val="22"/>
                      </w:rPr>
                      <m:t>σ</m:t>
                    </m:r>
                  </m:e>
                  <m:sub>
                    <m:r>
                      <w:rPr>
                        <w:rFonts w:ascii="Cambria Math" w:hAnsi="Cambria Math" w:cs="Times New Roman"/>
                        <w:sz w:val="22"/>
                      </w:rPr>
                      <m:t>π</m:t>
                    </m:r>
                  </m:sub>
                </m:sSub>
              </m:oMath>
            </m:oMathPara>
          </w:p>
        </w:tc>
        <w:tc>
          <w:tcPr>
            <w:tcW w:w="992" w:type="dxa"/>
          </w:tcPr>
          <w:p w14:paraId="1DF90019" w14:textId="2E489F0F" w:rsidR="001A3DF9" w:rsidRDefault="001A3DF9" w:rsidP="001A3DF9">
            <w:pPr>
              <w:wordWrap/>
              <w:adjustRightInd w:val="0"/>
              <w:spacing w:line="360" w:lineRule="auto"/>
              <w:ind w:right="220"/>
              <w:rPr>
                <w:rFonts w:ascii="Times New Roman" w:hAnsi="Times New Roman" w:cs="Times New Roman"/>
                <w:sz w:val="22"/>
              </w:rPr>
            </w:pPr>
            <w:r>
              <w:rPr>
                <w:rFonts w:ascii="Times New Roman" w:hAnsi="Times New Roman" w:cs="Times New Roman" w:hint="eastAsia"/>
                <w:sz w:val="22"/>
              </w:rPr>
              <w:t>0.145</w:t>
            </w:r>
          </w:p>
        </w:tc>
        <w:tc>
          <w:tcPr>
            <w:tcW w:w="1134" w:type="dxa"/>
          </w:tcPr>
          <w:p w14:paraId="74858D01" w14:textId="4DEE1D6E" w:rsidR="001A3DF9" w:rsidRDefault="00BA24A1" w:rsidP="001A3DF9">
            <w:pPr>
              <w:wordWrap/>
              <w:adjustRightInd w:val="0"/>
              <w:spacing w:line="360" w:lineRule="auto"/>
              <w:ind w:right="220"/>
              <w:rPr>
                <w:rFonts w:ascii="Times New Roman" w:hAnsi="Times New Roman" w:cs="Times New Roman"/>
                <w:sz w:val="22"/>
              </w:rPr>
            </w:pPr>
            <m:oMathPara>
              <m:oMath>
                <m:r>
                  <w:rPr>
                    <w:rFonts w:ascii="Cambria Math" w:hAnsi="Cambria Math" w:cs="Times New Roman"/>
                    <w:sz w:val="22"/>
                  </w:rPr>
                  <m:t>100</m:t>
                </m:r>
                <m:sSub>
                  <m:sSubPr>
                    <m:ctrlPr>
                      <w:rPr>
                        <w:rFonts w:ascii="Cambria Math" w:hAnsi="Cambria Math" w:cs="Times New Roman"/>
                        <w:i/>
                        <w:sz w:val="22"/>
                      </w:rPr>
                    </m:ctrlPr>
                  </m:sSubPr>
                  <m:e>
                    <m:r>
                      <w:rPr>
                        <w:rFonts w:ascii="Cambria Math" w:hAnsi="Cambria Math" w:cs="Times New Roman"/>
                        <w:sz w:val="22"/>
                      </w:rPr>
                      <m:t>σ</m:t>
                    </m:r>
                  </m:e>
                  <m:sub>
                    <m:r>
                      <w:rPr>
                        <w:rFonts w:ascii="Cambria Math" w:hAnsi="Cambria Math" w:cs="Times New Roman"/>
                        <w:sz w:val="22"/>
                      </w:rPr>
                      <m:t>i</m:t>
                    </m:r>
                  </m:sub>
                </m:sSub>
              </m:oMath>
            </m:oMathPara>
          </w:p>
        </w:tc>
        <w:tc>
          <w:tcPr>
            <w:tcW w:w="1094" w:type="dxa"/>
          </w:tcPr>
          <w:p w14:paraId="427F5BF8" w14:textId="586977D8" w:rsidR="001A3DF9" w:rsidRDefault="001A3DF9" w:rsidP="001A3DF9">
            <w:pPr>
              <w:wordWrap/>
              <w:adjustRightInd w:val="0"/>
              <w:spacing w:line="360" w:lineRule="auto"/>
              <w:ind w:right="220"/>
              <w:rPr>
                <w:rFonts w:ascii="Times New Roman" w:hAnsi="Times New Roman" w:cs="Times New Roman"/>
                <w:sz w:val="22"/>
              </w:rPr>
            </w:pPr>
            <w:r>
              <w:rPr>
                <w:rFonts w:ascii="Times New Roman" w:hAnsi="Times New Roman" w:cs="Times New Roman" w:hint="eastAsia"/>
                <w:sz w:val="22"/>
              </w:rPr>
              <w:t>0.138</w:t>
            </w:r>
          </w:p>
        </w:tc>
      </w:tr>
      <w:tr w:rsidR="00BA24A1" w14:paraId="39EB3C7E" w14:textId="77777777" w:rsidTr="00DE3F85">
        <w:tc>
          <w:tcPr>
            <w:tcW w:w="2122" w:type="dxa"/>
          </w:tcPr>
          <w:p w14:paraId="0A62A7D8" w14:textId="77777777" w:rsidR="001A3DF9" w:rsidRDefault="001A3DF9" w:rsidP="001A3DF9">
            <w:pPr>
              <w:wordWrap/>
              <w:adjustRightInd w:val="0"/>
              <w:spacing w:line="360" w:lineRule="auto"/>
              <w:ind w:right="220"/>
              <w:rPr>
                <w:rFonts w:ascii="Times New Roman" w:hAnsi="Times New Roman" w:cs="Times New Roman"/>
                <w:sz w:val="22"/>
              </w:rPr>
            </w:pPr>
          </w:p>
        </w:tc>
        <w:tc>
          <w:tcPr>
            <w:tcW w:w="992" w:type="dxa"/>
          </w:tcPr>
          <w:p w14:paraId="05CDC198" w14:textId="78917851" w:rsidR="001A3DF9" w:rsidRDefault="001A3DF9" w:rsidP="001A3DF9">
            <w:pPr>
              <w:wordWrap/>
              <w:adjustRightInd w:val="0"/>
              <w:spacing w:line="360" w:lineRule="auto"/>
              <w:ind w:right="220"/>
              <w:rPr>
                <w:rFonts w:ascii="Times New Roman" w:hAnsi="Times New Roman" w:cs="Times New Roman"/>
                <w:sz w:val="22"/>
              </w:rPr>
            </w:pPr>
            <w:r>
              <w:rPr>
                <w:rFonts w:ascii="Times New Roman" w:hAnsi="Times New Roman" w:cs="Times New Roman" w:hint="eastAsia"/>
                <w:sz w:val="22"/>
              </w:rPr>
              <w:t>[R2]</w:t>
            </w:r>
          </w:p>
        </w:tc>
        <w:tc>
          <w:tcPr>
            <w:tcW w:w="1221" w:type="dxa"/>
          </w:tcPr>
          <w:p w14:paraId="41889991" w14:textId="5905222E" w:rsidR="001A3DF9" w:rsidRDefault="00BA24A1" w:rsidP="001A3DF9">
            <w:pPr>
              <w:wordWrap/>
              <w:adjustRightInd w:val="0"/>
              <w:spacing w:line="360" w:lineRule="auto"/>
              <w:ind w:right="220"/>
              <w:rPr>
                <w:rFonts w:ascii="Times New Roman" w:hAnsi="Times New Roman" w:cs="Times New Roman"/>
                <w:sz w:val="22"/>
              </w:rPr>
            </w:pPr>
            <m:oMathPara>
              <m:oMath>
                <m:r>
                  <w:rPr>
                    <w:rFonts w:ascii="Cambria Math" w:hAnsi="Cambria Math" w:cs="Times New Roman"/>
                    <w:sz w:val="22"/>
                  </w:rPr>
                  <m:t>100</m:t>
                </m:r>
                <m:sSub>
                  <m:sSubPr>
                    <m:ctrlPr>
                      <w:rPr>
                        <w:rFonts w:ascii="Cambria Math" w:hAnsi="Cambria Math" w:cs="Times New Roman"/>
                        <w:i/>
                        <w:sz w:val="22"/>
                      </w:rPr>
                    </m:ctrlPr>
                  </m:sSubPr>
                  <m:e>
                    <m:r>
                      <w:rPr>
                        <w:rFonts w:ascii="Cambria Math" w:hAnsi="Cambria Math" w:cs="Times New Roman"/>
                        <w:sz w:val="22"/>
                      </w:rPr>
                      <m:t>σ</m:t>
                    </m:r>
                  </m:e>
                  <m:sub>
                    <m:r>
                      <w:rPr>
                        <w:rFonts w:ascii="Cambria Math" w:hAnsi="Cambria Math" w:cs="Times New Roman"/>
                        <w:sz w:val="22"/>
                      </w:rPr>
                      <m:t>x</m:t>
                    </m:r>
                  </m:sub>
                </m:sSub>
              </m:oMath>
            </m:oMathPara>
          </w:p>
        </w:tc>
        <w:tc>
          <w:tcPr>
            <w:tcW w:w="1047" w:type="dxa"/>
          </w:tcPr>
          <w:p w14:paraId="3078361B" w14:textId="7449EE0E" w:rsidR="001A3DF9" w:rsidRDefault="001A3DF9" w:rsidP="001A3DF9">
            <w:pPr>
              <w:wordWrap/>
              <w:adjustRightInd w:val="0"/>
              <w:spacing w:line="360" w:lineRule="auto"/>
              <w:ind w:right="220"/>
              <w:rPr>
                <w:rFonts w:ascii="Times New Roman" w:hAnsi="Times New Roman" w:cs="Times New Roman"/>
                <w:sz w:val="22"/>
              </w:rPr>
            </w:pPr>
            <w:r>
              <w:rPr>
                <w:rFonts w:ascii="Times New Roman" w:hAnsi="Times New Roman" w:cs="Times New Roman" w:hint="eastAsia"/>
                <w:sz w:val="22"/>
              </w:rPr>
              <w:t>0.59</w:t>
            </w:r>
          </w:p>
        </w:tc>
        <w:tc>
          <w:tcPr>
            <w:tcW w:w="1134" w:type="dxa"/>
          </w:tcPr>
          <w:p w14:paraId="0EC068E7" w14:textId="6A347FEA" w:rsidR="001A3DF9" w:rsidRDefault="00BA24A1" w:rsidP="001A3DF9">
            <w:pPr>
              <w:wordWrap/>
              <w:adjustRightInd w:val="0"/>
              <w:spacing w:line="360" w:lineRule="auto"/>
              <w:ind w:right="220"/>
              <w:rPr>
                <w:rFonts w:ascii="Times New Roman" w:hAnsi="Times New Roman" w:cs="Times New Roman"/>
                <w:sz w:val="22"/>
              </w:rPr>
            </w:pPr>
            <m:oMathPara>
              <m:oMath>
                <m:r>
                  <w:rPr>
                    <w:rFonts w:ascii="Cambria Math" w:hAnsi="Cambria Math" w:cs="Times New Roman"/>
                    <w:sz w:val="22"/>
                  </w:rPr>
                  <m:t>100</m:t>
                </m:r>
                <m:sSub>
                  <m:sSubPr>
                    <m:ctrlPr>
                      <w:rPr>
                        <w:rFonts w:ascii="Cambria Math" w:hAnsi="Cambria Math" w:cs="Times New Roman"/>
                        <w:i/>
                        <w:sz w:val="22"/>
                      </w:rPr>
                    </m:ctrlPr>
                  </m:sSubPr>
                  <m:e>
                    <m:r>
                      <w:rPr>
                        <w:rFonts w:ascii="Cambria Math" w:hAnsi="Cambria Math" w:cs="Times New Roman"/>
                        <w:sz w:val="22"/>
                      </w:rPr>
                      <m:t>σ</m:t>
                    </m:r>
                  </m:e>
                  <m:sub>
                    <m:r>
                      <w:rPr>
                        <w:rFonts w:ascii="Cambria Math" w:hAnsi="Cambria Math" w:cs="Times New Roman"/>
                        <w:sz w:val="22"/>
                      </w:rPr>
                      <m:t>π</m:t>
                    </m:r>
                  </m:sub>
                </m:sSub>
              </m:oMath>
            </m:oMathPara>
          </w:p>
        </w:tc>
        <w:tc>
          <w:tcPr>
            <w:tcW w:w="992" w:type="dxa"/>
          </w:tcPr>
          <w:p w14:paraId="06851726" w14:textId="052C4AD7" w:rsidR="001A3DF9" w:rsidRDefault="001A3DF9" w:rsidP="001A3DF9">
            <w:pPr>
              <w:wordWrap/>
              <w:adjustRightInd w:val="0"/>
              <w:spacing w:line="360" w:lineRule="auto"/>
              <w:ind w:right="220"/>
              <w:rPr>
                <w:rFonts w:ascii="Times New Roman" w:hAnsi="Times New Roman" w:cs="Times New Roman"/>
                <w:sz w:val="22"/>
              </w:rPr>
            </w:pPr>
            <w:r>
              <w:rPr>
                <w:rFonts w:ascii="Times New Roman" w:hAnsi="Times New Roman" w:cs="Times New Roman" w:hint="eastAsia"/>
                <w:sz w:val="22"/>
              </w:rPr>
              <w:t>0.018</w:t>
            </w:r>
          </w:p>
        </w:tc>
        <w:tc>
          <w:tcPr>
            <w:tcW w:w="1134" w:type="dxa"/>
          </w:tcPr>
          <w:p w14:paraId="3AD5CD3E" w14:textId="17A9515F" w:rsidR="001A3DF9" w:rsidRDefault="00BA24A1" w:rsidP="001A3DF9">
            <w:pPr>
              <w:wordWrap/>
              <w:adjustRightInd w:val="0"/>
              <w:spacing w:line="360" w:lineRule="auto"/>
              <w:ind w:right="220"/>
              <w:rPr>
                <w:rFonts w:ascii="Times New Roman" w:hAnsi="Times New Roman" w:cs="Times New Roman"/>
                <w:sz w:val="22"/>
              </w:rPr>
            </w:pPr>
            <m:oMathPara>
              <m:oMath>
                <m:r>
                  <w:rPr>
                    <w:rFonts w:ascii="Cambria Math" w:hAnsi="Cambria Math" w:cs="Times New Roman"/>
                    <w:sz w:val="22"/>
                  </w:rPr>
                  <m:t>100</m:t>
                </m:r>
                <m:sSub>
                  <m:sSubPr>
                    <m:ctrlPr>
                      <w:rPr>
                        <w:rFonts w:ascii="Cambria Math" w:hAnsi="Cambria Math" w:cs="Times New Roman"/>
                        <w:i/>
                        <w:sz w:val="22"/>
                      </w:rPr>
                    </m:ctrlPr>
                  </m:sSubPr>
                  <m:e>
                    <m:r>
                      <w:rPr>
                        <w:rFonts w:ascii="Cambria Math" w:hAnsi="Cambria Math" w:cs="Times New Roman"/>
                        <w:sz w:val="22"/>
                      </w:rPr>
                      <m:t>σ</m:t>
                    </m:r>
                  </m:e>
                  <m:sub>
                    <m:r>
                      <w:rPr>
                        <w:rFonts w:ascii="Cambria Math" w:hAnsi="Cambria Math" w:cs="Times New Roman"/>
                        <w:sz w:val="22"/>
                      </w:rPr>
                      <m:t>i</m:t>
                    </m:r>
                  </m:sub>
                </m:sSub>
              </m:oMath>
            </m:oMathPara>
          </w:p>
        </w:tc>
        <w:tc>
          <w:tcPr>
            <w:tcW w:w="1094" w:type="dxa"/>
          </w:tcPr>
          <w:p w14:paraId="372FA575" w14:textId="119843AB" w:rsidR="001A3DF9" w:rsidRDefault="001A3DF9" w:rsidP="001A3DF9">
            <w:pPr>
              <w:wordWrap/>
              <w:adjustRightInd w:val="0"/>
              <w:spacing w:line="360" w:lineRule="auto"/>
              <w:ind w:right="220"/>
              <w:rPr>
                <w:rFonts w:ascii="Times New Roman" w:hAnsi="Times New Roman" w:cs="Times New Roman"/>
                <w:sz w:val="22"/>
              </w:rPr>
            </w:pPr>
            <w:r>
              <w:rPr>
                <w:rFonts w:ascii="Times New Roman" w:hAnsi="Times New Roman" w:cs="Times New Roman" w:hint="eastAsia"/>
                <w:sz w:val="22"/>
              </w:rPr>
              <w:t>0.018</w:t>
            </w:r>
          </w:p>
        </w:tc>
      </w:tr>
    </w:tbl>
    <w:p w14:paraId="3B8B9B77" w14:textId="77777777" w:rsidR="009A39D9" w:rsidRDefault="009A39D9" w:rsidP="00DE3F85">
      <w:pPr>
        <w:wordWrap/>
        <w:adjustRightInd w:val="0"/>
        <w:spacing w:line="360" w:lineRule="auto"/>
        <w:ind w:right="220"/>
        <w:rPr>
          <w:rFonts w:ascii="Times New Roman" w:hAnsi="Times New Roman" w:cs="Times New Roman"/>
          <w:sz w:val="22"/>
        </w:rPr>
      </w:pPr>
    </w:p>
    <w:p w14:paraId="474262B9" w14:textId="77777777" w:rsidR="009A39D9" w:rsidRDefault="009A39D9" w:rsidP="009A39D9">
      <w:pPr>
        <w:wordWrap/>
        <w:adjustRightInd w:val="0"/>
        <w:spacing w:after="0" w:line="360" w:lineRule="auto"/>
        <w:ind w:right="220" w:firstLineChars="50" w:firstLine="110"/>
        <w:rPr>
          <w:rFonts w:ascii="Times New Roman" w:hAnsi="Times New Roman" w:cs="Times New Roman"/>
          <w:sz w:val="22"/>
        </w:rPr>
      </w:pPr>
      <w:r w:rsidRPr="009A39D9">
        <w:rPr>
          <w:rFonts w:ascii="Times New Roman" w:hAnsi="Times New Roman" w:cs="Times New Roman"/>
          <w:sz w:val="22"/>
        </w:rPr>
        <w:t xml:space="preserve">The model is calibrated separately for two distinct subperiods: [R1] </w:t>
      </w:r>
      <w:proofErr w:type="gramStart"/>
      <w:r w:rsidRPr="009A39D9">
        <w:rPr>
          <w:rFonts w:ascii="Times New Roman" w:hAnsi="Times New Roman" w:cs="Times New Roman"/>
          <w:sz w:val="22"/>
        </w:rPr>
        <w:t>1979:Q</w:t>
      </w:r>
      <w:proofErr w:type="gramEnd"/>
      <w:r w:rsidRPr="009A39D9">
        <w:rPr>
          <w:rFonts w:ascii="Times New Roman" w:hAnsi="Times New Roman" w:cs="Times New Roman"/>
          <w:sz w:val="22"/>
        </w:rPr>
        <w:t xml:space="preserve">4-2001 and [R2] 2001:Q2-2019. The breakpoint date, as per Campbell, Pflueger, and </w:t>
      </w:r>
      <w:proofErr w:type="spellStart"/>
      <w:r w:rsidRPr="009A39D9">
        <w:rPr>
          <w:rFonts w:ascii="Times New Roman" w:hAnsi="Times New Roman" w:cs="Times New Roman"/>
          <w:sz w:val="22"/>
        </w:rPr>
        <w:t>Viceira</w:t>
      </w:r>
      <w:proofErr w:type="spellEnd"/>
      <w:r w:rsidRPr="009A39D9">
        <w:rPr>
          <w:rFonts w:ascii="Times New Roman" w:hAnsi="Times New Roman" w:cs="Times New Roman"/>
          <w:sz w:val="22"/>
        </w:rPr>
        <w:t xml:space="preserve"> (2020), was identified through</w:t>
      </w:r>
      <w:r>
        <w:rPr>
          <w:rFonts w:ascii="Times New Roman" w:hAnsi="Times New Roman" w:cs="Times New Roman" w:hint="eastAsia"/>
          <w:sz w:val="22"/>
        </w:rPr>
        <w:t xml:space="preserve"> </w:t>
      </w:r>
      <w:r w:rsidRPr="009A39D9">
        <w:rPr>
          <w:rFonts w:ascii="Times New Roman" w:hAnsi="Times New Roman" w:cs="Times New Roman"/>
          <w:sz w:val="22"/>
        </w:rPr>
        <w:t>testing for a break in the inflation-output gap relationship, with no reliance on asset prices.</w:t>
      </w:r>
    </w:p>
    <w:p w14:paraId="4A49E855" w14:textId="77777777" w:rsidR="008C6EBA" w:rsidRDefault="008C6EBA" w:rsidP="009A39D9">
      <w:pPr>
        <w:wordWrap/>
        <w:adjustRightInd w:val="0"/>
        <w:spacing w:after="0" w:line="360" w:lineRule="auto"/>
        <w:ind w:right="220" w:firstLineChars="50" w:firstLine="110"/>
        <w:rPr>
          <w:rFonts w:ascii="Times New Roman" w:hAnsi="Times New Roman" w:cs="Times New Roman"/>
          <w:sz w:val="22"/>
        </w:rPr>
      </w:pPr>
    </w:p>
    <w:p w14:paraId="5839E420" w14:textId="2D2E6078" w:rsidR="009A39D9" w:rsidRPr="009A39D9" w:rsidRDefault="009A39D9" w:rsidP="009A39D9">
      <w:pPr>
        <w:wordWrap/>
        <w:adjustRightInd w:val="0"/>
        <w:spacing w:after="0" w:line="360" w:lineRule="auto"/>
        <w:ind w:right="220" w:firstLineChars="50" w:firstLine="110"/>
        <w:rPr>
          <w:rFonts w:ascii="Times New Roman" w:hAnsi="Times New Roman" w:cs="Times New Roman"/>
          <w:sz w:val="22"/>
        </w:rPr>
      </w:pPr>
      <w:r w:rsidRPr="009A39D9">
        <w:rPr>
          <w:rFonts w:ascii="Times New Roman" w:hAnsi="Times New Roman" w:cs="Times New Roman"/>
          <w:sz w:val="22"/>
        </w:rPr>
        <w:t>The calibration of the model for two distinct subperiods sets the current paper apart from Pflueger</w:t>
      </w:r>
      <w:r>
        <w:rPr>
          <w:rFonts w:ascii="Times New Roman" w:hAnsi="Times New Roman" w:cs="Times New Roman" w:hint="eastAsia"/>
          <w:sz w:val="22"/>
        </w:rPr>
        <w:t xml:space="preserve"> </w:t>
      </w:r>
      <w:r w:rsidRPr="009A39D9">
        <w:rPr>
          <w:rFonts w:ascii="Times New Roman" w:hAnsi="Times New Roman" w:cs="Times New Roman"/>
          <w:sz w:val="22"/>
        </w:rPr>
        <w:t>and Rinaldi (2022), while its unique ability to perform counterfactual exercises assessing the impact of</w:t>
      </w:r>
      <w:r>
        <w:rPr>
          <w:rFonts w:ascii="Times New Roman" w:hAnsi="Times New Roman" w:cs="Times New Roman" w:hint="eastAsia"/>
          <w:sz w:val="22"/>
        </w:rPr>
        <w:t xml:space="preserve"> </w:t>
      </w:r>
      <w:r w:rsidRPr="009A39D9">
        <w:rPr>
          <w:rFonts w:ascii="Times New Roman" w:hAnsi="Times New Roman" w:cs="Times New Roman"/>
          <w:sz w:val="22"/>
        </w:rPr>
        <w:t>Taylor-rule coefficients and macroeconomic shock volatilities on bond-stock betas amplifies its significance.</w:t>
      </w:r>
    </w:p>
    <w:p w14:paraId="5ACE87D2" w14:textId="77777777" w:rsidR="009A39D9" w:rsidRDefault="009A39D9" w:rsidP="009A39D9">
      <w:pPr>
        <w:wordWrap/>
        <w:adjustRightInd w:val="0"/>
        <w:spacing w:after="0" w:line="360" w:lineRule="auto"/>
        <w:ind w:right="220"/>
        <w:rPr>
          <w:rFonts w:ascii="Times New Roman" w:hAnsi="Times New Roman" w:cs="Times New Roman"/>
          <w:sz w:val="22"/>
        </w:rPr>
      </w:pPr>
    </w:p>
    <w:p w14:paraId="156F88AA" w14:textId="0E4ECDF1" w:rsidR="009A39D9" w:rsidRDefault="009A39D9" w:rsidP="009A39D9">
      <w:pPr>
        <w:wordWrap/>
        <w:adjustRightInd w:val="0"/>
        <w:spacing w:after="0" w:line="360" w:lineRule="auto"/>
        <w:ind w:right="220" w:firstLineChars="50" w:firstLine="110"/>
        <w:rPr>
          <w:rFonts w:ascii="Times New Roman" w:hAnsi="Times New Roman" w:cs="Times New Roman"/>
          <w:sz w:val="22"/>
        </w:rPr>
      </w:pPr>
      <w:r w:rsidRPr="009A39D9">
        <w:rPr>
          <w:rFonts w:ascii="Times New Roman" w:hAnsi="Times New Roman" w:cs="Times New Roman"/>
          <w:sz w:val="22"/>
        </w:rPr>
        <w:t>In the literature, various channels explain bond-stock comovement, including the inflation-risk narrative</w:t>
      </w:r>
      <w:r>
        <w:rPr>
          <w:rFonts w:ascii="Times New Roman" w:hAnsi="Times New Roman" w:cs="Times New Roman" w:hint="eastAsia"/>
          <w:sz w:val="22"/>
        </w:rPr>
        <w:t xml:space="preserve"> </w:t>
      </w:r>
      <w:r w:rsidRPr="009A39D9">
        <w:rPr>
          <w:rFonts w:ascii="Times New Roman" w:hAnsi="Times New Roman" w:cs="Times New Roman"/>
          <w:sz w:val="22"/>
        </w:rPr>
        <w:t xml:space="preserve">proposed by David and Veronesi (2013), Song (2017), Campbell, Pflueger, and </w:t>
      </w:r>
      <w:proofErr w:type="spellStart"/>
      <w:r w:rsidRPr="009A39D9">
        <w:rPr>
          <w:rFonts w:ascii="Times New Roman" w:hAnsi="Times New Roman" w:cs="Times New Roman"/>
          <w:sz w:val="22"/>
        </w:rPr>
        <w:t>Viceira</w:t>
      </w:r>
      <w:proofErr w:type="spellEnd"/>
      <w:r w:rsidRPr="009A39D9">
        <w:rPr>
          <w:rFonts w:ascii="Times New Roman" w:hAnsi="Times New Roman" w:cs="Times New Roman"/>
          <w:sz w:val="22"/>
        </w:rPr>
        <w:t xml:space="preserve"> (2020),</w:t>
      </w:r>
      <w:r>
        <w:rPr>
          <w:rFonts w:ascii="Times New Roman" w:hAnsi="Times New Roman" w:cs="Times New Roman" w:hint="eastAsia"/>
          <w:sz w:val="22"/>
        </w:rPr>
        <w:t xml:space="preserve"> </w:t>
      </w:r>
      <w:proofErr w:type="spellStart"/>
      <w:r w:rsidRPr="009A39D9">
        <w:rPr>
          <w:rFonts w:ascii="Times New Roman" w:hAnsi="Times New Roman" w:cs="Times New Roman"/>
          <w:sz w:val="22"/>
        </w:rPr>
        <w:t>Gourio</w:t>
      </w:r>
      <w:proofErr w:type="spellEnd"/>
      <w:r w:rsidRPr="009A39D9">
        <w:rPr>
          <w:rFonts w:ascii="Times New Roman" w:hAnsi="Times New Roman" w:cs="Times New Roman"/>
          <w:sz w:val="22"/>
        </w:rPr>
        <w:t xml:space="preserve"> and Ngo (2020), and Fang, Liu, and </w:t>
      </w:r>
      <w:proofErr w:type="spellStart"/>
      <w:r w:rsidRPr="009A39D9">
        <w:rPr>
          <w:rFonts w:ascii="Times New Roman" w:hAnsi="Times New Roman" w:cs="Times New Roman"/>
          <w:sz w:val="22"/>
        </w:rPr>
        <w:t>Roussanov</w:t>
      </w:r>
      <w:proofErr w:type="spellEnd"/>
      <w:r w:rsidRPr="009A39D9">
        <w:rPr>
          <w:rFonts w:ascii="Times New Roman" w:hAnsi="Times New Roman" w:cs="Times New Roman"/>
          <w:sz w:val="22"/>
        </w:rPr>
        <w:t xml:space="preserve"> (2022); the liquidity, flight-to-safety, and time</w:t>
      </w:r>
      <w:r>
        <w:rPr>
          <w:rFonts w:ascii="Times New Roman" w:hAnsi="Times New Roman" w:cs="Times New Roman" w:hint="eastAsia"/>
          <w:sz w:val="22"/>
        </w:rPr>
        <w:t>-</w:t>
      </w:r>
      <w:r w:rsidRPr="009A39D9">
        <w:rPr>
          <w:rFonts w:ascii="Times New Roman" w:hAnsi="Times New Roman" w:cs="Times New Roman"/>
          <w:sz w:val="22"/>
        </w:rPr>
        <w:t>varying</w:t>
      </w:r>
      <w:r>
        <w:rPr>
          <w:rFonts w:ascii="Times New Roman" w:hAnsi="Times New Roman" w:cs="Times New Roman" w:hint="eastAsia"/>
          <w:sz w:val="22"/>
        </w:rPr>
        <w:t xml:space="preserve"> </w:t>
      </w:r>
      <w:r w:rsidRPr="009A39D9">
        <w:rPr>
          <w:rFonts w:ascii="Times New Roman" w:hAnsi="Times New Roman" w:cs="Times New Roman"/>
          <w:sz w:val="22"/>
        </w:rPr>
        <w:t xml:space="preserve">risk aversion argument presented by Baele, Bekaert, and </w:t>
      </w:r>
      <w:proofErr w:type="spellStart"/>
      <w:r w:rsidRPr="009A39D9">
        <w:rPr>
          <w:rFonts w:ascii="Times New Roman" w:hAnsi="Times New Roman" w:cs="Times New Roman"/>
          <w:sz w:val="22"/>
        </w:rPr>
        <w:t>Inghelbrecht</w:t>
      </w:r>
      <w:proofErr w:type="spellEnd"/>
      <w:r w:rsidRPr="009A39D9">
        <w:rPr>
          <w:rFonts w:ascii="Times New Roman" w:hAnsi="Times New Roman" w:cs="Times New Roman"/>
          <w:sz w:val="22"/>
        </w:rPr>
        <w:t xml:space="preserve"> (2010), Kozak (2022),</w:t>
      </w:r>
      <w:r>
        <w:rPr>
          <w:rFonts w:ascii="Times New Roman" w:hAnsi="Times New Roman" w:cs="Times New Roman" w:hint="eastAsia"/>
          <w:sz w:val="22"/>
        </w:rPr>
        <w:t xml:space="preserve"> </w:t>
      </w:r>
      <w:r w:rsidRPr="009A39D9">
        <w:rPr>
          <w:rFonts w:ascii="Times New Roman" w:hAnsi="Times New Roman" w:cs="Times New Roman"/>
          <w:sz w:val="22"/>
        </w:rPr>
        <w:t xml:space="preserve">and </w:t>
      </w:r>
      <w:proofErr w:type="spellStart"/>
      <w:r w:rsidRPr="009A39D9">
        <w:rPr>
          <w:rFonts w:ascii="Times New Roman" w:hAnsi="Times New Roman" w:cs="Times New Roman"/>
          <w:sz w:val="22"/>
        </w:rPr>
        <w:t>Laarits</w:t>
      </w:r>
      <w:proofErr w:type="spellEnd"/>
      <w:r w:rsidRPr="009A39D9">
        <w:rPr>
          <w:rFonts w:ascii="Times New Roman" w:hAnsi="Times New Roman" w:cs="Times New Roman"/>
          <w:sz w:val="22"/>
        </w:rPr>
        <w:t xml:space="preserve"> (2022); examination of permanent-transitory compositional changes discussed by Chernov,</w:t>
      </w:r>
      <w:r>
        <w:rPr>
          <w:rFonts w:ascii="Times New Roman" w:hAnsi="Times New Roman" w:cs="Times New Roman" w:hint="eastAsia"/>
          <w:sz w:val="22"/>
        </w:rPr>
        <w:t xml:space="preserve"> </w:t>
      </w:r>
      <w:proofErr w:type="spellStart"/>
      <w:r w:rsidRPr="009A39D9">
        <w:rPr>
          <w:rFonts w:ascii="Times New Roman" w:hAnsi="Times New Roman" w:cs="Times New Roman"/>
          <w:sz w:val="22"/>
        </w:rPr>
        <w:t>Lochstoer</w:t>
      </w:r>
      <w:proofErr w:type="spellEnd"/>
      <w:r w:rsidRPr="009A39D9">
        <w:rPr>
          <w:rFonts w:ascii="Times New Roman" w:hAnsi="Times New Roman" w:cs="Times New Roman"/>
          <w:sz w:val="22"/>
        </w:rPr>
        <w:t>, and Song (2021); and the examination of monetary-fiscal mix regimes explored by Li, Zha,</w:t>
      </w:r>
      <w:r>
        <w:rPr>
          <w:rFonts w:ascii="Times New Roman" w:hAnsi="Times New Roman" w:cs="Times New Roman" w:hint="eastAsia"/>
          <w:sz w:val="22"/>
        </w:rPr>
        <w:t xml:space="preserve"> </w:t>
      </w:r>
      <w:r w:rsidRPr="009A39D9">
        <w:rPr>
          <w:rFonts w:ascii="Times New Roman" w:hAnsi="Times New Roman" w:cs="Times New Roman"/>
          <w:sz w:val="22"/>
        </w:rPr>
        <w:t>Zhang, and Zhou (2022), among others.</w:t>
      </w:r>
    </w:p>
    <w:p w14:paraId="3B421A57" w14:textId="77777777" w:rsidR="008C6EBA" w:rsidRPr="009A39D9" w:rsidRDefault="008C6EBA" w:rsidP="009A39D9">
      <w:pPr>
        <w:wordWrap/>
        <w:adjustRightInd w:val="0"/>
        <w:spacing w:after="0" w:line="360" w:lineRule="auto"/>
        <w:ind w:right="220" w:firstLineChars="50" w:firstLine="110"/>
        <w:rPr>
          <w:rFonts w:ascii="Times New Roman" w:hAnsi="Times New Roman" w:cs="Times New Roman"/>
          <w:sz w:val="22"/>
        </w:rPr>
      </w:pPr>
    </w:p>
    <w:p w14:paraId="31B2E11E" w14:textId="38DC0236" w:rsidR="00AC1D5C" w:rsidRDefault="009A39D9" w:rsidP="008C6EBA">
      <w:pPr>
        <w:wordWrap/>
        <w:adjustRightInd w:val="0"/>
        <w:spacing w:after="0" w:line="360" w:lineRule="auto"/>
        <w:ind w:right="220" w:firstLineChars="50" w:firstLine="110"/>
        <w:rPr>
          <w:rFonts w:ascii="Times New Roman" w:hAnsi="Times New Roman" w:cs="Times New Roman"/>
          <w:sz w:val="22"/>
        </w:rPr>
      </w:pPr>
      <w:r w:rsidRPr="009A39D9">
        <w:rPr>
          <w:rFonts w:ascii="Times New Roman" w:hAnsi="Times New Roman" w:cs="Times New Roman"/>
          <w:sz w:val="22"/>
        </w:rPr>
        <w:t>What sets the current paper apart is its remarkable ability to integrate these popular narratives</w:t>
      </w:r>
      <w:r w:rsidR="008C6EBA">
        <w:rPr>
          <w:rFonts w:ascii="Times New Roman" w:hAnsi="Times New Roman" w:cs="Times New Roman" w:hint="eastAsia"/>
          <w:sz w:val="22"/>
        </w:rPr>
        <w:t xml:space="preserve"> </w:t>
      </w:r>
      <w:r w:rsidRPr="009A39D9">
        <w:rPr>
          <w:rFonts w:ascii="Times New Roman" w:hAnsi="Times New Roman" w:cs="Times New Roman"/>
          <w:sz w:val="22"/>
        </w:rPr>
        <w:t>within a relatively simple unified framework. It adeptly incorporates elements such as the inflation</w:t>
      </w:r>
      <w:r w:rsidR="008C6EBA">
        <w:rPr>
          <w:rFonts w:ascii="Times New Roman" w:hAnsi="Times New Roman" w:cs="Times New Roman" w:hint="eastAsia"/>
          <w:sz w:val="22"/>
        </w:rPr>
        <w:t xml:space="preserve"> </w:t>
      </w:r>
      <w:r w:rsidRPr="009A39D9">
        <w:rPr>
          <w:rFonts w:ascii="Times New Roman" w:hAnsi="Times New Roman" w:cs="Times New Roman"/>
          <w:sz w:val="22"/>
        </w:rPr>
        <w:t>risk</w:t>
      </w:r>
      <w:r w:rsidR="008C6EBA">
        <w:rPr>
          <w:rFonts w:ascii="Times New Roman" w:hAnsi="Times New Roman" w:cs="Times New Roman" w:hint="eastAsia"/>
          <w:sz w:val="22"/>
        </w:rPr>
        <w:t xml:space="preserve"> </w:t>
      </w:r>
      <w:r w:rsidRPr="009A39D9">
        <w:rPr>
          <w:rFonts w:ascii="Times New Roman" w:hAnsi="Times New Roman" w:cs="Times New Roman"/>
          <w:sz w:val="22"/>
        </w:rPr>
        <w:t>narrative through the differentiation of demand versus supply shocks, time-varying risk aversion via</w:t>
      </w:r>
      <w:r w:rsidR="008C6EBA">
        <w:rPr>
          <w:rFonts w:ascii="Times New Roman" w:hAnsi="Times New Roman" w:cs="Times New Roman" w:hint="eastAsia"/>
          <w:sz w:val="22"/>
        </w:rPr>
        <w:t xml:space="preserve"> </w:t>
      </w:r>
      <w:r w:rsidRPr="009A39D9">
        <w:rPr>
          <w:rFonts w:ascii="Times New Roman" w:hAnsi="Times New Roman" w:cs="Times New Roman"/>
          <w:sz w:val="22"/>
        </w:rPr>
        <w:t>habit-formation preferences, adjustments in the persistence of state variables, achieved by calibrating</w:t>
      </w:r>
      <w:r w:rsidR="008C6EBA">
        <w:rPr>
          <w:rFonts w:ascii="Times New Roman" w:hAnsi="Times New Roman" w:cs="Times New Roman" w:hint="eastAsia"/>
          <w:sz w:val="22"/>
        </w:rPr>
        <w:t xml:space="preserve"> </w:t>
      </w:r>
      <w:r w:rsidRPr="009A39D9">
        <w:rPr>
          <w:rFonts w:ascii="Times New Roman" w:hAnsi="Times New Roman" w:cs="Times New Roman"/>
          <w:sz w:val="22"/>
        </w:rPr>
        <w:t>the model for two distinct subperiods, and modifications in the monetary policy rule, all contributing</w:t>
      </w:r>
      <w:r w:rsidR="008C6EBA">
        <w:rPr>
          <w:rFonts w:ascii="Times New Roman" w:hAnsi="Times New Roman" w:cs="Times New Roman" w:hint="eastAsia"/>
          <w:sz w:val="22"/>
        </w:rPr>
        <w:t xml:space="preserve"> </w:t>
      </w:r>
      <w:r w:rsidRPr="009A39D9">
        <w:rPr>
          <w:rFonts w:ascii="Times New Roman" w:hAnsi="Times New Roman" w:cs="Times New Roman"/>
          <w:sz w:val="22"/>
        </w:rPr>
        <w:t>to a comprehensive understanding of bond-stock comovement.</w:t>
      </w:r>
      <w:r w:rsidR="00AC1D5C">
        <w:rPr>
          <w:rFonts w:ascii="Times New Roman" w:hAnsi="Times New Roman" w:cs="Times New Roman"/>
          <w:sz w:val="22"/>
        </w:rPr>
        <w:br w:type="page"/>
      </w:r>
    </w:p>
    <w:p w14:paraId="6B4D9FB1" w14:textId="39F23084" w:rsidR="00D540FC" w:rsidRDefault="00AC1D5C" w:rsidP="00AC1D5C">
      <w:pPr>
        <w:wordWrap/>
        <w:adjustRightInd w:val="0"/>
        <w:spacing w:before="240" w:after="0" w:line="360" w:lineRule="auto"/>
        <w:rPr>
          <w:rFonts w:ascii="Times New Roman" w:hAnsi="Times New Roman" w:cs="Times New Roman"/>
          <w:b/>
          <w:bCs/>
          <w:kern w:val="0"/>
          <w:sz w:val="28"/>
          <w:szCs w:val="28"/>
        </w:rPr>
      </w:pPr>
      <w:r>
        <w:rPr>
          <w:rFonts w:ascii="Times New Roman" w:hAnsi="Times New Roman" w:cs="Times New Roman" w:hint="eastAsia"/>
          <w:b/>
          <w:bCs/>
          <w:kern w:val="0"/>
          <w:sz w:val="28"/>
          <w:szCs w:val="28"/>
        </w:rPr>
        <w:lastRenderedPageBreak/>
        <w:t>Essential points</w:t>
      </w:r>
    </w:p>
    <w:p w14:paraId="53F39EB8" w14:textId="132E0869" w:rsidR="00C62C29" w:rsidRPr="00C62C29" w:rsidRDefault="00C62C29" w:rsidP="00C62C29">
      <w:pPr>
        <w:wordWrap/>
        <w:adjustRightInd w:val="0"/>
        <w:spacing w:before="240" w:after="0" w:line="360" w:lineRule="auto"/>
        <w:rPr>
          <w:rFonts w:ascii="Times New Roman" w:hAnsi="Times New Roman" w:cs="Times New Roman"/>
          <w:kern w:val="0"/>
          <w:sz w:val="22"/>
        </w:rPr>
      </w:pPr>
      <w:r w:rsidRPr="00C62C29">
        <w:rPr>
          <w:rFonts w:ascii="Times New Roman" w:hAnsi="Times New Roman" w:cs="Times New Roman"/>
          <w:kern w:val="0"/>
          <w:sz w:val="22"/>
        </w:rPr>
        <w:t xml:space="preserve">Overall, I believe the paper merits publication in the </w:t>
      </w:r>
      <w:r w:rsidRPr="00C62C29">
        <w:rPr>
          <w:rFonts w:ascii="Times New Roman" w:hAnsi="Times New Roman" w:cs="Times New Roman"/>
          <w:i/>
          <w:iCs/>
          <w:kern w:val="0"/>
          <w:sz w:val="22"/>
        </w:rPr>
        <w:t>Journal of Financial Economics</w:t>
      </w:r>
      <w:r w:rsidRPr="00C62C29">
        <w:rPr>
          <w:rFonts w:ascii="Times New Roman" w:hAnsi="Times New Roman" w:cs="Times New Roman"/>
          <w:kern w:val="0"/>
          <w:sz w:val="22"/>
        </w:rPr>
        <w:t>. While I find</w:t>
      </w:r>
      <w:r>
        <w:rPr>
          <w:rFonts w:ascii="Times New Roman" w:hAnsi="Times New Roman" w:cs="Times New Roman" w:hint="eastAsia"/>
          <w:kern w:val="0"/>
          <w:sz w:val="22"/>
        </w:rPr>
        <w:t xml:space="preserve"> </w:t>
      </w:r>
      <w:r w:rsidRPr="00C62C29">
        <w:rPr>
          <w:rFonts w:ascii="Times New Roman" w:hAnsi="Times New Roman" w:cs="Times New Roman"/>
          <w:kern w:val="0"/>
          <w:sz w:val="22"/>
        </w:rPr>
        <w:t>the current paper already quite clear, I will only raise two relatively minor points.</w:t>
      </w:r>
    </w:p>
    <w:p w14:paraId="09682B4B" w14:textId="23F5D99B" w:rsidR="00C62C29" w:rsidRPr="00C62C29" w:rsidRDefault="00C62C29" w:rsidP="00C62C29">
      <w:pPr>
        <w:wordWrap/>
        <w:adjustRightInd w:val="0"/>
        <w:spacing w:before="240" w:after="0" w:line="360" w:lineRule="auto"/>
        <w:rPr>
          <w:rFonts w:ascii="Times New Roman" w:hAnsi="Times New Roman" w:cs="Times New Roman"/>
          <w:kern w:val="0"/>
          <w:sz w:val="22"/>
        </w:rPr>
      </w:pPr>
      <w:r w:rsidRPr="00C62C29">
        <w:rPr>
          <w:rFonts w:ascii="Times New Roman" w:hAnsi="Times New Roman" w:cs="Times New Roman"/>
          <w:kern w:val="0"/>
          <w:sz w:val="22"/>
        </w:rPr>
        <w:t>Firstly, considering that the paper’s primary contribution focuses on explaining changing bond-stock</w:t>
      </w:r>
      <w:r>
        <w:rPr>
          <w:rFonts w:ascii="Times New Roman" w:hAnsi="Times New Roman" w:cs="Times New Roman" w:hint="eastAsia"/>
          <w:kern w:val="0"/>
          <w:sz w:val="22"/>
        </w:rPr>
        <w:t xml:space="preserve"> </w:t>
      </w:r>
      <w:r w:rsidRPr="00C62C29">
        <w:rPr>
          <w:rFonts w:ascii="Times New Roman" w:hAnsi="Times New Roman" w:cs="Times New Roman"/>
          <w:kern w:val="0"/>
          <w:sz w:val="22"/>
        </w:rPr>
        <w:t>comovement, I recommend that the author provide a more precise explanation of her contribution to</w:t>
      </w:r>
      <w:r>
        <w:rPr>
          <w:rFonts w:ascii="Times New Roman" w:hAnsi="Times New Roman" w:cs="Times New Roman" w:hint="eastAsia"/>
          <w:kern w:val="0"/>
          <w:sz w:val="22"/>
        </w:rPr>
        <w:t xml:space="preserve"> </w:t>
      </w:r>
      <w:r w:rsidRPr="00C62C29">
        <w:rPr>
          <w:rFonts w:ascii="Times New Roman" w:hAnsi="Times New Roman" w:cs="Times New Roman"/>
          <w:kern w:val="0"/>
          <w:sz w:val="22"/>
        </w:rPr>
        <w:t>the literature. Although the author cites most of the papers mentioned above in the paper, many</w:t>
      </w:r>
      <w:r>
        <w:rPr>
          <w:rFonts w:ascii="Times New Roman" w:hAnsi="Times New Roman" w:cs="Times New Roman" w:hint="eastAsia"/>
          <w:kern w:val="0"/>
          <w:sz w:val="22"/>
        </w:rPr>
        <w:t xml:space="preserve"> </w:t>
      </w:r>
      <w:r w:rsidRPr="00C62C29">
        <w:rPr>
          <w:rFonts w:ascii="Times New Roman" w:hAnsi="Times New Roman" w:cs="Times New Roman"/>
          <w:kern w:val="0"/>
          <w:sz w:val="22"/>
        </w:rPr>
        <w:t>of them are relegated to footnotes. For example, among the more pertinent papers, the author’s</w:t>
      </w:r>
      <w:r>
        <w:rPr>
          <w:rFonts w:ascii="Times New Roman" w:hAnsi="Times New Roman" w:cs="Times New Roman" w:hint="eastAsia"/>
          <w:kern w:val="0"/>
          <w:sz w:val="22"/>
        </w:rPr>
        <w:t xml:space="preserve"> </w:t>
      </w:r>
      <w:r w:rsidRPr="00C62C29">
        <w:rPr>
          <w:rFonts w:ascii="Times New Roman" w:hAnsi="Times New Roman" w:cs="Times New Roman"/>
          <w:kern w:val="0"/>
          <w:sz w:val="22"/>
        </w:rPr>
        <w:t>paper undoubtedly presents advancements beyond Song (2017), which also discussed changes in the</w:t>
      </w:r>
      <w:r>
        <w:rPr>
          <w:rFonts w:ascii="Times New Roman" w:hAnsi="Times New Roman" w:cs="Times New Roman" w:hint="eastAsia"/>
          <w:kern w:val="0"/>
          <w:sz w:val="22"/>
        </w:rPr>
        <w:t xml:space="preserve"> </w:t>
      </w:r>
      <w:r w:rsidRPr="00C62C29">
        <w:rPr>
          <w:rFonts w:ascii="Times New Roman" w:hAnsi="Times New Roman" w:cs="Times New Roman"/>
          <w:kern w:val="0"/>
          <w:sz w:val="22"/>
        </w:rPr>
        <w:t xml:space="preserve">monetary policy rule within an endowment economy, and it extends Campbell, Pflueger, and </w:t>
      </w:r>
      <w:proofErr w:type="spellStart"/>
      <w:r w:rsidRPr="00C62C29">
        <w:rPr>
          <w:rFonts w:ascii="Times New Roman" w:hAnsi="Times New Roman" w:cs="Times New Roman"/>
          <w:kern w:val="0"/>
          <w:sz w:val="22"/>
        </w:rPr>
        <w:t>Viceira</w:t>
      </w:r>
      <w:proofErr w:type="spellEnd"/>
      <w:r>
        <w:rPr>
          <w:rFonts w:ascii="Times New Roman" w:hAnsi="Times New Roman" w:cs="Times New Roman" w:hint="eastAsia"/>
          <w:kern w:val="0"/>
          <w:sz w:val="22"/>
        </w:rPr>
        <w:t xml:space="preserve"> </w:t>
      </w:r>
      <w:r w:rsidRPr="00C62C29">
        <w:rPr>
          <w:rFonts w:ascii="Times New Roman" w:hAnsi="Times New Roman" w:cs="Times New Roman"/>
          <w:kern w:val="0"/>
          <w:sz w:val="22"/>
        </w:rPr>
        <w:t>(2020), where the monetary policy rule isn’t specified. None of the production-based papers mentioned</w:t>
      </w:r>
      <w:r>
        <w:rPr>
          <w:rFonts w:ascii="Times New Roman" w:hAnsi="Times New Roman" w:cs="Times New Roman" w:hint="eastAsia"/>
          <w:kern w:val="0"/>
          <w:sz w:val="22"/>
        </w:rPr>
        <w:t xml:space="preserve"> </w:t>
      </w:r>
      <w:r w:rsidRPr="00C62C29">
        <w:rPr>
          <w:rFonts w:ascii="Times New Roman" w:hAnsi="Times New Roman" w:cs="Times New Roman"/>
          <w:kern w:val="0"/>
          <w:sz w:val="22"/>
        </w:rPr>
        <w:t xml:space="preserve">above, such as </w:t>
      </w:r>
      <w:proofErr w:type="spellStart"/>
      <w:r w:rsidRPr="00C62C29">
        <w:rPr>
          <w:rFonts w:ascii="Times New Roman" w:hAnsi="Times New Roman" w:cs="Times New Roman"/>
          <w:kern w:val="0"/>
          <w:sz w:val="22"/>
        </w:rPr>
        <w:t>Gourio</w:t>
      </w:r>
      <w:proofErr w:type="spellEnd"/>
      <w:r w:rsidRPr="00C62C29">
        <w:rPr>
          <w:rFonts w:ascii="Times New Roman" w:hAnsi="Times New Roman" w:cs="Times New Roman"/>
          <w:kern w:val="0"/>
          <w:sz w:val="22"/>
        </w:rPr>
        <w:t xml:space="preserve"> and Ngo (2020), Fang, Liu, and </w:t>
      </w:r>
      <w:proofErr w:type="spellStart"/>
      <w:r w:rsidRPr="00C62C29">
        <w:rPr>
          <w:rFonts w:ascii="Times New Roman" w:hAnsi="Times New Roman" w:cs="Times New Roman"/>
          <w:kern w:val="0"/>
          <w:sz w:val="22"/>
        </w:rPr>
        <w:t>Roussanov</w:t>
      </w:r>
      <w:proofErr w:type="spellEnd"/>
      <w:r w:rsidRPr="00C62C29">
        <w:rPr>
          <w:rFonts w:ascii="Times New Roman" w:hAnsi="Times New Roman" w:cs="Times New Roman"/>
          <w:kern w:val="0"/>
          <w:sz w:val="22"/>
        </w:rPr>
        <w:t xml:space="preserve"> (2022), and Kozak (2022), incorporate</w:t>
      </w:r>
      <w:r>
        <w:rPr>
          <w:rFonts w:ascii="Times New Roman" w:hAnsi="Times New Roman" w:cs="Times New Roman" w:hint="eastAsia"/>
          <w:kern w:val="0"/>
          <w:sz w:val="22"/>
        </w:rPr>
        <w:t xml:space="preserve"> </w:t>
      </w:r>
      <w:r w:rsidRPr="00C62C29">
        <w:rPr>
          <w:rFonts w:ascii="Times New Roman" w:hAnsi="Times New Roman" w:cs="Times New Roman"/>
          <w:kern w:val="0"/>
          <w:sz w:val="22"/>
        </w:rPr>
        <w:t>changes in the monetary policy rule. However, the work of Li, Zha, Zhang, and Zhou (2022) is somewhat</w:t>
      </w:r>
      <w:r>
        <w:rPr>
          <w:rFonts w:ascii="Times New Roman" w:hAnsi="Times New Roman" w:cs="Times New Roman" w:hint="eastAsia"/>
          <w:kern w:val="0"/>
          <w:sz w:val="22"/>
        </w:rPr>
        <w:t xml:space="preserve"> </w:t>
      </w:r>
      <w:r w:rsidRPr="00C62C29">
        <w:rPr>
          <w:rFonts w:ascii="Times New Roman" w:hAnsi="Times New Roman" w:cs="Times New Roman"/>
          <w:kern w:val="0"/>
          <w:sz w:val="22"/>
        </w:rPr>
        <w:t>unclear, as it also explores changes in policy rules, encompassing both monetary and fiscal aspects.</w:t>
      </w:r>
      <w:r>
        <w:rPr>
          <w:rFonts w:ascii="Times New Roman" w:hAnsi="Times New Roman" w:cs="Times New Roman" w:hint="eastAsia"/>
          <w:kern w:val="0"/>
          <w:sz w:val="22"/>
        </w:rPr>
        <w:t xml:space="preserve"> </w:t>
      </w:r>
      <w:r w:rsidRPr="00C62C29">
        <w:rPr>
          <w:rFonts w:ascii="Times New Roman" w:hAnsi="Times New Roman" w:cs="Times New Roman"/>
          <w:kern w:val="0"/>
          <w:sz w:val="22"/>
        </w:rPr>
        <w:t>The distinction may lie in the fact that Li, Zha, Zhang, and Zhou (2022) do not consider changes in</w:t>
      </w:r>
      <w:r>
        <w:rPr>
          <w:rFonts w:ascii="Times New Roman" w:hAnsi="Times New Roman" w:cs="Times New Roman" w:hint="eastAsia"/>
          <w:kern w:val="0"/>
          <w:sz w:val="22"/>
        </w:rPr>
        <w:t xml:space="preserve"> </w:t>
      </w:r>
      <w:r w:rsidRPr="00C62C29">
        <w:rPr>
          <w:rFonts w:ascii="Times New Roman" w:hAnsi="Times New Roman" w:cs="Times New Roman"/>
          <w:kern w:val="0"/>
          <w:sz w:val="22"/>
        </w:rPr>
        <w:t>volatility related to structural shocks. Clarifying both the precise contribution of this paper and that</w:t>
      </w:r>
      <w:r>
        <w:rPr>
          <w:rFonts w:ascii="Times New Roman" w:hAnsi="Times New Roman" w:cs="Times New Roman" w:hint="eastAsia"/>
          <w:kern w:val="0"/>
          <w:sz w:val="22"/>
        </w:rPr>
        <w:t xml:space="preserve"> </w:t>
      </w:r>
      <w:r w:rsidRPr="00C62C29">
        <w:rPr>
          <w:rFonts w:ascii="Times New Roman" w:hAnsi="Times New Roman" w:cs="Times New Roman"/>
          <w:kern w:val="0"/>
          <w:sz w:val="22"/>
        </w:rPr>
        <w:t>of others would be beneficial for readers to comprehend its position in the literature.</w:t>
      </w:r>
    </w:p>
    <w:p w14:paraId="6BB13CD6" w14:textId="6AD132D7" w:rsidR="00A25F61" w:rsidRDefault="00C62C29" w:rsidP="00C62C29">
      <w:pPr>
        <w:wordWrap/>
        <w:adjustRightInd w:val="0"/>
        <w:spacing w:before="240" w:after="0" w:line="360" w:lineRule="auto"/>
        <w:rPr>
          <w:rFonts w:ascii="Times New Roman" w:hAnsi="Times New Roman" w:cs="Times New Roman"/>
          <w:kern w:val="0"/>
          <w:sz w:val="22"/>
        </w:rPr>
      </w:pPr>
      <w:r w:rsidRPr="00C62C29">
        <w:rPr>
          <w:rFonts w:ascii="Times New Roman" w:hAnsi="Times New Roman" w:cs="Times New Roman"/>
          <w:kern w:val="0"/>
          <w:sz w:val="22"/>
        </w:rPr>
        <w:t>Secondly, while I generally agree with the author’s calibration across two periods, denoted as R1</w:t>
      </w:r>
      <w:r w:rsidR="00996099">
        <w:rPr>
          <w:rFonts w:ascii="Times New Roman" w:hAnsi="Times New Roman" w:cs="Times New Roman" w:hint="eastAsia"/>
          <w:kern w:val="0"/>
          <w:sz w:val="22"/>
        </w:rPr>
        <w:t xml:space="preserve"> </w:t>
      </w:r>
      <w:r w:rsidRPr="00C62C29">
        <w:rPr>
          <w:rFonts w:ascii="Times New Roman" w:hAnsi="Times New Roman" w:cs="Times New Roman"/>
          <w:kern w:val="0"/>
          <w:sz w:val="22"/>
        </w:rPr>
        <w:t>and R2 in my report, I recommend that the author provide more discussion regarding the existing</w:t>
      </w:r>
      <w:r w:rsidR="00996099">
        <w:rPr>
          <w:rFonts w:ascii="Times New Roman" w:hAnsi="Times New Roman" w:cs="Times New Roman" w:hint="eastAsia"/>
          <w:kern w:val="0"/>
          <w:sz w:val="22"/>
        </w:rPr>
        <w:t xml:space="preserve"> </w:t>
      </w:r>
      <w:r w:rsidRPr="00C62C29">
        <w:rPr>
          <w:rFonts w:ascii="Times New Roman" w:hAnsi="Times New Roman" w:cs="Times New Roman"/>
          <w:kern w:val="0"/>
          <w:sz w:val="22"/>
        </w:rPr>
        <w:t>macro literature on calibration. The author has touched upon this to some extent in footnote 4,</w:t>
      </w:r>
      <w:r w:rsidR="00996099">
        <w:rPr>
          <w:rFonts w:ascii="Times New Roman" w:hAnsi="Times New Roman" w:cs="Times New Roman" w:hint="eastAsia"/>
          <w:kern w:val="0"/>
          <w:sz w:val="22"/>
        </w:rPr>
        <w:t xml:space="preserve"> </w:t>
      </w:r>
      <w:r w:rsidRPr="00C62C29">
        <w:rPr>
          <w:rFonts w:ascii="Times New Roman" w:hAnsi="Times New Roman" w:cs="Times New Roman"/>
          <w:kern w:val="0"/>
          <w:sz w:val="22"/>
        </w:rPr>
        <w:t>where she discussed the shift to a more inertial monetary policy rule with greater emphasis on output,</w:t>
      </w:r>
      <w:r w:rsidR="00996099">
        <w:rPr>
          <w:rFonts w:ascii="Times New Roman" w:hAnsi="Times New Roman" w:cs="Times New Roman" w:hint="eastAsia"/>
          <w:kern w:val="0"/>
          <w:sz w:val="22"/>
        </w:rPr>
        <w:t xml:space="preserve"> </w:t>
      </w:r>
      <w:r w:rsidRPr="00C62C29">
        <w:rPr>
          <w:rFonts w:ascii="Times New Roman" w:hAnsi="Times New Roman" w:cs="Times New Roman"/>
          <w:kern w:val="0"/>
          <w:sz w:val="22"/>
        </w:rPr>
        <w:t>aligning with anecdotal evidence. However, the part concerning dominant supply shocks in the 80s</w:t>
      </w:r>
      <w:r w:rsidR="00996099">
        <w:rPr>
          <w:rFonts w:ascii="Times New Roman" w:hAnsi="Times New Roman" w:cs="Times New Roman" w:hint="eastAsia"/>
          <w:kern w:val="0"/>
          <w:sz w:val="22"/>
        </w:rPr>
        <w:t xml:space="preserve"> </w:t>
      </w:r>
      <w:r w:rsidRPr="00C62C29">
        <w:rPr>
          <w:rFonts w:ascii="Times New Roman" w:hAnsi="Times New Roman" w:cs="Times New Roman"/>
          <w:kern w:val="0"/>
          <w:sz w:val="22"/>
        </w:rPr>
        <w:t xml:space="preserve">versus demand shocks in the 00s may warrant further discussion. </w:t>
      </w:r>
      <w:proofErr w:type="gramStart"/>
      <w:r w:rsidRPr="00C62C29">
        <w:rPr>
          <w:rFonts w:ascii="Times New Roman" w:hAnsi="Times New Roman" w:cs="Times New Roman"/>
          <w:kern w:val="0"/>
          <w:sz w:val="22"/>
        </w:rPr>
        <w:t>In particular, Table</w:t>
      </w:r>
      <w:proofErr w:type="gramEnd"/>
      <w:r w:rsidRPr="00C62C29">
        <w:rPr>
          <w:rFonts w:ascii="Times New Roman" w:hAnsi="Times New Roman" w:cs="Times New Roman"/>
          <w:kern w:val="0"/>
          <w:sz w:val="22"/>
        </w:rPr>
        <w:t xml:space="preserve"> 1 highlights a</w:t>
      </w:r>
      <w:r w:rsidR="00996099">
        <w:rPr>
          <w:rFonts w:ascii="Times New Roman" w:hAnsi="Times New Roman" w:cs="Times New Roman" w:hint="eastAsia"/>
          <w:kern w:val="0"/>
          <w:sz w:val="22"/>
        </w:rPr>
        <w:t xml:space="preserve"> </w:t>
      </w:r>
      <w:r w:rsidRPr="00C62C29">
        <w:rPr>
          <w:rFonts w:ascii="Times New Roman" w:hAnsi="Times New Roman" w:cs="Times New Roman"/>
          <w:kern w:val="0"/>
          <w:sz w:val="22"/>
        </w:rPr>
        <w:t xml:space="preserve">substantial difference in the magnitudes of volatilities </w:t>
      </w:r>
      <m:oMath>
        <m:sSub>
          <m:sSubPr>
            <m:ctrlPr>
              <w:rPr>
                <w:rFonts w:ascii="Cambria Math" w:hAnsi="Cambria Math" w:cs="Times New Roman"/>
                <w:i/>
                <w:kern w:val="0"/>
                <w:sz w:val="22"/>
              </w:rPr>
            </m:ctrlPr>
          </m:sSubPr>
          <m:e>
            <m:r>
              <m:rPr>
                <m:sty m:val="p"/>
              </m:rPr>
              <w:rPr>
                <w:rFonts w:ascii="Cambria Math" w:hAnsi="Cambria Math" w:cs="Times New Roman"/>
                <w:kern w:val="0"/>
                <w:sz w:val="22"/>
              </w:rPr>
              <m:t>σ</m:t>
            </m:r>
            <m:ctrlPr>
              <w:rPr>
                <w:rFonts w:ascii="Cambria Math" w:hAnsi="Cambria Math" w:cs="Times New Roman"/>
                <w:kern w:val="0"/>
                <w:sz w:val="22"/>
              </w:rPr>
            </m:ctrlPr>
          </m:e>
          <m:sub>
            <m:r>
              <w:rPr>
                <w:rFonts w:ascii="Cambria Math" w:hAnsi="Cambria Math" w:cs="Times New Roman"/>
                <w:kern w:val="0"/>
                <w:sz w:val="22"/>
              </w:rPr>
              <m:t>j</m:t>
            </m:r>
          </m:sub>
        </m:sSub>
      </m:oMath>
      <w:r w:rsidRPr="00C62C29">
        <w:rPr>
          <w:rFonts w:ascii="Times New Roman" w:hAnsi="Times New Roman" w:cs="Times New Roman"/>
          <w:kern w:val="0"/>
          <w:sz w:val="22"/>
        </w:rPr>
        <w:t xml:space="preserve"> for </w:t>
      </w:r>
      <m:oMath>
        <m:r>
          <w:rPr>
            <w:rFonts w:ascii="Cambria Math" w:hAnsi="Cambria Math" w:cs="Times New Roman"/>
            <w:kern w:val="0"/>
            <w:sz w:val="22"/>
          </w:rPr>
          <m:t xml:space="preserve">j </m:t>
        </m:r>
        <m:r>
          <m:rPr>
            <m:sty m:val="p"/>
          </m:rPr>
          <w:rPr>
            <w:rFonts w:ascii="Cambria Math" w:hAnsi="Cambria Math" w:cs="Times New Roman" w:hint="eastAsia"/>
            <w:kern w:val="0"/>
            <w:sz w:val="22"/>
          </w:rPr>
          <m:t>∈</m:t>
        </m:r>
        <m:r>
          <m:rPr>
            <m:lit/>
          </m:rPr>
          <w:rPr>
            <w:rFonts w:ascii="Cambria Math" w:hAnsi="Cambria Math" w:cs="Times New Roman"/>
            <w:kern w:val="0"/>
            <w:sz w:val="22"/>
          </w:rPr>
          <m:t>{</m:t>
        </m:r>
        <m:r>
          <w:rPr>
            <w:rFonts w:ascii="Cambria Math" w:hAnsi="Cambria Math" w:cs="Times New Roman"/>
            <w:kern w:val="0"/>
            <w:sz w:val="22"/>
          </w:rPr>
          <m:t>x,</m:t>
        </m:r>
        <m:r>
          <m:rPr>
            <m:sty m:val="p"/>
          </m:rPr>
          <w:rPr>
            <w:rFonts w:ascii="Cambria Math" w:hAnsi="Cambria Math" w:cs="Times New Roman"/>
            <w:kern w:val="0"/>
            <w:sz w:val="22"/>
          </w:rPr>
          <m:t>π</m:t>
        </m:r>
        <m:r>
          <w:rPr>
            <w:rFonts w:ascii="Cambria Math" w:hAnsi="Cambria Math" w:cs="Times New Roman"/>
            <w:kern w:val="0"/>
            <w:sz w:val="22"/>
          </w:rPr>
          <m:t>, i</m:t>
        </m:r>
        <m:r>
          <m:rPr>
            <m:lit/>
          </m:rPr>
          <w:rPr>
            <w:rFonts w:ascii="Cambria Math" w:hAnsi="Cambria Math" w:cs="Times New Roman"/>
            <w:kern w:val="0"/>
            <w:sz w:val="22"/>
          </w:rPr>
          <m:t>}</m:t>
        </m:r>
      </m:oMath>
      <w:r w:rsidR="00996099">
        <w:rPr>
          <w:rFonts w:ascii="Times New Roman" w:hAnsi="Times New Roman" w:cs="Times New Roman" w:hint="eastAsia"/>
          <w:kern w:val="0"/>
          <w:sz w:val="22"/>
        </w:rPr>
        <w:t xml:space="preserve"> </w:t>
      </w:r>
      <w:r w:rsidRPr="00C62C29">
        <w:rPr>
          <w:rFonts w:ascii="Times New Roman" w:hAnsi="Times New Roman" w:cs="Times New Roman"/>
          <w:kern w:val="0"/>
          <w:sz w:val="22"/>
        </w:rPr>
        <w:t>across the two periods. Two</w:t>
      </w:r>
      <w:r w:rsidR="00996099">
        <w:rPr>
          <w:rFonts w:ascii="Times New Roman" w:hAnsi="Times New Roman" w:cs="Times New Roman" w:hint="eastAsia"/>
          <w:kern w:val="0"/>
          <w:sz w:val="22"/>
        </w:rPr>
        <w:t xml:space="preserve"> </w:t>
      </w:r>
      <w:r w:rsidRPr="00C62C29">
        <w:rPr>
          <w:rFonts w:ascii="Times New Roman" w:hAnsi="Times New Roman" w:cs="Times New Roman"/>
          <w:kern w:val="0"/>
          <w:sz w:val="22"/>
        </w:rPr>
        <w:t xml:space="preserve">notable references, Liu, Waggoner, and Zha (2011) and Bianchi and </w:t>
      </w:r>
      <w:proofErr w:type="spellStart"/>
      <w:r w:rsidRPr="00C62C29">
        <w:rPr>
          <w:rFonts w:ascii="Times New Roman" w:hAnsi="Times New Roman" w:cs="Times New Roman"/>
          <w:kern w:val="0"/>
          <w:sz w:val="22"/>
        </w:rPr>
        <w:t>Ilut</w:t>
      </w:r>
      <w:proofErr w:type="spellEnd"/>
      <w:r w:rsidRPr="00C62C29">
        <w:rPr>
          <w:rFonts w:ascii="Times New Roman" w:hAnsi="Times New Roman" w:cs="Times New Roman"/>
          <w:kern w:val="0"/>
          <w:sz w:val="22"/>
        </w:rPr>
        <w:t xml:space="preserve"> (2017), offer diverse volatility</w:t>
      </w:r>
      <w:r w:rsidR="00996099">
        <w:rPr>
          <w:rFonts w:ascii="Times New Roman" w:hAnsi="Times New Roman" w:cs="Times New Roman" w:hint="eastAsia"/>
          <w:kern w:val="0"/>
          <w:sz w:val="22"/>
        </w:rPr>
        <w:t xml:space="preserve"> </w:t>
      </w:r>
      <w:r w:rsidRPr="00C62C29">
        <w:rPr>
          <w:rFonts w:ascii="Times New Roman" w:hAnsi="Times New Roman" w:cs="Times New Roman"/>
          <w:kern w:val="0"/>
          <w:sz w:val="22"/>
        </w:rPr>
        <w:t>estimates within regime-switching New Keynesian models, both of which are highly cited. However,</w:t>
      </w:r>
      <w:r w:rsidR="00996099">
        <w:rPr>
          <w:rFonts w:ascii="Times New Roman" w:hAnsi="Times New Roman" w:cs="Times New Roman" w:hint="eastAsia"/>
          <w:kern w:val="0"/>
          <w:sz w:val="22"/>
        </w:rPr>
        <w:t xml:space="preserve"> </w:t>
      </w:r>
      <w:r w:rsidRPr="00C62C29">
        <w:rPr>
          <w:rFonts w:ascii="Times New Roman" w:hAnsi="Times New Roman" w:cs="Times New Roman"/>
          <w:kern w:val="0"/>
          <w:sz w:val="22"/>
        </w:rPr>
        <w:t>given the intricacies of their respective frameworks, which incorporate a broader array of structural</w:t>
      </w:r>
      <w:r w:rsidR="00996099">
        <w:rPr>
          <w:rFonts w:ascii="Times New Roman" w:hAnsi="Times New Roman" w:cs="Times New Roman" w:hint="eastAsia"/>
          <w:kern w:val="0"/>
          <w:sz w:val="22"/>
        </w:rPr>
        <w:t xml:space="preserve"> </w:t>
      </w:r>
      <w:r w:rsidRPr="00C62C29">
        <w:rPr>
          <w:rFonts w:ascii="Times New Roman" w:hAnsi="Times New Roman" w:cs="Times New Roman"/>
          <w:kern w:val="0"/>
          <w:sz w:val="22"/>
        </w:rPr>
        <w:t xml:space="preserve">shocks, direct comparisons may be challenging. </w:t>
      </w:r>
      <w:proofErr w:type="gramStart"/>
      <w:r w:rsidRPr="00C62C29">
        <w:rPr>
          <w:rFonts w:ascii="Times New Roman" w:hAnsi="Times New Roman" w:cs="Times New Roman"/>
          <w:kern w:val="0"/>
          <w:sz w:val="22"/>
        </w:rPr>
        <w:t>In light of</w:t>
      </w:r>
      <w:proofErr w:type="gramEnd"/>
      <w:r w:rsidRPr="00C62C29">
        <w:rPr>
          <w:rFonts w:ascii="Times New Roman" w:hAnsi="Times New Roman" w:cs="Times New Roman"/>
          <w:kern w:val="0"/>
          <w:sz w:val="22"/>
        </w:rPr>
        <w:t xml:space="preserve"> this complexity, it becomes imperative</w:t>
      </w:r>
      <w:r w:rsidR="00996099">
        <w:rPr>
          <w:rFonts w:ascii="Times New Roman" w:hAnsi="Times New Roman" w:cs="Times New Roman" w:hint="eastAsia"/>
          <w:kern w:val="0"/>
          <w:sz w:val="22"/>
        </w:rPr>
        <w:t xml:space="preserve"> </w:t>
      </w:r>
      <w:r w:rsidRPr="00C62C29">
        <w:rPr>
          <w:rFonts w:ascii="Times New Roman" w:hAnsi="Times New Roman" w:cs="Times New Roman"/>
          <w:kern w:val="0"/>
          <w:sz w:val="22"/>
        </w:rPr>
        <w:t>for the reader to discern whether the current paper’s calibration, particularly on (P1), aligns broadly</w:t>
      </w:r>
      <w:r w:rsidR="00996099">
        <w:rPr>
          <w:rFonts w:ascii="Times New Roman" w:hAnsi="Times New Roman" w:cs="Times New Roman" w:hint="eastAsia"/>
          <w:kern w:val="0"/>
          <w:sz w:val="22"/>
        </w:rPr>
        <w:t xml:space="preserve"> </w:t>
      </w:r>
      <w:r w:rsidRPr="00C62C29">
        <w:rPr>
          <w:rFonts w:ascii="Times New Roman" w:hAnsi="Times New Roman" w:cs="Times New Roman"/>
          <w:kern w:val="0"/>
          <w:sz w:val="22"/>
        </w:rPr>
        <w:t>with the trends observed in the macro DSGE literature. Should disparities arise, elucidating the</w:t>
      </w:r>
      <w:r w:rsidR="00996099">
        <w:rPr>
          <w:rFonts w:ascii="Times New Roman" w:hAnsi="Times New Roman" w:cs="Times New Roman" w:hint="eastAsia"/>
          <w:kern w:val="0"/>
          <w:sz w:val="22"/>
        </w:rPr>
        <w:t xml:space="preserve"> </w:t>
      </w:r>
      <w:r w:rsidRPr="00C62C29">
        <w:rPr>
          <w:rFonts w:ascii="Times New Roman" w:hAnsi="Times New Roman" w:cs="Times New Roman"/>
          <w:kern w:val="0"/>
          <w:sz w:val="22"/>
        </w:rPr>
        <w:t>rationale behind such deviations becomes essential. This clarity is paramount, especially considering</w:t>
      </w:r>
      <w:r w:rsidR="00996099">
        <w:rPr>
          <w:rFonts w:ascii="Times New Roman" w:hAnsi="Times New Roman" w:cs="Times New Roman" w:hint="eastAsia"/>
          <w:kern w:val="0"/>
          <w:sz w:val="22"/>
        </w:rPr>
        <w:t xml:space="preserve"> </w:t>
      </w:r>
      <w:r w:rsidRPr="00C62C29">
        <w:rPr>
          <w:rFonts w:ascii="Times New Roman" w:hAnsi="Times New Roman" w:cs="Times New Roman"/>
          <w:kern w:val="0"/>
          <w:sz w:val="22"/>
        </w:rPr>
        <w:t>that subsequent counterfactual analyses pivot critically on the calibration values delineated in Table 1.</w:t>
      </w:r>
      <w:r w:rsidR="00A25F61">
        <w:rPr>
          <w:rFonts w:ascii="Times New Roman" w:hAnsi="Times New Roman" w:cs="Times New Roman"/>
          <w:kern w:val="0"/>
          <w:sz w:val="22"/>
        </w:rPr>
        <w:br w:type="page"/>
      </w:r>
    </w:p>
    <w:p w14:paraId="76985830" w14:textId="1479A630" w:rsidR="00AC1D5C" w:rsidRDefault="00A25F61" w:rsidP="00C62C29">
      <w:pPr>
        <w:wordWrap/>
        <w:adjustRightInd w:val="0"/>
        <w:spacing w:before="240" w:after="0" w:line="360" w:lineRule="auto"/>
        <w:rPr>
          <w:rFonts w:ascii="Times New Roman" w:hAnsi="Times New Roman" w:cs="Times New Roman"/>
          <w:b/>
          <w:bCs/>
          <w:kern w:val="0"/>
          <w:sz w:val="28"/>
          <w:szCs w:val="28"/>
        </w:rPr>
      </w:pPr>
      <w:r>
        <w:rPr>
          <w:rFonts w:ascii="Times New Roman" w:hAnsi="Times New Roman" w:cs="Times New Roman" w:hint="eastAsia"/>
          <w:b/>
          <w:bCs/>
          <w:kern w:val="0"/>
          <w:sz w:val="28"/>
          <w:szCs w:val="28"/>
        </w:rPr>
        <w:lastRenderedPageBreak/>
        <w:t>References</w:t>
      </w:r>
    </w:p>
    <w:p w14:paraId="296942B2" w14:textId="78535853" w:rsidR="00A25F61" w:rsidRPr="00A25F61" w:rsidRDefault="00A25F61" w:rsidP="00A25F61">
      <w:pPr>
        <w:wordWrap/>
        <w:adjustRightInd w:val="0"/>
        <w:spacing w:before="240" w:after="0" w:line="360" w:lineRule="auto"/>
        <w:ind w:left="110" w:hangingChars="50" w:hanging="110"/>
        <w:rPr>
          <w:rFonts w:ascii="Times New Roman" w:hAnsi="Times New Roman" w:cs="Times New Roman"/>
          <w:kern w:val="0"/>
          <w:sz w:val="22"/>
        </w:rPr>
      </w:pPr>
      <w:r w:rsidRPr="00A25F61">
        <w:rPr>
          <w:rFonts w:ascii="Times New Roman" w:hAnsi="Times New Roman" w:cs="Times New Roman"/>
          <w:kern w:val="0"/>
          <w:sz w:val="22"/>
        </w:rPr>
        <w:t xml:space="preserve">Baele, Lieven, Geert Bekaert, and Koen </w:t>
      </w:r>
      <w:proofErr w:type="spellStart"/>
      <w:r w:rsidRPr="00A25F61">
        <w:rPr>
          <w:rFonts w:ascii="Times New Roman" w:hAnsi="Times New Roman" w:cs="Times New Roman"/>
          <w:kern w:val="0"/>
          <w:sz w:val="22"/>
        </w:rPr>
        <w:t>Inghelbrecht</w:t>
      </w:r>
      <w:proofErr w:type="spellEnd"/>
      <w:r w:rsidRPr="00A25F61">
        <w:rPr>
          <w:rFonts w:ascii="Times New Roman" w:hAnsi="Times New Roman" w:cs="Times New Roman"/>
          <w:kern w:val="0"/>
          <w:sz w:val="22"/>
        </w:rPr>
        <w:t>, 2010, The Determinants of Stock and Bond</w:t>
      </w:r>
      <w:r>
        <w:rPr>
          <w:rFonts w:ascii="Times New Roman" w:hAnsi="Times New Roman" w:cs="Times New Roman" w:hint="eastAsia"/>
          <w:kern w:val="0"/>
          <w:sz w:val="22"/>
        </w:rPr>
        <w:t xml:space="preserve"> </w:t>
      </w:r>
      <w:r w:rsidRPr="00A25F61">
        <w:rPr>
          <w:rFonts w:ascii="Times New Roman" w:hAnsi="Times New Roman" w:cs="Times New Roman"/>
          <w:kern w:val="0"/>
          <w:sz w:val="22"/>
        </w:rPr>
        <w:t xml:space="preserve">Return </w:t>
      </w:r>
      <w:proofErr w:type="spellStart"/>
      <w:r w:rsidRPr="00A25F61">
        <w:rPr>
          <w:rFonts w:ascii="Times New Roman" w:hAnsi="Times New Roman" w:cs="Times New Roman"/>
          <w:kern w:val="0"/>
          <w:sz w:val="22"/>
        </w:rPr>
        <w:t>Comovements</w:t>
      </w:r>
      <w:proofErr w:type="spellEnd"/>
      <w:r w:rsidRPr="00A25F61">
        <w:rPr>
          <w:rFonts w:ascii="Times New Roman" w:hAnsi="Times New Roman" w:cs="Times New Roman"/>
          <w:kern w:val="0"/>
          <w:sz w:val="22"/>
        </w:rPr>
        <w:t>,</w:t>
      </w:r>
      <w:r w:rsidRPr="00A25F61">
        <w:rPr>
          <w:rFonts w:ascii="Times New Roman" w:hAnsi="Times New Roman" w:cs="Times New Roman"/>
          <w:i/>
          <w:iCs/>
          <w:kern w:val="0"/>
          <w:sz w:val="22"/>
        </w:rPr>
        <w:t xml:space="preserve"> The Review of Financial Studies</w:t>
      </w:r>
      <w:r w:rsidRPr="00A25F61">
        <w:rPr>
          <w:rFonts w:ascii="Times New Roman" w:hAnsi="Times New Roman" w:cs="Times New Roman"/>
          <w:kern w:val="0"/>
          <w:sz w:val="22"/>
        </w:rPr>
        <w:t xml:space="preserve"> 23, 2374–2428.</w:t>
      </w:r>
    </w:p>
    <w:p w14:paraId="4BDE9C22" w14:textId="067C31B3" w:rsidR="00A25F61" w:rsidRPr="00A25F61" w:rsidRDefault="00A25F61" w:rsidP="00A25F61">
      <w:pPr>
        <w:wordWrap/>
        <w:adjustRightInd w:val="0"/>
        <w:spacing w:before="240" w:after="0" w:line="360" w:lineRule="auto"/>
        <w:ind w:left="110" w:hangingChars="50" w:hanging="110"/>
        <w:rPr>
          <w:rFonts w:ascii="Times New Roman" w:hAnsi="Times New Roman" w:cs="Times New Roman"/>
          <w:kern w:val="0"/>
          <w:sz w:val="22"/>
        </w:rPr>
      </w:pPr>
      <w:r w:rsidRPr="00A25F61">
        <w:rPr>
          <w:rFonts w:ascii="Times New Roman" w:hAnsi="Times New Roman" w:cs="Times New Roman"/>
          <w:kern w:val="0"/>
          <w:sz w:val="22"/>
        </w:rPr>
        <w:t xml:space="preserve">Bianchi, Francesco, and Cosmin </w:t>
      </w:r>
      <w:proofErr w:type="spellStart"/>
      <w:r w:rsidRPr="00A25F61">
        <w:rPr>
          <w:rFonts w:ascii="Times New Roman" w:hAnsi="Times New Roman" w:cs="Times New Roman"/>
          <w:kern w:val="0"/>
          <w:sz w:val="22"/>
        </w:rPr>
        <w:t>Ilut</w:t>
      </w:r>
      <w:proofErr w:type="spellEnd"/>
      <w:r w:rsidRPr="00A25F61">
        <w:rPr>
          <w:rFonts w:ascii="Times New Roman" w:hAnsi="Times New Roman" w:cs="Times New Roman"/>
          <w:kern w:val="0"/>
          <w:sz w:val="22"/>
        </w:rPr>
        <w:t xml:space="preserve">, 2017, Monetary/Fiscal policy mix and agents’ beliefs, </w:t>
      </w:r>
      <w:r w:rsidRPr="00A25F61">
        <w:rPr>
          <w:rFonts w:ascii="Times New Roman" w:hAnsi="Times New Roman" w:cs="Times New Roman"/>
          <w:i/>
          <w:iCs/>
          <w:kern w:val="0"/>
          <w:sz w:val="22"/>
        </w:rPr>
        <w:t>Review of</w:t>
      </w:r>
      <w:r w:rsidRPr="00A25F61">
        <w:rPr>
          <w:rFonts w:ascii="Times New Roman" w:hAnsi="Times New Roman" w:cs="Times New Roman" w:hint="eastAsia"/>
          <w:i/>
          <w:iCs/>
          <w:kern w:val="0"/>
          <w:sz w:val="22"/>
        </w:rPr>
        <w:t xml:space="preserve"> </w:t>
      </w:r>
      <w:r w:rsidRPr="00A25F61">
        <w:rPr>
          <w:rFonts w:ascii="Times New Roman" w:hAnsi="Times New Roman" w:cs="Times New Roman"/>
          <w:i/>
          <w:iCs/>
          <w:kern w:val="0"/>
          <w:sz w:val="22"/>
        </w:rPr>
        <w:t>Economic Dynamics</w:t>
      </w:r>
      <w:r w:rsidRPr="00A25F61">
        <w:rPr>
          <w:rFonts w:ascii="Times New Roman" w:hAnsi="Times New Roman" w:cs="Times New Roman"/>
          <w:kern w:val="0"/>
          <w:sz w:val="22"/>
        </w:rPr>
        <w:t xml:space="preserve"> 26, 113–139.</w:t>
      </w:r>
    </w:p>
    <w:p w14:paraId="690F3441" w14:textId="00137C35" w:rsidR="00A25F61" w:rsidRPr="00A25F61" w:rsidRDefault="00A25F61" w:rsidP="00002EEC">
      <w:pPr>
        <w:wordWrap/>
        <w:adjustRightInd w:val="0"/>
        <w:spacing w:before="240" w:after="0" w:line="360" w:lineRule="auto"/>
        <w:ind w:left="110" w:hangingChars="50" w:hanging="110"/>
        <w:rPr>
          <w:rFonts w:ascii="Times New Roman" w:hAnsi="Times New Roman" w:cs="Times New Roman"/>
          <w:kern w:val="0"/>
          <w:sz w:val="22"/>
        </w:rPr>
      </w:pPr>
      <w:r w:rsidRPr="00A25F61">
        <w:rPr>
          <w:rFonts w:ascii="Times New Roman" w:hAnsi="Times New Roman" w:cs="Times New Roman"/>
          <w:kern w:val="0"/>
          <w:sz w:val="22"/>
        </w:rPr>
        <w:t xml:space="preserve">Campbell, John Y., Carolin Pflueger, and Luis M. </w:t>
      </w:r>
      <w:proofErr w:type="spellStart"/>
      <w:r w:rsidRPr="00A25F61">
        <w:rPr>
          <w:rFonts w:ascii="Times New Roman" w:hAnsi="Times New Roman" w:cs="Times New Roman"/>
          <w:kern w:val="0"/>
          <w:sz w:val="22"/>
        </w:rPr>
        <w:t>Viceira</w:t>
      </w:r>
      <w:proofErr w:type="spellEnd"/>
      <w:r w:rsidRPr="00A25F61">
        <w:rPr>
          <w:rFonts w:ascii="Times New Roman" w:hAnsi="Times New Roman" w:cs="Times New Roman"/>
          <w:kern w:val="0"/>
          <w:sz w:val="22"/>
        </w:rPr>
        <w:t>, 2020, Macroeconomic Drivers of Bond and</w:t>
      </w:r>
      <w:r w:rsidR="00002EEC">
        <w:rPr>
          <w:rFonts w:ascii="Times New Roman" w:hAnsi="Times New Roman" w:cs="Times New Roman" w:hint="eastAsia"/>
          <w:kern w:val="0"/>
          <w:sz w:val="22"/>
        </w:rPr>
        <w:t xml:space="preserve"> </w:t>
      </w:r>
      <w:r w:rsidRPr="00A25F61">
        <w:rPr>
          <w:rFonts w:ascii="Times New Roman" w:hAnsi="Times New Roman" w:cs="Times New Roman"/>
          <w:kern w:val="0"/>
          <w:sz w:val="22"/>
        </w:rPr>
        <w:t xml:space="preserve">Equity Risks, </w:t>
      </w:r>
      <w:r w:rsidRPr="00002EEC">
        <w:rPr>
          <w:rFonts w:ascii="Times New Roman" w:hAnsi="Times New Roman" w:cs="Times New Roman"/>
          <w:i/>
          <w:iCs/>
          <w:kern w:val="0"/>
          <w:sz w:val="22"/>
        </w:rPr>
        <w:t>Journal of Political Economy</w:t>
      </w:r>
      <w:r w:rsidRPr="00A25F61">
        <w:rPr>
          <w:rFonts w:ascii="Times New Roman" w:hAnsi="Times New Roman" w:cs="Times New Roman"/>
          <w:kern w:val="0"/>
          <w:sz w:val="22"/>
        </w:rPr>
        <w:t xml:space="preserve"> 128, 3148–3185.</w:t>
      </w:r>
    </w:p>
    <w:p w14:paraId="549A030E" w14:textId="0690BEF8" w:rsidR="00A25F61" w:rsidRPr="00A25F61" w:rsidRDefault="00A25F61" w:rsidP="00002EEC">
      <w:pPr>
        <w:wordWrap/>
        <w:adjustRightInd w:val="0"/>
        <w:spacing w:before="240" w:after="0" w:line="360" w:lineRule="auto"/>
        <w:ind w:left="110" w:hangingChars="50" w:hanging="110"/>
        <w:rPr>
          <w:rFonts w:ascii="Times New Roman" w:hAnsi="Times New Roman" w:cs="Times New Roman"/>
          <w:kern w:val="0"/>
          <w:sz w:val="22"/>
        </w:rPr>
      </w:pPr>
      <w:r w:rsidRPr="00A25F61">
        <w:rPr>
          <w:rFonts w:ascii="Times New Roman" w:hAnsi="Times New Roman" w:cs="Times New Roman"/>
          <w:kern w:val="0"/>
          <w:sz w:val="22"/>
        </w:rPr>
        <w:t xml:space="preserve">Chernov, Mikhail, Lars A </w:t>
      </w:r>
      <w:proofErr w:type="spellStart"/>
      <w:r w:rsidRPr="00A25F61">
        <w:rPr>
          <w:rFonts w:ascii="Times New Roman" w:hAnsi="Times New Roman" w:cs="Times New Roman"/>
          <w:kern w:val="0"/>
          <w:sz w:val="22"/>
        </w:rPr>
        <w:t>Lochstoer</w:t>
      </w:r>
      <w:proofErr w:type="spellEnd"/>
      <w:r w:rsidRPr="00A25F61">
        <w:rPr>
          <w:rFonts w:ascii="Times New Roman" w:hAnsi="Times New Roman" w:cs="Times New Roman"/>
          <w:kern w:val="0"/>
          <w:sz w:val="22"/>
        </w:rPr>
        <w:t xml:space="preserve">, and </w:t>
      </w:r>
      <w:proofErr w:type="spellStart"/>
      <w:r w:rsidRPr="00A25F61">
        <w:rPr>
          <w:rFonts w:ascii="Times New Roman" w:hAnsi="Times New Roman" w:cs="Times New Roman"/>
          <w:kern w:val="0"/>
          <w:sz w:val="22"/>
        </w:rPr>
        <w:t>Dongho</w:t>
      </w:r>
      <w:proofErr w:type="spellEnd"/>
      <w:r w:rsidRPr="00A25F61">
        <w:rPr>
          <w:rFonts w:ascii="Times New Roman" w:hAnsi="Times New Roman" w:cs="Times New Roman"/>
          <w:kern w:val="0"/>
          <w:sz w:val="22"/>
        </w:rPr>
        <w:t xml:space="preserve"> Song, 2021, The Real Channel for Nominal Bond-Stock Puzzles, Working Paper 29085 National Bureau of Economic Research.</w:t>
      </w:r>
    </w:p>
    <w:p w14:paraId="05D8B8D5" w14:textId="2AB10395" w:rsidR="00A25F61" w:rsidRPr="00A25F61" w:rsidRDefault="00A25F61" w:rsidP="00002EEC">
      <w:pPr>
        <w:wordWrap/>
        <w:adjustRightInd w:val="0"/>
        <w:spacing w:before="240" w:after="0" w:line="360" w:lineRule="auto"/>
        <w:ind w:left="110" w:hangingChars="50" w:hanging="110"/>
        <w:rPr>
          <w:rFonts w:ascii="Times New Roman" w:hAnsi="Times New Roman" w:cs="Times New Roman"/>
          <w:kern w:val="0"/>
          <w:sz w:val="22"/>
        </w:rPr>
      </w:pPr>
      <w:r w:rsidRPr="00A25F61">
        <w:rPr>
          <w:rFonts w:ascii="Times New Roman" w:hAnsi="Times New Roman" w:cs="Times New Roman"/>
          <w:kern w:val="0"/>
          <w:sz w:val="22"/>
        </w:rPr>
        <w:t>David, Alexander, and Pietro Veronesi, 2013, What Ties Return Volatilities to Price Valuations and</w:t>
      </w:r>
      <w:r w:rsidR="00002EEC">
        <w:rPr>
          <w:rFonts w:ascii="Times New Roman" w:hAnsi="Times New Roman" w:cs="Times New Roman" w:hint="eastAsia"/>
          <w:kern w:val="0"/>
          <w:sz w:val="22"/>
        </w:rPr>
        <w:t xml:space="preserve"> </w:t>
      </w:r>
      <w:proofErr w:type="gramStart"/>
      <w:r w:rsidRPr="00A25F61">
        <w:rPr>
          <w:rFonts w:ascii="Times New Roman" w:hAnsi="Times New Roman" w:cs="Times New Roman"/>
          <w:kern w:val="0"/>
          <w:sz w:val="22"/>
        </w:rPr>
        <w:t>Fundamentals?,</w:t>
      </w:r>
      <w:proofErr w:type="gramEnd"/>
      <w:r w:rsidRPr="00A25F61">
        <w:rPr>
          <w:rFonts w:ascii="Times New Roman" w:hAnsi="Times New Roman" w:cs="Times New Roman"/>
          <w:kern w:val="0"/>
          <w:sz w:val="22"/>
        </w:rPr>
        <w:t xml:space="preserve"> </w:t>
      </w:r>
      <w:r w:rsidRPr="00002EEC">
        <w:rPr>
          <w:rFonts w:ascii="Times New Roman" w:hAnsi="Times New Roman" w:cs="Times New Roman"/>
          <w:i/>
          <w:iCs/>
          <w:kern w:val="0"/>
          <w:sz w:val="22"/>
        </w:rPr>
        <w:t>Journal of Political Economy</w:t>
      </w:r>
      <w:r w:rsidRPr="00A25F61">
        <w:rPr>
          <w:rFonts w:ascii="Times New Roman" w:hAnsi="Times New Roman" w:cs="Times New Roman"/>
          <w:kern w:val="0"/>
          <w:sz w:val="22"/>
        </w:rPr>
        <w:t xml:space="preserve"> 121, 682–746.</w:t>
      </w:r>
    </w:p>
    <w:p w14:paraId="7B024844" w14:textId="5D27D94B" w:rsidR="00A25F61" w:rsidRPr="00A25F61" w:rsidRDefault="00A25F61" w:rsidP="00636D2E">
      <w:pPr>
        <w:wordWrap/>
        <w:adjustRightInd w:val="0"/>
        <w:spacing w:before="240" w:after="0" w:line="360" w:lineRule="auto"/>
        <w:ind w:left="110" w:hangingChars="50" w:hanging="110"/>
        <w:rPr>
          <w:rFonts w:ascii="Times New Roman" w:hAnsi="Times New Roman" w:cs="Times New Roman"/>
          <w:kern w:val="0"/>
          <w:sz w:val="22"/>
        </w:rPr>
      </w:pPr>
      <w:r w:rsidRPr="00A25F61">
        <w:rPr>
          <w:rFonts w:ascii="Times New Roman" w:hAnsi="Times New Roman" w:cs="Times New Roman"/>
          <w:kern w:val="0"/>
          <w:sz w:val="22"/>
        </w:rPr>
        <w:t xml:space="preserve">Fang, Xiang, Yang Liu, and Nikolai </w:t>
      </w:r>
      <w:proofErr w:type="spellStart"/>
      <w:r w:rsidRPr="00A25F61">
        <w:rPr>
          <w:rFonts w:ascii="Times New Roman" w:hAnsi="Times New Roman" w:cs="Times New Roman"/>
          <w:kern w:val="0"/>
          <w:sz w:val="22"/>
        </w:rPr>
        <w:t>Roussanov</w:t>
      </w:r>
      <w:proofErr w:type="spellEnd"/>
      <w:r w:rsidRPr="00A25F61">
        <w:rPr>
          <w:rFonts w:ascii="Times New Roman" w:hAnsi="Times New Roman" w:cs="Times New Roman"/>
          <w:kern w:val="0"/>
          <w:sz w:val="22"/>
        </w:rPr>
        <w:t>, 2022, Getting to the Core: Inflation Risks Within and</w:t>
      </w:r>
      <w:r w:rsidR="00636D2E">
        <w:rPr>
          <w:rFonts w:ascii="Times New Roman" w:hAnsi="Times New Roman" w:cs="Times New Roman" w:hint="eastAsia"/>
          <w:kern w:val="0"/>
          <w:sz w:val="22"/>
        </w:rPr>
        <w:t xml:space="preserve"> </w:t>
      </w:r>
      <w:r w:rsidRPr="00A25F61">
        <w:rPr>
          <w:rFonts w:ascii="Times New Roman" w:hAnsi="Times New Roman" w:cs="Times New Roman"/>
          <w:kern w:val="0"/>
          <w:sz w:val="22"/>
        </w:rPr>
        <w:t>Across Asset Classes, Working Paper 30169 National Bureau of Economic Research.</w:t>
      </w:r>
    </w:p>
    <w:p w14:paraId="61271D29" w14:textId="00FA48A7" w:rsidR="00A25F61" w:rsidRPr="00A25F61" w:rsidRDefault="00A25F61" w:rsidP="00636D2E">
      <w:pPr>
        <w:wordWrap/>
        <w:adjustRightInd w:val="0"/>
        <w:spacing w:before="240" w:after="0" w:line="360" w:lineRule="auto"/>
        <w:ind w:left="110" w:hangingChars="50" w:hanging="110"/>
        <w:rPr>
          <w:rFonts w:ascii="Times New Roman" w:hAnsi="Times New Roman" w:cs="Times New Roman"/>
          <w:kern w:val="0"/>
          <w:sz w:val="22"/>
        </w:rPr>
      </w:pPr>
      <w:proofErr w:type="spellStart"/>
      <w:r w:rsidRPr="00A25F61">
        <w:rPr>
          <w:rFonts w:ascii="Times New Roman" w:hAnsi="Times New Roman" w:cs="Times New Roman"/>
          <w:kern w:val="0"/>
          <w:sz w:val="22"/>
        </w:rPr>
        <w:t>Gourio</w:t>
      </w:r>
      <w:proofErr w:type="spellEnd"/>
      <w:r w:rsidRPr="00A25F61">
        <w:rPr>
          <w:rFonts w:ascii="Times New Roman" w:hAnsi="Times New Roman" w:cs="Times New Roman"/>
          <w:kern w:val="0"/>
          <w:sz w:val="22"/>
        </w:rPr>
        <w:t>, Francois, and Phuong Ngo, 2020, Risk premia at the ZLB: A macroeconomic interpretation,</w:t>
      </w:r>
      <w:r w:rsidR="00636D2E">
        <w:rPr>
          <w:rFonts w:ascii="Times New Roman" w:hAnsi="Times New Roman" w:cs="Times New Roman" w:hint="eastAsia"/>
          <w:kern w:val="0"/>
          <w:sz w:val="22"/>
        </w:rPr>
        <w:t xml:space="preserve"> </w:t>
      </w:r>
      <w:r w:rsidRPr="00A25F61">
        <w:rPr>
          <w:rFonts w:ascii="Times New Roman" w:hAnsi="Times New Roman" w:cs="Times New Roman"/>
          <w:kern w:val="0"/>
          <w:sz w:val="22"/>
        </w:rPr>
        <w:t>Federal Reserve Bank of Chicago Working Paper 2020-01.</w:t>
      </w:r>
    </w:p>
    <w:p w14:paraId="0F7D167A" w14:textId="3ED0B1F9" w:rsidR="00A25F61" w:rsidRPr="00A25F61" w:rsidRDefault="00A25F61" w:rsidP="00A25F61">
      <w:pPr>
        <w:wordWrap/>
        <w:adjustRightInd w:val="0"/>
        <w:spacing w:before="240" w:after="0" w:line="360" w:lineRule="auto"/>
        <w:rPr>
          <w:rFonts w:ascii="Times New Roman" w:hAnsi="Times New Roman" w:cs="Times New Roman"/>
          <w:kern w:val="0"/>
          <w:sz w:val="22"/>
        </w:rPr>
      </w:pPr>
      <w:r w:rsidRPr="00A25F61">
        <w:rPr>
          <w:rFonts w:ascii="Times New Roman" w:hAnsi="Times New Roman" w:cs="Times New Roman"/>
          <w:kern w:val="0"/>
          <w:sz w:val="22"/>
        </w:rPr>
        <w:t xml:space="preserve">Kozak, Serhiy, 2022, Dynamics of bond and stock returns, </w:t>
      </w:r>
      <w:r w:rsidRPr="00D86B96">
        <w:rPr>
          <w:rFonts w:ascii="Times New Roman" w:hAnsi="Times New Roman" w:cs="Times New Roman"/>
          <w:i/>
          <w:iCs/>
          <w:kern w:val="0"/>
          <w:sz w:val="22"/>
        </w:rPr>
        <w:t>Journal of Monetary Economics</w:t>
      </w:r>
      <w:r w:rsidRPr="00A25F61">
        <w:rPr>
          <w:rFonts w:ascii="Times New Roman" w:hAnsi="Times New Roman" w:cs="Times New Roman"/>
          <w:kern w:val="0"/>
          <w:sz w:val="22"/>
        </w:rPr>
        <w:t xml:space="preserve"> 126,</w:t>
      </w:r>
      <w:r w:rsidR="00D86B96">
        <w:rPr>
          <w:rFonts w:ascii="Times New Roman" w:hAnsi="Times New Roman" w:cs="Times New Roman" w:hint="eastAsia"/>
          <w:kern w:val="0"/>
          <w:sz w:val="22"/>
        </w:rPr>
        <w:t xml:space="preserve"> </w:t>
      </w:r>
      <w:r w:rsidRPr="00A25F61">
        <w:rPr>
          <w:rFonts w:ascii="Times New Roman" w:hAnsi="Times New Roman" w:cs="Times New Roman"/>
          <w:kern w:val="0"/>
          <w:sz w:val="22"/>
        </w:rPr>
        <w:t>188–209.</w:t>
      </w:r>
    </w:p>
    <w:p w14:paraId="4CD411D9" w14:textId="77777777" w:rsidR="00A25F61" w:rsidRPr="00A25F61" w:rsidRDefault="00A25F61" w:rsidP="00A25F61">
      <w:pPr>
        <w:wordWrap/>
        <w:adjustRightInd w:val="0"/>
        <w:spacing w:before="240" w:after="0" w:line="360" w:lineRule="auto"/>
        <w:rPr>
          <w:rFonts w:ascii="Times New Roman" w:hAnsi="Times New Roman" w:cs="Times New Roman"/>
          <w:kern w:val="0"/>
          <w:sz w:val="22"/>
        </w:rPr>
      </w:pPr>
      <w:proofErr w:type="spellStart"/>
      <w:r w:rsidRPr="00A25F61">
        <w:rPr>
          <w:rFonts w:ascii="Times New Roman" w:hAnsi="Times New Roman" w:cs="Times New Roman"/>
          <w:kern w:val="0"/>
          <w:sz w:val="22"/>
        </w:rPr>
        <w:t>Laarits</w:t>
      </w:r>
      <w:proofErr w:type="spellEnd"/>
      <w:r w:rsidRPr="00A25F61">
        <w:rPr>
          <w:rFonts w:ascii="Times New Roman" w:hAnsi="Times New Roman" w:cs="Times New Roman"/>
          <w:kern w:val="0"/>
          <w:sz w:val="22"/>
        </w:rPr>
        <w:t>, Toomas, 2022, Precautionary savings and the stock-bond covariance, Manuscript.</w:t>
      </w:r>
    </w:p>
    <w:p w14:paraId="492E10F3" w14:textId="5F552FF7" w:rsidR="00A25F61" w:rsidRPr="00A25F61" w:rsidRDefault="00A25F61" w:rsidP="00D86B96">
      <w:pPr>
        <w:wordWrap/>
        <w:adjustRightInd w:val="0"/>
        <w:spacing w:before="240" w:after="0" w:line="360" w:lineRule="auto"/>
        <w:ind w:left="110" w:hangingChars="50" w:hanging="110"/>
        <w:rPr>
          <w:rFonts w:ascii="Times New Roman" w:hAnsi="Times New Roman" w:cs="Times New Roman"/>
          <w:kern w:val="0"/>
          <w:sz w:val="22"/>
        </w:rPr>
      </w:pPr>
      <w:r w:rsidRPr="00A25F61">
        <w:rPr>
          <w:rFonts w:ascii="Times New Roman" w:hAnsi="Times New Roman" w:cs="Times New Roman"/>
          <w:kern w:val="0"/>
          <w:sz w:val="22"/>
        </w:rPr>
        <w:t>Li, Erica X.N., Tao Zha, Ji Zhang, and Hao Zhou, 2022, Does fiscal policy matter for stock-bond return</w:t>
      </w:r>
      <w:r w:rsidR="00D86B96">
        <w:rPr>
          <w:rFonts w:ascii="Times New Roman" w:hAnsi="Times New Roman" w:cs="Times New Roman" w:hint="eastAsia"/>
          <w:kern w:val="0"/>
          <w:sz w:val="22"/>
        </w:rPr>
        <w:t xml:space="preserve"> </w:t>
      </w:r>
      <w:proofErr w:type="gramStart"/>
      <w:r w:rsidRPr="00A25F61">
        <w:rPr>
          <w:rFonts w:ascii="Times New Roman" w:hAnsi="Times New Roman" w:cs="Times New Roman"/>
          <w:kern w:val="0"/>
          <w:sz w:val="22"/>
        </w:rPr>
        <w:t>correlation?,</w:t>
      </w:r>
      <w:proofErr w:type="gramEnd"/>
      <w:r w:rsidRPr="00A25F61">
        <w:rPr>
          <w:rFonts w:ascii="Times New Roman" w:hAnsi="Times New Roman" w:cs="Times New Roman"/>
          <w:kern w:val="0"/>
          <w:sz w:val="22"/>
        </w:rPr>
        <w:t xml:space="preserve"> </w:t>
      </w:r>
      <w:r w:rsidRPr="00D86B96">
        <w:rPr>
          <w:rFonts w:ascii="Times New Roman" w:hAnsi="Times New Roman" w:cs="Times New Roman"/>
          <w:i/>
          <w:iCs/>
          <w:kern w:val="0"/>
          <w:sz w:val="22"/>
        </w:rPr>
        <w:t>Journal of Monetary Economics</w:t>
      </w:r>
      <w:r w:rsidRPr="00A25F61">
        <w:rPr>
          <w:rFonts w:ascii="Times New Roman" w:hAnsi="Times New Roman" w:cs="Times New Roman"/>
          <w:kern w:val="0"/>
          <w:sz w:val="22"/>
        </w:rPr>
        <w:t xml:space="preserve"> 128, 20–34.</w:t>
      </w:r>
    </w:p>
    <w:p w14:paraId="32181F6F" w14:textId="720F2A57" w:rsidR="00A25F61" w:rsidRPr="00A25F61" w:rsidRDefault="00A25F61" w:rsidP="00D86B96">
      <w:pPr>
        <w:wordWrap/>
        <w:adjustRightInd w:val="0"/>
        <w:spacing w:before="240" w:after="0" w:line="360" w:lineRule="auto"/>
        <w:ind w:left="110" w:hangingChars="50" w:hanging="110"/>
        <w:rPr>
          <w:rFonts w:ascii="Times New Roman" w:hAnsi="Times New Roman" w:cs="Times New Roman"/>
          <w:kern w:val="0"/>
          <w:sz w:val="22"/>
        </w:rPr>
      </w:pPr>
      <w:r w:rsidRPr="00A25F61">
        <w:rPr>
          <w:rFonts w:ascii="Times New Roman" w:hAnsi="Times New Roman" w:cs="Times New Roman"/>
          <w:kern w:val="0"/>
          <w:sz w:val="22"/>
        </w:rPr>
        <w:t>Liu, Zheng, Daniel F. Waggoner, and Tao Zha, 2011, Sources of macroeconomic fluctuations: A regime</w:t>
      </w:r>
      <w:r w:rsidR="00D86B96">
        <w:rPr>
          <w:rFonts w:ascii="Times New Roman" w:hAnsi="Times New Roman" w:cs="Times New Roman" w:hint="eastAsia"/>
          <w:kern w:val="0"/>
          <w:sz w:val="22"/>
        </w:rPr>
        <w:t>-</w:t>
      </w:r>
      <w:r w:rsidRPr="00A25F61">
        <w:rPr>
          <w:rFonts w:ascii="Times New Roman" w:hAnsi="Times New Roman" w:cs="Times New Roman"/>
          <w:kern w:val="0"/>
          <w:sz w:val="22"/>
        </w:rPr>
        <w:t>switching</w:t>
      </w:r>
      <w:r w:rsidR="00D86B96">
        <w:rPr>
          <w:rFonts w:ascii="Times New Roman" w:hAnsi="Times New Roman" w:cs="Times New Roman" w:hint="eastAsia"/>
          <w:kern w:val="0"/>
          <w:sz w:val="22"/>
        </w:rPr>
        <w:t xml:space="preserve"> </w:t>
      </w:r>
      <w:r w:rsidRPr="00A25F61">
        <w:rPr>
          <w:rFonts w:ascii="Times New Roman" w:hAnsi="Times New Roman" w:cs="Times New Roman"/>
          <w:kern w:val="0"/>
          <w:sz w:val="22"/>
        </w:rPr>
        <w:t xml:space="preserve">DSGE approach, </w:t>
      </w:r>
      <w:r w:rsidRPr="00D86B96">
        <w:rPr>
          <w:rFonts w:ascii="Times New Roman" w:hAnsi="Times New Roman" w:cs="Times New Roman"/>
          <w:i/>
          <w:iCs/>
          <w:kern w:val="0"/>
          <w:sz w:val="22"/>
        </w:rPr>
        <w:t>Quantitative Economics</w:t>
      </w:r>
      <w:r w:rsidRPr="00A25F61">
        <w:rPr>
          <w:rFonts w:ascii="Times New Roman" w:hAnsi="Times New Roman" w:cs="Times New Roman"/>
          <w:kern w:val="0"/>
          <w:sz w:val="22"/>
        </w:rPr>
        <w:t xml:space="preserve"> 2, 251–301.</w:t>
      </w:r>
    </w:p>
    <w:p w14:paraId="1A15BF28" w14:textId="627488E6" w:rsidR="00A25F61" w:rsidRPr="00A25F61" w:rsidRDefault="00A25F61" w:rsidP="00D86B96">
      <w:pPr>
        <w:wordWrap/>
        <w:adjustRightInd w:val="0"/>
        <w:spacing w:before="240" w:after="0" w:line="360" w:lineRule="auto"/>
        <w:ind w:left="110" w:hangingChars="50" w:hanging="110"/>
        <w:rPr>
          <w:rFonts w:ascii="Times New Roman" w:hAnsi="Times New Roman" w:cs="Times New Roman"/>
          <w:kern w:val="0"/>
          <w:sz w:val="22"/>
        </w:rPr>
      </w:pPr>
      <w:r w:rsidRPr="00A25F61">
        <w:rPr>
          <w:rFonts w:ascii="Times New Roman" w:hAnsi="Times New Roman" w:cs="Times New Roman"/>
          <w:kern w:val="0"/>
          <w:sz w:val="22"/>
        </w:rPr>
        <w:t>Pflueger, Carolin, and Gianluca Rinaldi, 2022, Why does the Fed move markets so much? A model of</w:t>
      </w:r>
      <w:r w:rsidR="00D86B96">
        <w:rPr>
          <w:rFonts w:ascii="Times New Roman" w:hAnsi="Times New Roman" w:cs="Times New Roman" w:hint="eastAsia"/>
          <w:kern w:val="0"/>
          <w:sz w:val="22"/>
        </w:rPr>
        <w:t xml:space="preserve"> </w:t>
      </w:r>
      <w:r w:rsidRPr="00A25F61">
        <w:rPr>
          <w:rFonts w:ascii="Times New Roman" w:hAnsi="Times New Roman" w:cs="Times New Roman"/>
          <w:kern w:val="0"/>
          <w:sz w:val="22"/>
        </w:rPr>
        <w:t xml:space="preserve">monetary policy and time-varying risk aversion, </w:t>
      </w:r>
      <w:r w:rsidRPr="00D86B96">
        <w:rPr>
          <w:rFonts w:ascii="Times New Roman" w:hAnsi="Times New Roman" w:cs="Times New Roman"/>
          <w:i/>
          <w:iCs/>
          <w:kern w:val="0"/>
          <w:sz w:val="22"/>
        </w:rPr>
        <w:t>Journal of Financial Economics</w:t>
      </w:r>
      <w:r w:rsidRPr="00A25F61">
        <w:rPr>
          <w:rFonts w:ascii="Times New Roman" w:hAnsi="Times New Roman" w:cs="Times New Roman"/>
          <w:kern w:val="0"/>
          <w:sz w:val="22"/>
        </w:rPr>
        <w:t xml:space="preserve"> 146, 71–89.</w:t>
      </w:r>
    </w:p>
    <w:p w14:paraId="25B445C1" w14:textId="521068A5" w:rsidR="00A25F61" w:rsidRPr="00A25F61" w:rsidRDefault="00A25F61" w:rsidP="00D86B96">
      <w:pPr>
        <w:wordWrap/>
        <w:adjustRightInd w:val="0"/>
        <w:spacing w:before="240" w:after="0" w:line="360" w:lineRule="auto"/>
        <w:ind w:left="110" w:hangingChars="50" w:hanging="110"/>
        <w:rPr>
          <w:rFonts w:ascii="Times New Roman" w:hAnsi="Times New Roman" w:cs="Times New Roman"/>
          <w:kern w:val="0"/>
          <w:sz w:val="22"/>
        </w:rPr>
      </w:pPr>
      <w:r w:rsidRPr="00A25F61">
        <w:rPr>
          <w:rFonts w:ascii="Times New Roman" w:hAnsi="Times New Roman" w:cs="Times New Roman"/>
          <w:kern w:val="0"/>
          <w:sz w:val="22"/>
        </w:rPr>
        <w:t xml:space="preserve">Song, </w:t>
      </w:r>
      <w:proofErr w:type="spellStart"/>
      <w:r w:rsidRPr="00A25F61">
        <w:rPr>
          <w:rFonts w:ascii="Times New Roman" w:hAnsi="Times New Roman" w:cs="Times New Roman"/>
          <w:kern w:val="0"/>
          <w:sz w:val="22"/>
        </w:rPr>
        <w:t>Dongho</w:t>
      </w:r>
      <w:proofErr w:type="spellEnd"/>
      <w:r w:rsidRPr="00A25F61">
        <w:rPr>
          <w:rFonts w:ascii="Times New Roman" w:hAnsi="Times New Roman" w:cs="Times New Roman"/>
          <w:kern w:val="0"/>
          <w:sz w:val="22"/>
        </w:rPr>
        <w:t xml:space="preserve">, 2017, Bond Market Exposures to Macroeconomic and Monetary Policy Risks, </w:t>
      </w:r>
      <w:r w:rsidRPr="00D86B96">
        <w:rPr>
          <w:rFonts w:ascii="Times New Roman" w:hAnsi="Times New Roman" w:cs="Times New Roman"/>
          <w:i/>
          <w:iCs/>
          <w:kern w:val="0"/>
          <w:sz w:val="22"/>
        </w:rPr>
        <w:t>Review</w:t>
      </w:r>
      <w:r w:rsidR="00D86B96" w:rsidRPr="00D86B96">
        <w:rPr>
          <w:rFonts w:ascii="Times New Roman" w:hAnsi="Times New Roman" w:cs="Times New Roman" w:hint="eastAsia"/>
          <w:i/>
          <w:iCs/>
          <w:kern w:val="0"/>
          <w:sz w:val="22"/>
        </w:rPr>
        <w:t xml:space="preserve"> </w:t>
      </w:r>
      <w:r w:rsidRPr="00D86B96">
        <w:rPr>
          <w:rFonts w:ascii="Times New Roman" w:hAnsi="Times New Roman" w:cs="Times New Roman"/>
          <w:i/>
          <w:iCs/>
          <w:kern w:val="0"/>
          <w:sz w:val="22"/>
        </w:rPr>
        <w:t>of Financial Studies</w:t>
      </w:r>
      <w:r w:rsidRPr="00A25F61">
        <w:rPr>
          <w:rFonts w:ascii="Times New Roman" w:hAnsi="Times New Roman" w:cs="Times New Roman"/>
          <w:kern w:val="0"/>
          <w:sz w:val="22"/>
        </w:rPr>
        <w:t xml:space="preserve"> 30, 2761–2817.</w:t>
      </w:r>
    </w:p>
    <w:sectPr w:rsidR="00A25F61" w:rsidRPr="00A25F61" w:rsidSect="003929B8">
      <w:pgSz w:w="11906" w:h="16838"/>
      <w:pgMar w:top="1440" w:right="1080" w:bottom="1440" w:left="108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F7B25CD"/>
    <w:multiLevelType w:val="hybridMultilevel"/>
    <w:tmpl w:val="02140EBC"/>
    <w:lvl w:ilvl="0" w:tplc="FFFFFFFF">
      <w:start w:val="1"/>
      <w:numFmt w:val="decimal"/>
      <w:lvlText w:val="%1."/>
      <w:lvlJc w:val="left"/>
      <w:pPr>
        <w:ind w:left="1240" w:hanging="440"/>
      </w:pPr>
    </w:lvl>
    <w:lvl w:ilvl="1" w:tplc="04090001">
      <w:start w:val="1"/>
      <w:numFmt w:val="bullet"/>
      <w:lvlText w:val=""/>
      <w:lvlJc w:val="left"/>
      <w:pPr>
        <w:ind w:left="1680" w:hanging="440"/>
      </w:pPr>
      <w:rPr>
        <w:rFonts w:ascii="Wingdings" w:hAnsi="Wingdings" w:hint="default"/>
      </w:rPr>
    </w:lvl>
    <w:lvl w:ilvl="2" w:tplc="FFFFFFFF" w:tentative="1">
      <w:start w:val="1"/>
      <w:numFmt w:val="lowerRoman"/>
      <w:lvlText w:val="%3."/>
      <w:lvlJc w:val="right"/>
      <w:pPr>
        <w:ind w:left="2120" w:hanging="440"/>
      </w:pPr>
    </w:lvl>
    <w:lvl w:ilvl="3" w:tplc="FFFFFFFF" w:tentative="1">
      <w:start w:val="1"/>
      <w:numFmt w:val="decimal"/>
      <w:lvlText w:val="%4."/>
      <w:lvlJc w:val="left"/>
      <w:pPr>
        <w:ind w:left="2560" w:hanging="440"/>
      </w:pPr>
    </w:lvl>
    <w:lvl w:ilvl="4" w:tplc="FFFFFFFF" w:tentative="1">
      <w:start w:val="1"/>
      <w:numFmt w:val="upperLetter"/>
      <w:lvlText w:val="%5."/>
      <w:lvlJc w:val="left"/>
      <w:pPr>
        <w:ind w:left="3000" w:hanging="440"/>
      </w:pPr>
    </w:lvl>
    <w:lvl w:ilvl="5" w:tplc="FFFFFFFF" w:tentative="1">
      <w:start w:val="1"/>
      <w:numFmt w:val="lowerRoman"/>
      <w:lvlText w:val="%6."/>
      <w:lvlJc w:val="right"/>
      <w:pPr>
        <w:ind w:left="3440" w:hanging="440"/>
      </w:pPr>
    </w:lvl>
    <w:lvl w:ilvl="6" w:tplc="FFFFFFFF" w:tentative="1">
      <w:start w:val="1"/>
      <w:numFmt w:val="decimal"/>
      <w:lvlText w:val="%7."/>
      <w:lvlJc w:val="left"/>
      <w:pPr>
        <w:ind w:left="3880" w:hanging="440"/>
      </w:pPr>
    </w:lvl>
    <w:lvl w:ilvl="7" w:tplc="FFFFFFFF" w:tentative="1">
      <w:start w:val="1"/>
      <w:numFmt w:val="upperLetter"/>
      <w:lvlText w:val="%8."/>
      <w:lvlJc w:val="left"/>
      <w:pPr>
        <w:ind w:left="4320" w:hanging="440"/>
      </w:pPr>
    </w:lvl>
    <w:lvl w:ilvl="8" w:tplc="FFFFFFFF" w:tentative="1">
      <w:start w:val="1"/>
      <w:numFmt w:val="lowerRoman"/>
      <w:lvlText w:val="%9."/>
      <w:lvlJc w:val="right"/>
      <w:pPr>
        <w:ind w:left="4760" w:hanging="440"/>
      </w:pPr>
    </w:lvl>
  </w:abstractNum>
  <w:abstractNum w:abstractNumId="1" w15:restartNumberingAfterBreak="0">
    <w:nsid w:val="67EA5134"/>
    <w:multiLevelType w:val="hybridMultilevel"/>
    <w:tmpl w:val="F3DAA84C"/>
    <w:lvl w:ilvl="0" w:tplc="0409000F">
      <w:start w:val="1"/>
      <w:numFmt w:val="decimal"/>
      <w:lvlText w:val="%1."/>
      <w:lvlJc w:val="left"/>
      <w:pPr>
        <w:ind w:left="1240" w:hanging="440"/>
      </w:pPr>
    </w:lvl>
    <w:lvl w:ilvl="1" w:tplc="04090019">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2" w15:restartNumberingAfterBreak="0">
    <w:nsid w:val="6CC6253B"/>
    <w:multiLevelType w:val="hybridMultilevel"/>
    <w:tmpl w:val="2662C242"/>
    <w:lvl w:ilvl="0" w:tplc="0409000F">
      <w:start w:val="1"/>
      <w:numFmt w:val="decimal"/>
      <w:lvlText w:val="%1."/>
      <w:lvlJc w:val="left"/>
      <w:pPr>
        <w:ind w:left="1280" w:hanging="440"/>
      </w:pPr>
    </w:lvl>
    <w:lvl w:ilvl="1" w:tplc="04090019" w:tentative="1">
      <w:start w:val="1"/>
      <w:numFmt w:val="upperLetter"/>
      <w:lvlText w:val="%2."/>
      <w:lvlJc w:val="left"/>
      <w:pPr>
        <w:ind w:left="1720" w:hanging="440"/>
      </w:pPr>
    </w:lvl>
    <w:lvl w:ilvl="2" w:tplc="0409001B" w:tentative="1">
      <w:start w:val="1"/>
      <w:numFmt w:val="lowerRoman"/>
      <w:lvlText w:val="%3."/>
      <w:lvlJc w:val="right"/>
      <w:pPr>
        <w:ind w:left="2160" w:hanging="440"/>
      </w:pPr>
    </w:lvl>
    <w:lvl w:ilvl="3" w:tplc="0409000F" w:tentative="1">
      <w:start w:val="1"/>
      <w:numFmt w:val="decimal"/>
      <w:lvlText w:val="%4."/>
      <w:lvlJc w:val="left"/>
      <w:pPr>
        <w:ind w:left="2600" w:hanging="440"/>
      </w:pPr>
    </w:lvl>
    <w:lvl w:ilvl="4" w:tplc="04090019" w:tentative="1">
      <w:start w:val="1"/>
      <w:numFmt w:val="upperLetter"/>
      <w:lvlText w:val="%5."/>
      <w:lvlJc w:val="left"/>
      <w:pPr>
        <w:ind w:left="3040" w:hanging="440"/>
      </w:pPr>
    </w:lvl>
    <w:lvl w:ilvl="5" w:tplc="0409001B" w:tentative="1">
      <w:start w:val="1"/>
      <w:numFmt w:val="lowerRoman"/>
      <w:lvlText w:val="%6."/>
      <w:lvlJc w:val="right"/>
      <w:pPr>
        <w:ind w:left="3480" w:hanging="440"/>
      </w:pPr>
    </w:lvl>
    <w:lvl w:ilvl="6" w:tplc="0409000F" w:tentative="1">
      <w:start w:val="1"/>
      <w:numFmt w:val="decimal"/>
      <w:lvlText w:val="%7."/>
      <w:lvlJc w:val="left"/>
      <w:pPr>
        <w:ind w:left="3920" w:hanging="440"/>
      </w:pPr>
    </w:lvl>
    <w:lvl w:ilvl="7" w:tplc="04090019" w:tentative="1">
      <w:start w:val="1"/>
      <w:numFmt w:val="upperLetter"/>
      <w:lvlText w:val="%8."/>
      <w:lvlJc w:val="left"/>
      <w:pPr>
        <w:ind w:left="4360" w:hanging="440"/>
      </w:pPr>
    </w:lvl>
    <w:lvl w:ilvl="8" w:tplc="0409001B" w:tentative="1">
      <w:start w:val="1"/>
      <w:numFmt w:val="lowerRoman"/>
      <w:lvlText w:val="%9."/>
      <w:lvlJc w:val="right"/>
      <w:pPr>
        <w:ind w:left="4800" w:hanging="440"/>
      </w:pPr>
    </w:lvl>
  </w:abstractNum>
  <w:abstractNum w:abstractNumId="3" w15:restartNumberingAfterBreak="0">
    <w:nsid w:val="7BAE0BC1"/>
    <w:multiLevelType w:val="hybridMultilevel"/>
    <w:tmpl w:val="4E20B4A8"/>
    <w:lvl w:ilvl="0" w:tplc="04090001">
      <w:start w:val="1"/>
      <w:numFmt w:val="bullet"/>
      <w:lvlText w:val=""/>
      <w:lvlJc w:val="left"/>
      <w:pPr>
        <w:ind w:left="1280" w:hanging="440"/>
      </w:pPr>
      <w:rPr>
        <w:rFonts w:ascii="Wingdings" w:hAnsi="Wingdings" w:hint="default"/>
      </w:rPr>
    </w:lvl>
    <w:lvl w:ilvl="1" w:tplc="04090003" w:tentative="1">
      <w:start w:val="1"/>
      <w:numFmt w:val="bullet"/>
      <w:lvlText w:val=""/>
      <w:lvlJc w:val="left"/>
      <w:pPr>
        <w:ind w:left="1720" w:hanging="440"/>
      </w:pPr>
      <w:rPr>
        <w:rFonts w:ascii="Wingdings" w:hAnsi="Wingdings" w:hint="default"/>
      </w:rPr>
    </w:lvl>
    <w:lvl w:ilvl="2" w:tplc="04090005" w:tentative="1">
      <w:start w:val="1"/>
      <w:numFmt w:val="bullet"/>
      <w:lvlText w:val=""/>
      <w:lvlJc w:val="left"/>
      <w:pPr>
        <w:ind w:left="2160" w:hanging="440"/>
      </w:pPr>
      <w:rPr>
        <w:rFonts w:ascii="Wingdings" w:hAnsi="Wingdings" w:hint="default"/>
      </w:rPr>
    </w:lvl>
    <w:lvl w:ilvl="3" w:tplc="04090001" w:tentative="1">
      <w:start w:val="1"/>
      <w:numFmt w:val="bullet"/>
      <w:lvlText w:val=""/>
      <w:lvlJc w:val="left"/>
      <w:pPr>
        <w:ind w:left="2600" w:hanging="440"/>
      </w:pPr>
      <w:rPr>
        <w:rFonts w:ascii="Wingdings" w:hAnsi="Wingdings" w:hint="default"/>
      </w:rPr>
    </w:lvl>
    <w:lvl w:ilvl="4" w:tplc="04090003" w:tentative="1">
      <w:start w:val="1"/>
      <w:numFmt w:val="bullet"/>
      <w:lvlText w:val=""/>
      <w:lvlJc w:val="left"/>
      <w:pPr>
        <w:ind w:left="3040" w:hanging="440"/>
      </w:pPr>
      <w:rPr>
        <w:rFonts w:ascii="Wingdings" w:hAnsi="Wingdings" w:hint="default"/>
      </w:rPr>
    </w:lvl>
    <w:lvl w:ilvl="5" w:tplc="04090005" w:tentative="1">
      <w:start w:val="1"/>
      <w:numFmt w:val="bullet"/>
      <w:lvlText w:val=""/>
      <w:lvlJc w:val="left"/>
      <w:pPr>
        <w:ind w:left="3480" w:hanging="440"/>
      </w:pPr>
      <w:rPr>
        <w:rFonts w:ascii="Wingdings" w:hAnsi="Wingdings" w:hint="default"/>
      </w:rPr>
    </w:lvl>
    <w:lvl w:ilvl="6" w:tplc="04090001" w:tentative="1">
      <w:start w:val="1"/>
      <w:numFmt w:val="bullet"/>
      <w:lvlText w:val=""/>
      <w:lvlJc w:val="left"/>
      <w:pPr>
        <w:ind w:left="3920" w:hanging="440"/>
      </w:pPr>
      <w:rPr>
        <w:rFonts w:ascii="Wingdings" w:hAnsi="Wingdings" w:hint="default"/>
      </w:rPr>
    </w:lvl>
    <w:lvl w:ilvl="7" w:tplc="04090003" w:tentative="1">
      <w:start w:val="1"/>
      <w:numFmt w:val="bullet"/>
      <w:lvlText w:val=""/>
      <w:lvlJc w:val="left"/>
      <w:pPr>
        <w:ind w:left="4360" w:hanging="440"/>
      </w:pPr>
      <w:rPr>
        <w:rFonts w:ascii="Wingdings" w:hAnsi="Wingdings" w:hint="default"/>
      </w:rPr>
    </w:lvl>
    <w:lvl w:ilvl="8" w:tplc="04090005" w:tentative="1">
      <w:start w:val="1"/>
      <w:numFmt w:val="bullet"/>
      <w:lvlText w:val=""/>
      <w:lvlJc w:val="left"/>
      <w:pPr>
        <w:ind w:left="4800" w:hanging="440"/>
      </w:pPr>
      <w:rPr>
        <w:rFonts w:ascii="Wingdings" w:hAnsi="Wingdings" w:hint="default"/>
      </w:rPr>
    </w:lvl>
  </w:abstractNum>
  <w:num w:numId="1" w16cid:durableId="1786580024">
    <w:abstractNumId w:val="2"/>
  </w:num>
  <w:num w:numId="2" w16cid:durableId="230964070">
    <w:abstractNumId w:val="3"/>
  </w:num>
  <w:num w:numId="3" w16cid:durableId="283970682">
    <w:abstractNumId w:val="1"/>
  </w:num>
  <w:num w:numId="4" w16cid:durableId="1800805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9AF"/>
    <w:rsid w:val="00002EEC"/>
    <w:rsid w:val="000B0DA1"/>
    <w:rsid w:val="001A3DF9"/>
    <w:rsid w:val="001C2337"/>
    <w:rsid w:val="002815E7"/>
    <w:rsid w:val="002C13F1"/>
    <w:rsid w:val="002D1823"/>
    <w:rsid w:val="002E58C2"/>
    <w:rsid w:val="00382313"/>
    <w:rsid w:val="003929B8"/>
    <w:rsid w:val="003B69AF"/>
    <w:rsid w:val="004B7E61"/>
    <w:rsid w:val="00624FAA"/>
    <w:rsid w:val="00636D2E"/>
    <w:rsid w:val="007D1377"/>
    <w:rsid w:val="00803F87"/>
    <w:rsid w:val="00836512"/>
    <w:rsid w:val="008C6EBA"/>
    <w:rsid w:val="008E61DE"/>
    <w:rsid w:val="00996099"/>
    <w:rsid w:val="009A39D9"/>
    <w:rsid w:val="00A25F61"/>
    <w:rsid w:val="00A3611F"/>
    <w:rsid w:val="00AC1D5C"/>
    <w:rsid w:val="00BA24A1"/>
    <w:rsid w:val="00BC16BF"/>
    <w:rsid w:val="00C62C29"/>
    <w:rsid w:val="00D540FC"/>
    <w:rsid w:val="00D66649"/>
    <w:rsid w:val="00D86B96"/>
    <w:rsid w:val="00DE3F85"/>
    <w:rsid w:val="00E11FBF"/>
    <w:rsid w:val="00E17587"/>
    <w:rsid w:val="00E55935"/>
    <w:rsid w:val="00E6049A"/>
    <w:rsid w:val="00E90B75"/>
    <w:rsid w:val="00EB42EF"/>
    <w:rsid w:val="00ED50BA"/>
    <w:rsid w:val="00F1480E"/>
    <w:rsid w:val="00F9128C"/>
    <w:rsid w:val="00FB50FC"/>
    <w:rsid w:val="00FF60C4"/>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E6EEC8"/>
  <w15:chartTrackingRefBased/>
  <w15:docId w15:val="{62599E1D-2B92-4FC3-8EF7-0BF839B22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1">
    <w:name w:val="heading 1"/>
    <w:basedOn w:val="Normal"/>
    <w:next w:val="Normal"/>
    <w:link w:val="Heading1Char"/>
    <w:uiPriority w:val="9"/>
    <w:qFormat/>
    <w:rsid w:val="003B69A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3B69A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3B69AF"/>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Heading4">
    <w:name w:val="heading 4"/>
    <w:basedOn w:val="Normal"/>
    <w:next w:val="Normal"/>
    <w:link w:val="Heading4Char"/>
    <w:uiPriority w:val="9"/>
    <w:semiHidden/>
    <w:unhideWhenUsed/>
    <w:qFormat/>
    <w:rsid w:val="003B69AF"/>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3B69A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3B69A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3B69A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3B69A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3B69A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9AF"/>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3B69AF"/>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3B69AF"/>
    <w:rPr>
      <w:rFonts w:asciiTheme="majorHAnsi" w:eastAsiaTheme="majorEastAsia" w:hAnsiTheme="majorHAnsi" w:cstheme="majorBidi"/>
      <w:color w:val="000000" w:themeColor="text1"/>
      <w:sz w:val="24"/>
      <w:szCs w:val="24"/>
    </w:rPr>
  </w:style>
  <w:style w:type="character" w:customStyle="1" w:styleId="Heading4Char">
    <w:name w:val="Heading 4 Char"/>
    <w:basedOn w:val="DefaultParagraphFont"/>
    <w:link w:val="Heading4"/>
    <w:uiPriority w:val="9"/>
    <w:semiHidden/>
    <w:rsid w:val="003B69AF"/>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3B69AF"/>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3B69AF"/>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3B69AF"/>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3B69AF"/>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3B69AF"/>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3B69A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9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9A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9AF"/>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3B69AF"/>
    <w:pPr>
      <w:spacing w:before="160"/>
      <w:jc w:val="center"/>
    </w:pPr>
    <w:rPr>
      <w:i/>
      <w:iCs/>
      <w:color w:val="404040" w:themeColor="text1" w:themeTint="BF"/>
    </w:rPr>
  </w:style>
  <w:style w:type="character" w:customStyle="1" w:styleId="QuoteChar">
    <w:name w:val="Quote Char"/>
    <w:basedOn w:val="DefaultParagraphFont"/>
    <w:link w:val="Quote"/>
    <w:uiPriority w:val="29"/>
    <w:rsid w:val="003B69AF"/>
    <w:rPr>
      <w:i/>
      <w:iCs/>
      <w:color w:val="404040" w:themeColor="text1" w:themeTint="BF"/>
    </w:rPr>
  </w:style>
  <w:style w:type="paragraph" w:styleId="ListParagraph">
    <w:name w:val="List Paragraph"/>
    <w:basedOn w:val="Normal"/>
    <w:uiPriority w:val="34"/>
    <w:qFormat/>
    <w:rsid w:val="003B69AF"/>
    <w:pPr>
      <w:ind w:left="720"/>
      <w:contextualSpacing/>
    </w:pPr>
  </w:style>
  <w:style w:type="character" w:styleId="IntenseEmphasis">
    <w:name w:val="Intense Emphasis"/>
    <w:basedOn w:val="DefaultParagraphFont"/>
    <w:uiPriority w:val="21"/>
    <w:qFormat/>
    <w:rsid w:val="003B69AF"/>
    <w:rPr>
      <w:i/>
      <w:iCs/>
      <w:color w:val="2F5496" w:themeColor="accent1" w:themeShade="BF"/>
    </w:rPr>
  </w:style>
  <w:style w:type="paragraph" w:styleId="IntenseQuote">
    <w:name w:val="Intense Quote"/>
    <w:basedOn w:val="Normal"/>
    <w:next w:val="Normal"/>
    <w:link w:val="IntenseQuoteChar"/>
    <w:uiPriority w:val="30"/>
    <w:qFormat/>
    <w:rsid w:val="003B69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B69AF"/>
    <w:rPr>
      <w:i/>
      <w:iCs/>
      <w:color w:val="2F5496" w:themeColor="accent1" w:themeShade="BF"/>
    </w:rPr>
  </w:style>
  <w:style w:type="character" w:styleId="IntenseReference">
    <w:name w:val="Intense Reference"/>
    <w:basedOn w:val="DefaultParagraphFont"/>
    <w:uiPriority w:val="32"/>
    <w:qFormat/>
    <w:rsid w:val="003B69AF"/>
    <w:rPr>
      <w:b/>
      <w:bCs/>
      <w:smallCaps/>
      <w:color w:val="2F5496" w:themeColor="accent1" w:themeShade="BF"/>
      <w:spacing w:val="5"/>
    </w:rPr>
  </w:style>
  <w:style w:type="character" w:styleId="PlaceholderText">
    <w:name w:val="Placeholder Text"/>
    <w:basedOn w:val="DefaultParagraphFont"/>
    <w:uiPriority w:val="99"/>
    <w:semiHidden/>
    <w:rsid w:val="00F9128C"/>
    <w:rPr>
      <w:color w:val="666666"/>
    </w:rPr>
  </w:style>
  <w:style w:type="table" w:styleId="TableGrid">
    <w:name w:val="Table Grid"/>
    <w:basedOn w:val="TableNormal"/>
    <w:uiPriority w:val="39"/>
    <w:rsid w:val="001A3D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1229</TotalTime>
  <Pages>4</Pages>
  <Words>1358</Words>
  <Characters>7747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Riley Seunghye Shin</dc:creator>
  <cp:keywords/>
  <dc:description/>
  <cp:lastModifiedBy>Carolin Pflueger</cp:lastModifiedBy>
  <cp:revision>28</cp:revision>
  <dcterms:created xsi:type="dcterms:W3CDTF">2024-06-24T08:06:00Z</dcterms:created>
  <dcterms:modified xsi:type="dcterms:W3CDTF">2024-09-13T13:58:00Z</dcterms:modified>
</cp:coreProperties>
</file>