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FD81" w14:textId="06CF05FD" w:rsidR="00CE0A5F" w:rsidRPr="00E81D4B" w:rsidRDefault="00CE0A5F"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Dear </w:t>
      </w:r>
      <w:r w:rsidR="0037624F" w:rsidRPr="00E81D4B">
        <w:rPr>
          <w:rFonts w:ascii="Times New Roman" w:hAnsi="Times New Roman" w:cs="Times New Roman"/>
          <w:color w:val="0000FF"/>
        </w:rPr>
        <w:t>Professor</w:t>
      </w:r>
      <w:r w:rsidR="007B5A17" w:rsidRPr="00E81D4B">
        <w:rPr>
          <w:rFonts w:ascii="Times New Roman" w:hAnsi="Times New Roman" w:cs="Times New Roman"/>
          <w:color w:val="0000FF"/>
        </w:rPr>
        <w:t xml:space="preserve"> Whited</w:t>
      </w:r>
      <w:r w:rsidR="007C3211" w:rsidRPr="00E81D4B">
        <w:rPr>
          <w:rFonts w:ascii="Times New Roman" w:hAnsi="Times New Roman" w:cs="Times New Roman"/>
          <w:color w:val="0000FF"/>
        </w:rPr>
        <w:t>,</w:t>
      </w:r>
      <w:r w:rsidRPr="00E81D4B">
        <w:rPr>
          <w:rFonts w:ascii="Times New Roman" w:hAnsi="Times New Roman" w:cs="Times New Roman"/>
          <w:color w:val="0000FF"/>
        </w:rPr>
        <w:t xml:space="preserve"> </w:t>
      </w:r>
    </w:p>
    <w:p w14:paraId="5B228463" w14:textId="77777777" w:rsidR="00E81D4B" w:rsidRPr="00E81D4B" w:rsidRDefault="00E81D4B" w:rsidP="00E81D4B">
      <w:pPr>
        <w:spacing w:after="0" w:line="240" w:lineRule="auto"/>
        <w:jc w:val="both"/>
        <w:rPr>
          <w:rFonts w:ascii="Times New Roman" w:hAnsi="Times New Roman" w:cs="Times New Roman"/>
          <w:color w:val="0000FF"/>
        </w:rPr>
      </w:pPr>
    </w:p>
    <w:p w14:paraId="4BDD9029" w14:textId="66CD9276" w:rsidR="006235D1" w:rsidRPr="00E81D4B" w:rsidRDefault="008C7BA9"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w:t>
      </w:r>
      <w:r w:rsidR="00CE0A5F" w:rsidRPr="00E81D4B">
        <w:rPr>
          <w:rFonts w:ascii="Times New Roman" w:hAnsi="Times New Roman" w:cs="Times New Roman"/>
          <w:color w:val="0000FF"/>
        </w:rPr>
        <w:t xml:space="preserve">hank you </w:t>
      </w:r>
      <w:r w:rsidR="0037624F" w:rsidRPr="00E81D4B">
        <w:rPr>
          <w:rFonts w:ascii="Times New Roman" w:hAnsi="Times New Roman" w:cs="Times New Roman"/>
          <w:color w:val="0000FF"/>
        </w:rPr>
        <w:t xml:space="preserve">very much </w:t>
      </w:r>
      <w:r w:rsidR="00CE0A5F" w:rsidRPr="00E81D4B">
        <w:rPr>
          <w:rFonts w:ascii="Times New Roman" w:hAnsi="Times New Roman" w:cs="Times New Roman"/>
          <w:color w:val="0000FF"/>
        </w:rPr>
        <w:t xml:space="preserve">for the opportunity to submit a revised version of </w:t>
      </w:r>
      <w:r w:rsidR="008151F0" w:rsidRPr="00E81D4B">
        <w:rPr>
          <w:rFonts w:ascii="Times New Roman" w:hAnsi="Times New Roman" w:cs="Times New Roman"/>
          <w:color w:val="0000FF"/>
        </w:rPr>
        <w:t>my</w:t>
      </w:r>
      <w:r w:rsidR="00CE0A5F" w:rsidRPr="00E81D4B">
        <w:rPr>
          <w:rFonts w:ascii="Times New Roman" w:hAnsi="Times New Roman" w:cs="Times New Roman"/>
          <w:color w:val="0000FF"/>
        </w:rPr>
        <w:t xml:space="preserve"> manuscript</w:t>
      </w:r>
      <w:r w:rsidR="00147233" w:rsidRPr="00E81D4B">
        <w:rPr>
          <w:rFonts w:ascii="Times New Roman" w:hAnsi="Times New Roman" w:cs="Times New Roman"/>
          <w:color w:val="0000FF"/>
        </w:rPr>
        <w:t>, and the</w:t>
      </w:r>
      <w:r w:rsidR="00E81D4B" w:rsidRPr="00E81D4B">
        <w:rPr>
          <w:rFonts w:ascii="Times New Roman" w:hAnsi="Times New Roman" w:cs="Times New Roman"/>
          <w:color w:val="0000FF"/>
        </w:rPr>
        <w:t xml:space="preserve"> helpful</w:t>
      </w:r>
      <w:r w:rsidR="00147233" w:rsidRPr="00E81D4B">
        <w:rPr>
          <w:rFonts w:ascii="Times New Roman" w:hAnsi="Times New Roman" w:cs="Times New Roman"/>
          <w:color w:val="0000FF"/>
        </w:rPr>
        <w:t xml:space="preserve"> suggestions and clear guidance. </w:t>
      </w:r>
      <w:r w:rsidR="008151F0" w:rsidRPr="00E81D4B">
        <w:rPr>
          <w:rFonts w:ascii="Times New Roman" w:hAnsi="Times New Roman" w:cs="Times New Roman"/>
          <w:color w:val="0000FF"/>
        </w:rPr>
        <w:t>I am</w:t>
      </w:r>
      <w:r w:rsidR="00DE7172" w:rsidRPr="00E81D4B">
        <w:rPr>
          <w:rFonts w:ascii="Times New Roman" w:hAnsi="Times New Roman" w:cs="Times New Roman"/>
          <w:color w:val="0000FF"/>
        </w:rPr>
        <w:t xml:space="preserve"> thrilled to resubmit </w:t>
      </w:r>
      <w:r w:rsidR="00E81D4B" w:rsidRPr="00E81D4B">
        <w:rPr>
          <w:rFonts w:ascii="Times New Roman" w:hAnsi="Times New Roman" w:cs="Times New Roman"/>
          <w:color w:val="0000FF"/>
        </w:rPr>
        <w:t xml:space="preserve">a revised </w:t>
      </w:r>
      <w:r w:rsidR="00147233" w:rsidRPr="00E81D4B">
        <w:rPr>
          <w:rFonts w:ascii="Times New Roman" w:hAnsi="Times New Roman" w:cs="Times New Roman"/>
          <w:color w:val="0000FF"/>
        </w:rPr>
        <w:t>manuscript, which I think provides a much clearer contribution and discussion</w:t>
      </w:r>
      <w:r w:rsidR="00E81D4B" w:rsidRPr="00E81D4B">
        <w:rPr>
          <w:rFonts w:ascii="Times New Roman" w:hAnsi="Times New Roman" w:cs="Times New Roman"/>
          <w:color w:val="0000FF"/>
        </w:rPr>
        <w:t>s</w:t>
      </w:r>
      <w:r w:rsidR="00147233" w:rsidRPr="00E81D4B">
        <w:rPr>
          <w:rFonts w:ascii="Times New Roman" w:hAnsi="Times New Roman" w:cs="Times New Roman"/>
          <w:color w:val="0000FF"/>
        </w:rPr>
        <w:t xml:space="preserve"> of macroeconomic drivers both in the 1980s and the recent period.</w:t>
      </w:r>
      <w:r w:rsidR="00DE7172" w:rsidRPr="00E81D4B">
        <w:rPr>
          <w:rFonts w:ascii="Times New Roman" w:hAnsi="Times New Roman" w:cs="Times New Roman"/>
          <w:color w:val="0000FF"/>
        </w:rPr>
        <w:t xml:space="preserve"> </w:t>
      </w:r>
      <w:r w:rsidR="008151F0" w:rsidRPr="00E81D4B">
        <w:rPr>
          <w:rFonts w:ascii="Times New Roman" w:hAnsi="Times New Roman" w:cs="Times New Roman"/>
          <w:color w:val="0000FF"/>
        </w:rPr>
        <w:t xml:space="preserve">Detailed responses are included below, </w:t>
      </w:r>
      <w:r w:rsidR="00CE0A5F" w:rsidRPr="00E81D4B">
        <w:rPr>
          <w:rFonts w:ascii="Times New Roman" w:hAnsi="Times New Roman" w:cs="Times New Roman"/>
          <w:color w:val="0000FF"/>
        </w:rPr>
        <w:t>but first</w:t>
      </w:r>
      <w:r w:rsidR="0037624F" w:rsidRPr="00E81D4B">
        <w:rPr>
          <w:rFonts w:ascii="Times New Roman" w:hAnsi="Times New Roman" w:cs="Times New Roman"/>
          <w:color w:val="0000FF"/>
        </w:rPr>
        <w:t xml:space="preserve"> </w:t>
      </w:r>
      <w:r w:rsidR="008151F0" w:rsidRPr="00E81D4B">
        <w:rPr>
          <w:rFonts w:ascii="Times New Roman" w:hAnsi="Times New Roman" w:cs="Times New Roman"/>
          <w:color w:val="0000FF"/>
        </w:rPr>
        <w:t>I</w:t>
      </w:r>
      <w:r w:rsidR="0037624F" w:rsidRPr="00E81D4B">
        <w:rPr>
          <w:rFonts w:ascii="Times New Roman" w:hAnsi="Times New Roman" w:cs="Times New Roman"/>
          <w:color w:val="0000FF"/>
        </w:rPr>
        <w:t xml:space="preserve"> would</w:t>
      </w:r>
      <w:r w:rsidR="00CE0A5F" w:rsidRPr="00E81D4B">
        <w:rPr>
          <w:rFonts w:ascii="Times New Roman" w:hAnsi="Times New Roman" w:cs="Times New Roman"/>
          <w:color w:val="0000FF"/>
        </w:rPr>
        <w:t xml:space="preserve"> like to provide an overview of the main changes. </w:t>
      </w:r>
      <w:r w:rsidR="00202AB1" w:rsidRPr="00E81D4B">
        <w:rPr>
          <w:rFonts w:ascii="Times New Roman" w:hAnsi="Times New Roman" w:cs="Times New Roman"/>
          <w:color w:val="0000FF"/>
        </w:rPr>
        <w:t xml:space="preserve"> </w:t>
      </w:r>
    </w:p>
    <w:p w14:paraId="1A3FB3C8" w14:textId="77777777" w:rsidR="00E81D4B" w:rsidRPr="00E81D4B" w:rsidRDefault="00E81D4B" w:rsidP="00E81D4B">
      <w:pPr>
        <w:spacing w:after="0" w:line="240" w:lineRule="auto"/>
        <w:jc w:val="both"/>
        <w:rPr>
          <w:rFonts w:ascii="Times New Roman" w:hAnsi="Times New Roman" w:cs="Times New Roman"/>
          <w:color w:val="0000FF"/>
        </w:rPr>
      </w:pPr>
    </w:p>
    <w:p w14:paraId="4C172C1D" w14:textId="7200D627" w:rsidR="00D556D9" w:rsidRPr="00E81D4B" w:rsidRDefault="008151F0"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The revised paper clarifies how the papers’ </w:t>
      </w:r>
      <w:r w:rsidRPr="00E81D4B">
        <w:rPr>
          <w:rFonts w:ascii="Times New Roman" w:hAnsi="Times New Roman" w:cs="Times New Roman"/>
          <w:b/>
          <w:bCs/>
          <w:color w:val="0000FF"/>
        </w:rPr>
        <w:t>relationship to the literature</w:t>
      </w:r>
      <w:r w:rsidRPr="00E81D4B">
        <w:rPr>
          <w:rFonts w:ascii="Times New Roman" w:hAnsi="Times New Roman" w:cs="Times New Roman"/>
          <w:color w:val="0000FF"/>
        </w:rPr>
        <w:t>, both relative to my own prior contributions and contributions of other authors. I completely agree with the AE that the main contribution is to show that macroeconomic dynamics have changed so much over the past 20 years that changing one set of parameters is insufficient to return bonds to their risky state of the 1980s. Instead, a “perfect storm” consisting of a change towards more volatile supply shocks and a more hawkish monetary policy rule is needed to generate such reversion in bond risks. The revised paper describes this contribution upfront in the introduction</w:t>
      </w:r>
      <w:r w:rsidR="00147233" w:rsidRPr="00E81D4B">
        <w:rPr>
          <w:rFonts w:ascii="Times New Roman" w:hAnsi="Times New Roman" w:cs="Times New Roman"/>
          <w:color w:val="0000FF"/>
        </w:rPr>
        <w:t xml:space="preserve">, particularly in relation to the </w:t>
      </w:r>
      <w:r w:rsidRPr="00E81D4B">
        <w:rPr>
          <w:rFonts w:ascii="Times New Roman" w:hAnsi="Times New Roman" w:cs="Times New Roman"/>
          <w:color w:val="0000FF"/>
        </w:rPr>
        <w:t>papers highlighted by referee 2</w:t>
      </w:r>
      <w:r w:rsidR="00147233" w:rsidRPr="00E81D4B">
        <w:rPr>
          <w:rFonts w:ascii="Times New Roman" w:hAnsi="Times New Roman" w:cs="Times New Roman"/>
          <w:color w:val="0000FF"/>
        </w:rPr>
        <w:t>.</w:t>
      </w:r>
      <w:r w:rsidRPr="00E81D4B">
        <w:rPr>
          <w:rFonts w:ascii="Times New Roman" w:hAnsi="Times New Roman" w:cs="Times New Roman"/>
          <w:color w:val="0000FF"/>
        </w:rPr>
        <w:t xml:space="preserve"> </w:t>
      </w:r>
    </w:p>
    <w:p w14:paraId="6E137CB9" w14:textId="77777777" w:rsidR="008151F0" w:rsidRPr="00E81D4B" w:rsidRDefault="008151F0" w:rsidP="00E81D4B">
      <w:pPr>
        <w:pStyle w:val="ListParagraph"/>
        <w:spacing w:after="0" w:line="240" w:lineRule="auto"/>
        <w:jc w:val="both"/>
        <w:rPr>
          <w:rFonts w:ascii="Times New Roman" w:hAnsi="Times New Roman" w:cs="Times New Roman"/>
          <w:color w:val="0000FF"/>
        </w:rPr>
      </w:pPr>
    </w:p>
    <w:p w14:paraId="74D65B1A" w14:textId="219FB565" w:rsidR="00FA683E" w:rsidRPr="00E81D4B" w:rsidRDefault="00045F40"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The revised paper contains </w:t>
      </w:r>
      <w:r w:rsidR="00A66781">
        <w:rPr>
          <w:rFonts w:ascii="Times New Roman" w:hAnsi="Times New Roman" w:cs="Times New Roman"/>
          <w:color w:val="0000FF"/>
        </w:rPr>
        <w:t>a more detailed</w:t>
      </w:r>
      <w:r w:rsidRPr="00E81D4B">
        <w:rPr>
          <w:rFonts w:ascii="Times New Roman" w:hAnsi="Times New Roman" w:cs="Times New Roman"/>
          <w:color w:val="0000FF"/>
        </w:rPr>
        <w:t xml:space="preserve"> </w:t>
      </w:r>
      <w:r w:rsidRPr="00E81D4B">
        <w:rPr>
          <w:rFonts w:ascii="Times New Roman" w:hAnsi="Times New Roman" w:cs="Times New Roman"/>
          <w:b/>
          <w:bCs/>
          <w:color w:val="0000FF"/>
        </w:rPr>
        <w:t>discussion of the model calibration for the first subperiod</w:t>
      </w:r>
      <w:r w:rsidRPr="00E81D4B">
        <w:rPr>
          <w:rFonts w:ascii="Times New Roman" w:hAnsi="Times New Roman" w:cs="Times New Roman"/>
          <w:color w:val="0000FF"/>
        </w:rPr>
        <w:t xml:space="preserve">, which is used as an example of a period dominated by supply shocks. I now provide new arguments to show that supply shocks were still substantial during the 1980s and even 1990s. To this end, the revised paper includes references to key papers in the literature as well as a new, simple, text-based analysis of newspaper articles. Since </w:t>
      </w:r>
      <w:r w:rsidR="00147233" w:rsidRPr="00E81D4B">
        <w:rPr>
          <w:rFonts w:ascii="Times New Roman" w:hAnsi="Times New Roman" w:cs="Times New Roman"/>
          <w:color w:val="0000FF"/>
        </w:rPr>
        <w:t>during</w:t>
      </w:r>
      <w:r w:rsidRPr="00E81D4B">
        <w:rPr>
          <w:rFonts w:ascii="Times New Roman" w:hAnsi="Times New Roman" w:cs="Times New Roman"/>
          <w:color w:val="0000FF"/>
        </w:rPr>
        <w:t xml:space="preserve"> 1980s </w:t>
      </w:r>
      <w:r w:rsidR="00147233" w:rsidRPr="00E81D4B">
        <w:rPr>
          <w:rFonts w:ascii="Times New Roman" w:hAnsi="Times New Roman" w:cs="Times New Roman"/>
          <w:color w:val="0000FF"/>
        </w:rPr>
        <w:t xml:space="preserve">supply shocks (positive and negative) </w:t>
      </w:r>
      <w:r w:rsidRPr="00E81D4B">
        <w:rPr>
          <w:rFonts w:ascii="Times New Roman" w:hAnsi="Times New Roman" w:cs="Times New Roman"/>
          <w:color w:val="0000FF"/>
        </w:rPr>
        <w:t xml:space="preserve">were still a substantial concern </w:t>
      </w:r>
      <w:r w:rsidR="00147233" w:rsidRPr="00E81D4B">
        <w:rPr>
          <w:rFonts w:ascii="Times New Roman" w:hAnsi="Times New Roman" w:cs="Times New Roman"/>
          <w:i/>
          <w:iCs/>
          <w:color w:val="0000FF"/>
        </w:rPr>
        <w:t>and</w:t>
      </w:r>
      <w:r w:rsidR="00147233" w:rsidRPr="00E81D4B">
        <w:rPr>
          <w:rFonts w:ascii="Times New Roman" w:hAnsi="Times New Roman" w:cs="Times New Roman"/>
          <w:color w:val="0000FF"/>
        </w:rPr>
        <w:t xml:space="preserve"> </w:t>
      </w:r>
      <w:r w:rsidRPr="00E81D4B">
        <w:rPr>
          <w:rFonts w:ascii="Times New Roman" w:hAnsi="Times New Roman" w:cs="Times New Roman"/>
          <w:color w:val="0000FF"/>
        </w:rPr>
        <w:t xml:space="preserve">monetary policy responded </w:t>
      </w:r>
      <w:r w:rsidR="00147233" w:rsidRPr="00E81D4B">
        <w:rPr>
          <w:rFonts w:ascii="Times New Roman" w:hAnsi="Times New Roman" w:cs="Times New Roman"/>
          <w:color w:val="0000FF"/>
        </w:rPr>
        <w:t>strongly to inflation</w:t>
      </w:r>
      <w:r w:rsidRPr="00E81D4B">
        <w:rPr>
          <w:rFonts w:ascii="Times New Roman" w:hAnsi="Times New Roman" w:cs="Times New Roman"/>
          <w:color w:val="0000FF"/>
        </w:rPr>
        <w:t xml:space="preserve">, I regard this period as particularly suitable for testing the </w:t>
      </w:r>
      <w:r w:rsidR="00147233" w:rsidRPr="00E81D4B">
        <w:rPr>
          <w:rFonts w:ascii="Times New Roman" w:hAnsi="Times New Roman" w:cs="Times New Roman"/>
          <w:color w:val="0000FF"/>
        </w:rPr>
        <w:t xml:space="preserve">model’s </w:t>
      </w:r>
      <w:r w:rsidRPr="00E81D4B">
        <w:rPr>
          <w:rFonts w:ascii="Times New Roman" w:hAnsi="Times New Roman" w:cs="Times New Roman"/>
          <w:color w:val="0000FF"/>
        </w:rPr>
        <w:t xml:space="preserve">bond-market implications of monetary policy and </w:t>
      </w:r>
      <w:r w:rsidR="00147233" w:rsidRPr="00E81D4B">
        <w:rPr>
          <w:rFonts w:ascii="Times New Roman" w:hAnsi="Times New Roman" w:cs="Times New Roman"/>
          <w:color w:val="0000FF"/>
        </w:rPr>
        <w:t xml:space="preserve">macroeconomic </w:t>
      </w:r>
      <w:r w:rsidRPr="00E81D4B">
        <w:rPr>
          <w:rFonts w:ascii="Times New Roman" w:hAnsi="Times New Roman" w:cs="Times New Roman"/>
          <w:color w:val="0000FF"/>
        </w:rPr>
        <w:t xml:space="preserve">shocks. </w:t>
      </w:r>
      <w:r w:rsidR="00147233" w:rsidRPr="00E81D4B">
        <w:rPr>
          <w:rFonts w:ascii="Times New Roman" w:hAnsi="Times New Roman" w:cs="Times New Roman"/>
          <w:color w:val="0000FF"/>
        </w:rPr>
        <w:t>While</w:t>
      </w:r>
      <w:r w:rsidRPr="00E81D4B">
        <w:rPr>
          <w:rFonts w:ascii="Times New Roman" w:hAnsi="Times New Roman" w:cs="Times New Roman"/>
          <w:color w:val="0000FF"/>
        </w:rPr>
        <w:t xml:space="preserve"> the 1970s were </w:t>
      </w:r>
      <w:r w:rsidR="00147233" w:rsidRPr="00E81D4B">
        <w:rPr>
          <w:rFonts w:ascii="Times New Roman" w:hAnsi="Times New Roman" w:cs="Times New Roman"/>
          <w:color w:val="0000FF"/>
        </w:rPr>
        <w:t xml:space="preserve">also subject to supply shocks, a less inflation-responsive monetary policy gave rise to </w:t>
      </w:r>
      <w:r w:rsidRPr="00E81D4B">
        <w:rPr>
          <w:rFonts w:ascii="Times New Roman" w:hAnsi="Times New Roman" w:cs="Times New Roman"/>
          <w:color w:val="0000FF"/>
        </w:rPr>
        <w:t xml:space="preserve">self-fulfilling inflation expectations (Clarida, Gali and Gertler (2000)), which are outside the scope of my relatively parsimonious model. </w:t>
      </w:r>
    </w:p>
    <w:p w14:paraId="5E71FCAA" w14:textId="77777777" w:rsidR="00FA683E" w:rsidRPr="00E81D4B" w:rsidRDefault="00FA683E" w:rsidP="00E81D4B">
      <w:pPr>
        <w:pStyle w:val="ListParagraph"/>
        <w:spacing w:after="0" w:line="240" w:lineRule="auto"/>
        <w:rPr>
          <w:rFonts w:ascii="Times New Roman" w:hAnsi="Times New Roman" w:cs="Times New Roman"/>
          <w:color w:val="0000FF"/>
        </w:rPr>
      </w:pPr>
    </w:p>
    <w:p w14:paraId="78D7358A" w14:textId="25F8DCD2" w:rsidR="00E81D4B" w:rsidRDefault="00877DC7"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The revised paper provides a</w:t>
      </w:r>
      <w:r w:rsidR="00FA683E" w:rsidRPr="00E81D4B">
        <w:rPr>
          <w:rFonts w:ascii="Times New Roman" w:hAnsi="Times New Roman" w:cs="Times New Roman"/>
          <w:color w:val="0000FF"/>
        </w:rPr>
        <w:t xml:space="preserve">n </w:t>
      </w:r>
      <w:r w:rsidR="00FA683E" w:rsidRPr="00E81D4B">
        <w:rPr>
          <w:rFonts w:ascii="Times New Roman" w:hAnsi="Times New Roman" w:cs="Times New Roman"/>
          <w:b/>
          <w:bCs/>
          <w:color w:val="0000FF"/>
        </w:rPr>
        <w:t xml:space="preserve">updated discussion </w:t>
      </w:r>
      <w:r w:rsidR="007C3CBB" w:rsidRPr="00E81D4B">
        <w:rPr>
          <w:rFonts w:ascii="Times New Roman" w:hAnsi="Times New Roman" w:cs="Times New Roman"/>
          <w:b/>
          <w:bCs/>
          <w:color w:val="0000FF"/>
        </w:rPr>
        <w:t>linking</w:t>
      </w:r>
      <w:r w:rsidR="00FA683E" w:rsidRPr="00E81D4B">
        <w:rPr>
          <w:rFonts w:ascii="Times New Roman" w:hAnsi="Times New Roman" w:cs="Times New Roman"/>
          <w:b/>
          <w:bCs/>
          <w:color w:val="0000FF"/>
        </w:rPr>
        <w:t xml:space="preserve"> </w:t>
      </w:r>
      <w:r w:rsidRPr="00E81D4B">
        <w:rPr>
          <w:rFonts w:ascii="Times New Roman" w:hAnsi="Times New Roman" w:cs="Times New Roman"/>
          <w:b/>
          <w:bCs/>
          <w:color w:val="0000FF"/>
        </w:rPr>
        <w:t xml:space="preserve">post-pandemic changes in monetary policy </w:t>
      </w:r>
      <w:r w:rsidR="00147233" w:rsidRPr="00E81D4B">
        <w:rPr>
          <w:rFonts w:ascii="Times New Roman" w:hAnsi="Times New Roman" w:cs="Times New Roman"/>
          <w:b/>
          <w:bCs/>
          <w:color w:val="0000FF"/>
        </w:rPr>
        <w:t>to changes in</w:t>
      </w:r>
      <w:r w:rsidRPr="00E81D4B">
        <w:rPr>
          <w:rFonts w:ascii="Times New Roman" w:hAnsi="Times New Roman" w:cs="Times New Roman"/>
          <w:b/>
          <w:bCs/>
          <w:color w:val="0000FF"/>
        </w:rPr>
        <w:t xml:space="preserve"> bond risks</w:t>
      </w:r>
      <w:r w:rsidRPr="00E81D4B">
        <w:rPr>
          <w:rFonts w:ascii="Times New Roman" w:hAnsi="Times New Roman" w:cs="Times New Roman"/>
          <w:color w:val="0000FF"/>
        </w:rPr>
        <w:t xml:space="preserve">. </w:t>
      </w:r>
      <w:r w:rsidR="00E81D4B" w:rsidRPr="00E81D4B">
        <w:rPr>
          <w:rFonts w:ascii="Times New Roman" w:hAnsi="Times New Roman" w:cs="Times New Roman"/>
          <w:color w:val="0000FF"/>
        </w:rPr>
        <w:t xml:space="preserve">The updated discussion around Table 3 emphasizes that the bond-risk implied monetary policy rule changed little during the initial run-up of inflation in 2021, but </w:t>
      </w:r>
      <w:r w:rsidR="00B80F95">
        <w:rPr>
          <w:rFonts w:ascii="Times New Roman" w:hAnsi="Times New Roman" w:cs="Times New Roman"/>
          <w:color w:val="0000FF"/>
        </w:rPr>
        <w:t>it</w:t>
      </w:r>
      <w:r w:rsidR="00E81D4B" w:rsidRPr="00E81D4B">
        <w:rPr>
          <w:rFonts w:ascii="Times New Roman" w:hAnsi="Times New Roman" w:cs="Times New Roman"/>
          <w:color w:val="0000FF"/>
        </w:rPr>
        <w:t xml:space="preserve"> did change towards </w:t>
      </w:r>
      <w:r w:rsidR="00B80F95">
        <w:rPr>
          <w:rFonts w:ascii="Times New Roman" w:hAnsi="Times New Roman" w:cs="Times New Roman"/>
          <w:color w:val="0000FF"/>
        </w:rPr>
        <w:t xml:space="preserve">a higher inflation coefficient towards </w:t>
      </w:r>
      <w:r w:rsidR="00E81D4B" w:rsidRPr="00E81D4B">
        <w:rPr>
          <w:rFonts w:ascii="Times New Roman" w:hAnsi="Times New Roman" w:cs="Times New Roman"/>
          <w:color w:val="0000FF"/>
        </w:rPr>
        <w:t>the end of 2023</w:t>
      </w:r>
      <w:r w:rsidR="00B80F95">
        <w:rPr>
          <w:rFonts w:ascii="Times New Roman" w:hAnsi="Times New Roman" w:cs="Times New Roman"/>
          <w:color w:val="0000FF"/>
        </w:rPr>
        <w:t>, after the Fed’s very substantial rate hikes</w:t>
      </w:r>
      <w:r w:rsidR="00E81D4B" w:rsidRPr="00E81D4B">
        <w:rPr>
          <w:rFonts w:ascii="Times New Roman" w:hAnsi="Times New Roman" w:cs="Times New Roman"/>
          <w:color w:val="0000FF"/>
        </w:rPr>
        <w:t xml:space="preserve">. </w:t>
      </w:r>
      <w:r w:rsidR="00FB4945">
        <w:rPr>
          <w:rFonts w:ascii="Times New Roman" w:hAnsi="Times New Roman" w:cs="Times New Roman"/>
          <w:color w:val="0000FF"/>
        </w:rPr>
        <w:t xml:space="preserve">I also discuss how these bond-risk implied changes in monetary policy are consistent with external evidence from </w:t>
      </w:r>
      <w:r w:rsidR="00E81D4B" w:rsidRPr="00E81D4B">
        <w:rPr>
          <w:rFonts w:ascii="Times New Roman" w:hAnsi="Times New Roman" w:cs="Times New Roman"/>
          <w:color w:val="0000FF"/>
        </w:rPr>
        <w:t>survey data and high-frequency market responses</w:t>
      </w:r>
      <w:r w:rsidR="00B80F95">
        <w:rPr>
          <w:rFonts w:ascii="Times New Roman" w:hAnsi="Times New Roman" w:cs="Times New Roman"/>
          <w:color w:val="0000FF"/>
        </w:rPr>
        <w:t xml:space="preserve"> during the post-pandemic period </w:t>
      </w:r>
      <w:r w:rsidR="00485C60" w:rsidRPr="00E81D4B">
        <w:rPr>
          <w:rFonts w:ascii="Times New Roman" w:hAnsi="Times New Roman" w:cs="Times New Roman"/>
          <w:color w:val="0000FF"/>
        </w:rPr>
        <w:t>(“</w:t>
      </w:r>
      <w:hyperlink r:id="rId8" w:tgtFrame="_blank" w:history="1">
        <w:r w:rsidR="00485C60" w:rsidRPr="00E81D4B">
          <w:rPr>
            <w:rFonts w:ascii="Times New Roman" w:hAnsi="Times New Roman" w:cs="Times New Roman"/>
            <w:color w:val="0000FF"/>
          </w:rPr>
          <w:t>Changing Perceptions and Post-Pandemic Monetary Policy</w:t>
        </w:r>
      </w:hyperlink>
      <w:r w:rsidR="00485C60" w:rsidRPr="00E81D4B">
        <w:rPr>
          <w:rFonts w:ascii="Times New Roman" w:hAnsi="Times New Roman" w:cs="Times New Roman"/>
          <w:color w:val="0000FF"/>
        </w:rPr>
        <w:t xml:space="preserve">” with Michael Bauer and Adi Sunderam). </w:t>
      </w:r>
      <w:r w:rsidR="00E81D4B" w:rsidRPr="00E81D4B">
        <w:rPr>
          <w:rFonts w:ascii="Times New Roman" w:hAnsi="Times New Roman" w:cs="Times New Roman"/>
          <w:color w:val="0000FF"/>
        </w:rPr>
        <w:t xml:space="preserve">To be clear, this complementary work contains no results for bond-stock betas nor a structural model of asset prices, </w:t>
      </w:r>
      <w:r w:rsidR="00485C60" w:rsidRPr="00E81D4B">
        <w:rPr>
          <w:rFonts w:ascii="Times New Roman" w:hAnsi="Times New Roman" w:cs="Times New Roman"/>
          <w:color w:val="0000FF"/>
        </w:rPr>
        <w:t xml:space="preserve">so it would not be sufficient to reach the conclusions contained in this </w:t>
      </w:r>
      <w:r w:rsidR="000C1662" w:rsidRPr="00E81D4B">
        <w:rPr>
          <w:rFonts w:ascii="Times New Roman" w:hAnsi="Times New Roman" w:cs="Times New Roman"/>
          <w:color w:val="0000FF"/>
        </w:rPr>
        <w:t>manuscript</w:t>
      </w:r>
      <w:r w:rsidR="00485C60" w:rsidRPr="00E81D4B">
        <w:rPr>
          <w:rFonts w:ascii="Times New Roman" w:hAnsi="Times New Roman" w:cs="Times New Roman"/>
          <w:color w:val="0000FF"/>
        </w:rPr>
        <w:t xml:space="preserve">.  </w:t>
      </w:r>
    </w:p>
    <w:p w14:paraId="6FBBD899" w14:textId="77777777" w:rsidR="00B80F95" w:rsidRPr="00B80F95" w:rsidRDefault="00B80F95" w:rsidP="00B80F95">
      <w:pPr>
        <w:spacing w:after="0" w:line="240" w:lineRule="auto"/>
        <w:jc w:val="both"/>
        <w:rPr>
          <w:rFonts w:ascii="Times New Roman" w:hAnsi="Times New Roman" w:cs="Times New Roman"/>
          <w:color w:val="0000FF"/>
        </w:rPr>
      </w:pPr>
    </w:p>
    <w:p w14:paraId="7F61AFBA" w14:textId="77777777" w:rsidR="00E81D4B" w:rsidRPr="00E81D4B" w:rsidRDefault="00E81D4B"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Thank you again for</w:t>
      </w:r>
      <w:r w:rsidR="00CE0A5F" w:rsidRPr="00E81D4B">
        <w:rPr>
          <w:rFonts w:ascii="Times New Roman" w:hAnsi="Times New Roman" w:cs="Times New Roman"/>
          <w:color w:val="0000FF"/>
          <w:sz w:val="22"/>
          <w:szCs w:val="22"/>
        </w:rPr>
        <w:t xml:space="preserve"> the opportunity</w:t>
      </w:r>
      <w:r w:rsidR="00771C29" w:rsidRPr="00E81D4B">
        <w:rPr>
          <w:rFonts w:ascii="Times New Roman" w:hAnsi="Times New Roman" w:cs="Times New Roman"/>
          <w:color w:val="0000FF"/>
          <w:sz w:val="22"/>
          <w:szCs w:val="22"/>
        </w:rPr>
        <w:t xml:space="preserve"> </w:t>
      </w:r>
      <w:r w:rsidR="00CE0A5F" w:rsidRPr="00E81D4B">
        <w:rPr>
          <w:rFonts w:ascii="Times New Roman" w:hAnsi="Times New Roman" w:cs="Times New Roman"/>
          <w:color w:val="0000FF"/>
          <w:sz w:val="22"/>
          <w:szCs w:val="22"/>
        </w:rPr>
        <w:t xml:space="preserve">to submit a revised version of </w:t>
      </w:r>
      <w:r w:rsidR="00877DC7" w:rsidRPr="00E81D4B">
        <w:rPr>
          <w:rFonts w:ascii="Times New Roman" w:hAnsi="Times New Roman" w:cs="Times New Roman"/>
          <w:color w:val="0000FF"/>
          <w:sz w:val="22"/>
          <w:szCs w:val="22"/>
        </w:rPr>
        <w:t>this</w:t>
      </w:r>
      <w:r w:rsidR="00CE0A5F" w:rsidRPr="00E81D4B">
        <w:rPr>
          <w:rFonts w:ascii="Times New Roman" w:hAnsi="Times New Roman" w:cs="Times New Roman"/>
          <w:color w:val="0000FF"/>
          <w:sz w:val="22"/>
          <w:szCs w:val="22"/>
        </w:rPr>
        <w:t xml:space="preserve"> manuscript to the </w:t>
      </w:r>
      <w:r w:rsidR="00526E6E" w:rsidRPr="00E81D4B">
        <w:rPr>
          <w:rFonts w:ascii="Times New Roman" w:hAnsi="Times New Roman" w:cs="Times New Roman"/>
          <w:i/>
          <w:color w:val="0000FF"/>
          <w:sz w:val="22"/>
          <w:szCs w:val="22"/>
        </w:rPr>
        <w:t>JFE</w:t>
      </w:r>
      <w:r w:rsidR="00771C29" w:rsidRPr="00E81D4B">
        <w:rPr>
          <w:rFonts w:ascii="Times New Roman" w:hAnsi="Times New Roman" w:cs="Times New Roman"/>
          <w:i/>
          <w:color w:val="0000FF"/>
          <w:sz w:val="22"/>
          <w:szCs w:val="22"/>
        </w:rPr>
        <w:t>,</w:t>
      </w:r>
      <w:r w:rsidR="00CE0A5F" w:rsidRPr="00E81D4B">
        <w:rPr>
          <w:rFonts w:ascii="Times New Roman" w:hAnsi="Times New Roman" w:cs="Times New Roman"/>
          <w:color w:val="0000FF"/>
          <w:sz w:val="22"/>
          <w:szCs w:val="22"/>
        </w:rPr>
        <w:t xml:space="preserve"> and </w:t>
      </w:r>
      <w:r w:rsidR="00877DC7" w:rsidRPr="00E81D4B">
        <w:rPr>
          <w:rFonts w:ascii="Times New Roman" w:hAnsi="Times New Roman" w:cs="Times New Roman"/>
          <w:color w:val="0000FF"/>
          <w:sz w:val="22"/>
          <w:szCs w:val="22"/>
        </w:rPr>
        <w:t xml:space="preserve">I look forward to your comments. </w:t>
      </w:r>
    </w:p>
    <w:p w14:paraId="6713FB78" w14:textId="18E0B3E2" w:rsidR="00E81D4B" w:rsidRPr="00E81D4B" w:rsidRDefault="00877DC7"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 xml:space="preserve"> </w:t>
      </w:r>
    </w:p>
    <w:p w14:paraId="010528A4" w14:textId="7D9F65DE" w:rsidR="00CE0A5F" w:rsidRPr="00E81D4B" w:rsidRDefault="00CE0A5F"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Sincerely,</w:t>
      </w:r>
    </w:p>
    <w:p w14:paraId="0E4FCA71" w14:textId="77777777" w:rsidR="00E81D4B" w:rsidRPr="00E81D4B" w:rsidRDefault="00E81D4B" w:rsidP="00E81D4B">
      <w:pPr>
        <w:pStyle w:val="Heading1"/>
        <w:spacing w:before="0" w:line="240" w:lineRule="auto"/>
        <w:rPr>
          <w:rFonts w:ascii="Times New Roman" w:hAnsi="Times New Roman" w:cs="Times New Roman"/>
          <w:color w:val="0000FF"/>
          <w:sz w:val="22"/>
          <w:szCs w:val="22"/>
        </w:rPr>
      </w:pPr>
    </w:p>
    <w:p w14:paraId="3DF4C936" w14:textId="3F648504" w:rsidR="00CE0A5F" w:rsidRPr="00E81D4B" w:rsidRDefault="00A92C9C" w:rsidP="00E81D4B">
      <w:pPr>
        <w:pStyle w:val="Heading1"/>
        <w:spacing w:before="0" w:line="240" w:lineRule="auto"/>
        <w:rPr>
          <w:rFonts w:ascii="Times New Roman" w:hAnsi="Times New Roman" w:cs="Times New Roman"/>
          <w:color w:val="0000FF"/>
          <w:sz w:val="22"/>
          <w:szCs w:val="22"/>
        </w:rPr>
      </w:pPr>
      <w:r w:rsidRPr="00E81D4B">
        <w:rPr>
          <w:rFonts w:ascii="Times New Roman" w:hAnsi="Times New Roman" w:cs="Times New Roman"/>
          <w:color w:val="0000FF"/>
          <w:sz w:val="22"/>
          <w:szCs w:val="22"/>
        </w:rPr>
        <w:t>Carolin</w:t>
      </w:r>
    </w:p>
    <w:p w14:paraId="42504DD3" w14:textId="77777777" w:rsidR="00CE0A5F" w:rsidRDefault="00CE0A5F" w:rsidP="00E81D4B">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D385D4F" w14:textId="473C0569" w:rsidR="00FC7B24" w:rsidRDefault="009E10F4" w:rsidP="009E10F4">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w:t>
      </w:r>
      <w:r w:rsidR="001E7523">
        <w:rPr>
          <w:rFonts w:ascii="Times New Roman" w:hAnsi="Times New Roman" w:cs="Times New Roman"/>
          <w:b/>
          <w:bCs/>
          <w:sz w:val="24"/>
          <w:szCs w:val="24"/>
        </w:rPr>
        <w:t xml:space="preserve">ssociate </w:t>
      </w:r>
      <w:r>
        <w:rPr>
          <w:rFonts w:ascii="Times New Roman" w:hAnsi="Times New Roman" w:cs="Times New Roman"/>
          <w:b/>
          <w:bCs/>
          <w:sz w:val="24"/>
          <w:szCs w:val="24"/>
        </w:rPr>
        <w:t>E</w:t>
      </w:r>
      <w:r w:rsidR="001E7523">
        <w:rPr>
          <w:rFonts w:ascii="Times New Roman" w:hAnsi="Times New Roman" w:cs="Times New Roman"/>
          <w:b/>
          <w:bCs/>
          <w:sz w:val="24"/>
          <w:szCs w:val="24"/>
        </w:rPr>
        <w:t>ditor</w:t>
      </w:r>
      <w:r>
        <w:rPr>
          <w:rFonts w:ascii="Times New Roman" w:hAnsi="Times New Roman" w:cs="Times New Roman"/>
          <w:b/>
          <w:bCs/>
          <w:sz w:val="24"/>
          <w:szCs w:val="24"/>
        </w:rPr>
        <w:t xml:space="preserve"> comments</w:t>
      </w:r>
    </w:p>
    <w:p w14:paraId="0CC45CAD" w14:textId="77777777" w:rsidR="009E10F4" w:rsidRDefault="009E10F4" w:rsidP="009E10F4">
      <w:pPr>
        <w:autoSpaceDE w:val="0"/>
        <w:autoSpaceDN w:val="0"/>
        <w:adjustRightInd w:val="0"/>
        <w:spacing w:after="0" w:line="240" w:lineRule="auto"/>
        <w:jc w:val="both"/>
        <w:rPr>
          <w:rFonts w:ascii="Times New Roman" w:hAnsi="Times New Roman" w:cs="Times New Roman"/>
          <w:sz w:val="24"/>
          <w:szCs w:val="24"/>
        </w:rPr>
      </w:pPr>
    </w:p>
    <w:p w14:paraId="106616A8" w14:textId="77777777" w:rsidR="009E10F4" w:rsidRDefault="009E10F4" w:rsidP="001E7523">
      <w:pPr>
        <w:adjustRightInd w:val="0"/>
        <w:spacing w:after="0" w:line="360" w:lineRule="auto"/>
        <w:rPr>
          <w:rFonts w:ascii="Times New Roman" w:hAnsi="Times New Roman" w:cs="Times New Roman"/>
        </w:rPr>
      </w:pPr>
      <w:r>
        <w:rPr>
          <w:rFonts w:ascii="Times New Roman" w:hAnsi="Times New Roman" w:cs="Times New Roman"/>
        </w:rPr>
        <w:t>It’s useful to start with the common threads from both reports. Both referees want to see:</w:t>
      </w:r>
    </w:p>
    <w:p w14:paraId="377FDAE9" w14:textId="77777777" w:rsidR="009E10F4" w:rsidRDefault="009E10F4" w:rsidP="009E10F4">
      <w:pPr>
        <w:pStyle w:val="ListParagraph"/>
        <w:widowControl w:val="0"/>
        <w:numPr>
          <w:ilvl w:val="0"/>
          <w:numId w:val="18"/>
        </w:num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Better positioning of the manuscript in the literature, both in relation to the author’s earlier publications and other relevant contributions (a few scattered comments across the footnotes won’t suffice).</w:t>
      </w:r>
    </w:p>
    <w:p w14:paraId="38469D34" w14:textId="04A12D22" w:rsidR="00555A5B" w:rsidRDefault="00555A5B" w:rsidP="000141BD">
      <w:pPr>
        <w:autoSpaceDE w:val="0"/>
        <w:autoSpaceDN w:val="0"/>
        <w:adjustRightInd w:val="0"/>
        <w:spacing w:after="0" w:line="240" w:lineRule="auto"/>
        <w:ind w:left="1280"/>
        <w:jc w:val="both"/>
        <w:rPr>
          <w:rFonts w:ascii="Times New Roman" w:hAnsi="Times New Roman" w:cs="Times New Roman"/>
          <w:color w:val="0000FF"/>
          <w:sz w:val="24"/>
          <w:szCs w:val="24"/>
        </w:rPr>
      </w:pPr>
      <w:r w:rsidRPr="00BA6386">
        <w:rPr>
          <w:rFonts w:ascii="Times New Roman" w:hAnsi="Times New Roman" w:cs="Times New Roman"/>
          <w:b/>
          <w:color w:val="0000FF"/>
          <w:sz w:val="24"/>
          <w:szCs w:val="24"/>
        </w:rPr>
        <w:t>Reply:</w:t>
      </w:r>
      <w:r w:rsidRPr="00F3358B">
        <w:rPr>
          <w:rFonts w:ascii="Times New Roman" w:hAnsi="Times New Roman" w:cs="Times New Roman"/>
          <w:color w:val="0000FF"/>
          <w:sz w:val="24"/>
          <w:szCs w:val="24"/>
        </w:rPr>
        <w:t xml:space="preserve"> </w:t>
      </w:r>
      <w:r>
        <w:rPr>
          <w:rFonts w:ascii="Times New Roman" w:hAnsi="Times New Roman" w:cs="Times New Roman"/>
          <w:color w:val="0000FF"/>
          <w:sz w:val="24"/>
          <w:szCs w:val="24"/>
        </w:rPr>
        <w:t xml:space="preserve">Done. The introduction now contains an updated discussion of how the manuscript relates to the literature, both in terms of my own prior work and other authors’ contributions. </w:t>
      </w:r>
    </w:p>
    <w:p w14:paraId="76814516" w14:textId="77777777" w:rsidR="00555A5B" w:rsidRPr="00555A5B" w:rsidRDefault="00555A5B" w:rsidP="00555A5B">
      <w:pPr>
        <w:autoSpaceDE w:val="0"/>
        <w:autoSpaceDN w:val="0"/>
        <w:adjustRightInd w:val="0"/>
        <w:spacing w:after="0" w:line="240" w:lineRule="auto"/>
        <w:ind w:firstLine="720"/>
        <w:jc w:val="both"/>
        <w:rPr>
          <w:rFonts w:ascii="Times New Roman" w:hAnsi="Times New Roman" w:cs="Times New Roman"/>
          <w:color w:val="0000FF"/>
          <w:sz w:val="24"/>
          <w:szCs w:val="24"/>
        </w:rPr>
      </w:pPr>
    </w:p>
    <w:p w14:paraId="3EFDF91B" w14:textId="77777777" w:rsidR="009E10F4" w:rsidRDefault="009E10F4" w:rsidP="009E10F4">
      <w:pPr>
        <w:pStyle w:val="ListParagraph"/>
        <w:widowControl w:val="0"/>
        <w:numPr>
          <w:ilvl w:val="0"/>
          <w:numId w:val="18"/>
        </w:num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A more extensive discussion/defense of the calibration of the monetary policy side of the economy across the two sub-periods, especially for the first portion of the sample, which the author uses as an example of a time dominated by supply-side shocks.</w:t>
      </w:r>
    </w:p>
    <w:p w14:paraId="30591A68" w14:textId="2B4745F0" w:rsidR="009E10F4" w:rsidRDefault="009E10F4" w:rsidP="001E7523">
      <w:pPr>
        <w:adjustRightInd w:val="0"/>
        <w:spacing w:after="0" w:line="360" w:lineRule="auto"/>
        <w:rPr>
          <w:rFonts w:ascii="Times New Roman" w:hAnsi="Times New Roman" w:cs="Times New Roman"/>
        </w:rPr>
      </w:pPr>
      <w:r>
        <w:rPr>
          <w:rFonts w:ascii="Times New Roman" w:hAnsi="Times New Roman" w:cs="Times New Roman"/>
        </w:rPr>
        <w:t>If you decide to invite a resubmission, it should be made clear that the author must convincingly address these two points to have a chance at eventual publication in this Journal.</w:t>
      </w:r>
      <w:r w:rsidR="001E7523">
        <w:rPr>
          <w:rFonts w:ascii="Times New Roman" w:hAnsi="Times New Roman" w:cs="Times New Roman"/>
        </w:rPr>
        <w:t xml:space="preserve"> </w:t>
      </w:r>
      <w:r>
        <w:rPr>
          <w:rFonts w:ascii="Times New Roman" w:hAnsi="Times New Roman" w:cs="Times New Roman"/>
        </w:rPr>
        <w:t>The more negative referee raises several additional relevant points that the author should carefully address:</w:t>
      </w:r>
    </w:p>
    <w:p w14:paraId="6556E31E" w14:textId="77777777" w:rsidR="009E10F4" w:rsidRDefault="009E10F4" w:rsidP="009E10F4">
      <w:pPr>
        <w:pStyle w:val="ListParagraph"/>
        <w:widowControl w:val="0"/>
        <w:numPr>
          <w:ilvl w:val="0"/>
          <w:numId w:val="19"/>
        </w:num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The manuscript builds heavily on some of the author’s earlier contributions. While I certainly agree on this point, I do not concur with the conclusion that this diminishes the relevance of the current work to the point of not being worthy of publication in a top finance journal. The paper analyzes an important empirical question: why didn’t the stock-risk exposures of nominal and real bonds change during the recent spike in inflation, despite perceived similarities with the 1970s and 1980s? The author answers this by estimating an equilibrium model across two subsamples, showing that the real and nominal sides of the economy have changed so much in the last 20 years that altering one set of parameters at a time (to match those of the earlier years) isn’t enough to revert the risk exposures. It takes a “perfect storm” (as the author puts it) to make nominal and real bonds as risky as they used to be. This is a potentially important point in the asset pricing literature, one, in my opinion, not automatically inferred from the author’s earlier papers. However, it’s paramount that the author provides a compelling argument about why the previous papers aren’t enough to fully examine this empirical fact in both the response and the next draft.</w:t>
      </w:r>
    </w:p>
    <w:p w14:paraId="2EEF60B2" w14:textId="77777777" w:rsidR="001965F2" w:rsidRDefault="001965F2" w:rsidP="001965F2">
      <w:pPr>
        <w:pStyle w:val="ListParagraph"/>
        <w:widowControl w:val="0"/>
        <w:autoSpaceDE w:val="0"/>
        <w:autoSpaceDN w:val="0"/>
        <w:adjustRightInd w:val="0"/>
        <w:spacing w:after="0" w:line="360" w:lineRule="auto"/>
        <w:ind w:left="1240"/>
        <w:jc w:val="both"/>
        <w:rPr>
          <w:rFonts w:ascii="Times New Roman" w:hAnsi="Times New Roman" w:cs="Times New Roman"/>
        </w:rPr>
      </w:pPr>
    </w:p>
    <w:p w14:paraId="36B3B500" w14:textId="459575B3" w:rsidR="000141BD" w:rsidRDefault="000141BD" w:rsidP="000141BD">
      <w:pPr>
        <w:pStyle w:val="ListParagraph"/>
        <w:widowControl w:val="0"/>
        <w:autoSpaceDE w:val="0"/>
        <w:autoSpaceDN w:val="0"/>
        <w:adjustRightInd w:val="0"/>
        <w:spacing w:after="0" w:line="360" w:lineRule="auto"/>
        <w:ind w:left="1240"/>
        <w:jc w:val="both"/>
        <w:rPr>
          <w:rFonts w:ascii="Times New Roman" w:hAnsi="Times New Roman" w:cs="Times New Roman"/>
          <w:color w:val="0000FF"/>
          <w:sz w:val="24"/>
          <w:szCs w:val="24"/>
        </w:rPr>
      </w:pPr>
      <w:r w:rsidRPr="00BA6386">
        <w:rPr>
          <w:rFonts w:ascii="Times New Roman" w:hAnsi="Times New Roman" w:cs="Times New Roman"/>
          <w:b/>
          <w:color w:val="0000FF"/>
          <w:sz w:val="24"/>
          <w:szCs w:val="24"/>
        </w:rPr>
        <w:t>Reply:</w:t>
      </w:r>
      <w:r w:rsidRPr="00F3358B">
        <w:rPr>
          <w:rFonts w:ascii="Times New Roman" w:hAnsi="Times New Roman" w:cs="Times New Roman"/>
          <w:color w:val="0000FF"/>
          <w:sz w:val="24"/>
          <w:szCs w:val="24"/>
        </w:rPr>
        <w:t xml:space="preserve"> </w:t>
      </w:r>
      <w:r>
        <w:rPr>
          <w:rFonts w:ascii="Times New Roman" w:hAnsi="Times New Roman" w:cs="Times New Roman"/>
          <w:color w:val="0000FF"/>
          <w:sz w:val="24"/>
          <w:szCs w:val="24"/>
        </w:rPr>
        <w:t xml:space="preserve">Thank you for this fantastic suggestion for framing the paper. I </w:t>
      </w:r>
      <w:r w:rsidR="001965F2">
        <w:rPr>
          <w:rFonts w:ascii="Times New Roman" w:hAnsi="Times New Roman" w:cs="Times New Roman"/>
          <w:color w:val="0000FF"/>
          <w:sz w:val="24"/>
          <w:szCs w:val="24"/>
        </w:rPr>
        <w:t xml:space="preserve">now </w:t>
      </w:r>
      <w:r w:rsidR="00711C27">
        <w:rPr>
          <w:rFonts w:ascii="Times New Roman" w:hAnsi="Times New Roman" w:cs="Times New Roman"/>
          <w:color w:val="0000FF"/>
          <w:sz w:val="24"/>
          <w:szCs w:val="24"/>
        </w:rPr>
        <w:t xml:space="preserve">discuss </w:t>
      </w:r>
      <w:r w:rsidR="00936B74">
        <w:rPr>
          <w:rFonts w:ascii="Times New Roman" w:hAnsi="Times New Roman" w:cs="Times New Roman"/>
          <w:color w:val="0000FF"/>
          <w:sz w:val="24"/>
          <w:szCs w:val="24"/>
        </w:rPr>
        <w:t xml:space="preserve">up-front </w:t>
      </w:r>
      <w:r w:rsidR="00711C27">
        <w:rPr>
          <w:rFonts w:ascii="Times New Roman" w:hAnsi="Times New Roman" w:cs="Times New Roman"/>
          <w:color w:val="0000FF"/>
          <w:sz w:val="24"/>
          <w:szCs w:val="24"/>
        </w:rPr>
        <w:t xml:space="preserve">the key finding that a “perfect storm” is needed to revert the risks of </w:t>
      </w:r>
      <w:r w:rsidR="00711C27">
        <w:rPr>
          <w:rFonts w:ascii="Times New Roman" w:hAnsi="Times New Roman" w:cs="Times New Roman"/>
          <w:color w:val="0000FF"/>
          <w:sz w:val="24"/>
          <w:szCs w:val="24"/>
        </w:rPr>
        <w:lastRenderedPageBreak/>
        <w:t xml:space="preserve">nominal and real bonds back to their levels of </w:t>
      </w:r>
      <w:r w:rsidR="001965F2">
        <w:rPr>
          <w:rFonts w:ascii="Times New Roman" w:hAnsi="Times New Roman" w:cs="Times New Roman"/>
          <w:color w:val="0000FF"/>
          <w:sz w:val="24"/>
          <w:szCs w:val="24"/>
        </w:rPr>
        <w:t>the 1980s</w:t>
      </w:r>
      <w:r w:rsidR="00711C27">
        <w:rPr>
          <w:rFonts w:ascii="Times New Roman" w:hAnsi="Times New Roman" w:cs="Times New Roman"/>
          <w:color w:val="0000FF"/>
          <w:sz w:val="24"/>
          <w:szCs w:val="24"/>
        </w:rPr>
        <w:t xml:space="preserve"> </w:t>
      </w:r>
      <w:r w:rsidR="001965F2">
        <w:rPr>
          <w:rFonts w:ascii="Times New Roman" w:hAnsi="Times New Roman" w:cs="Times New Roman"/>
          <w:color w:val="0000FF"/>
          <w:sz w:val="24"/>
          <w:szCs w:val="24"/>
        </w:rPr>
        <w:t>at the beginning of</w:t>
      </w:r>
      <w:r w:rsidR="00711C27">
        <w:rPr>
          <w:rFonts w:ascii="Times New Roman" w:hAnsi="Times New Roman" w:cs="Times New Roman"/>
          <w:color w:val="0000FF"/>
          <w:sz w:val="24"/>
          <w:szCs w:val="24"/>
        </w:rPr>
        <w:t xml:space="preserve"> the introduction (</w:t>
      </w:r>
      <w:r w:rsidR="001965F2">
        <w:rPr>
          <w:rFonts w:ascii="Times New Roman" w:hAnsi="Times New Roman" w:cs="Times New Roman"/>
          <w:color w:val="0000FF"/>
          <w:sz w:val="24"/>
          <w:szCs w:val="24"/>
        </w:rPr>
        <w:t xml:space="preserve">p.1, </w:t>
      </w:r>
      <w:r w:rsidR="00711C27">
        <w:rPr>
          <w:rFonts w:ascii="Times New Roman" w:hAnsi="Times New Roman" w:cs="Times New Roman"/>
          <w:color w:val="0000FF"/>
          <w:sz w:val="24"/>
          <w:szCs w:val="24"/>
        </w:rPr>
        <w:t>paragraph starting “</w:t>
      </w:r>
      <w:r w:rsidR="00711C27" w:rsidRPr="001965F2">
        <w:rPr>
          <w:rFonts w:ascii="Times New Roman" w:hAnsi="Times New Roman" w:cs="Times New Roman"/>
          <w:color w:val="0000FF"/>
          <w:sz w:val="24"/>
          <w:szCs w:val="24"/>
        </w:rPr>
        <w:t>This paper uses a New Keynesian equilibrium model for the macroeconomy and asset prices (…)”)</w:t>
      </w:r>
      <w:r w:rsidR="001965F2">
        <w:rPr>
          <w:rFonts w:ascii="Times New Roman" w:hAnsi="Times New Roman" w:cs="Times New Roman"/>
          <w:color w:val="0000FF"/>
          <w:sz w:val="24"/>
          <w:szCs w:val="24"/>
        </w:rPr>
        <w:t>.</w:t>
      </w:r>
      <w:r w:rsidR="00697336">
        <w:rPr>
          <w:rFonts w:ascii="Times New Roman" w:hAnsi="Times New Roman" w:cs="Times New Roman"/>
          <w:color w:val="0000FF"/>
          <w:sz w:val="24"/>
          <w:szCs w:val="24"/>
        </w:rPr>
        <w:t xml:space="preserve"> </w:t>
      </w:r>
    </w:p>
    <w:p w14:paraId="14005DE2" w14:textId="77777777" w:rsidR="00E328B9" w:rsidRDefault="00E328B9" w:rsidP="000141BD">
      <w:pPr>
        <w:pStyle w:val="ListParagraph"/>
        <w:widowControl w:val="0"/>
        <w:autoSpaceDE w:val="0"/>
        <w:autoSpaceDN w:val="0"/>
        <w:adjustRightInd w:val="0"/>
        <w:spacing w:after="0" w:line="360" w:lineRule="auto"/>
        <w:ind w:left="1240"/>
        <w:jc w:val="both"/>
        <w:rPr>
          <w:rFonts w:ascii="Times New Roman" w:hAnsi="Times New Roman" w:cs="Times New Roman"/>
          <w:color w:val="0000FF"/>
          <w:sz w:val="24"/>
          <w:szCs w:val="24"/>
        </w:rPr>
      </w:pPr>
    </w:p>
    <w:p w14:paraId="57FF38CD" w14:textId="1CDA5B49" w:rsidR="00477650" w:rsidRDefault="001302C0" w:rsidP="000141BD">
      <w:pPr>
        <w:pStyle w:val="ListParagraph"/>
        <w:widowControl w:val="0"/>
        <w:autoSpaceDE w:val="0"/>
        <w:autoSpaceDN w:val="0"/>
        <w:adjustRightInd w:val="0"/>
        <w:spacing w:after="0" w:line="360" w:lineRule="auto"/>
        <w:ind w:left="1240"/>
        <w:jc w:val="both"/>
        <w:rPr>
          <w:rFonts w:ascii="Times New Roman" w:hAnsi="Times New Roman" w:cs="Times New Roman"/>
          <w:color w:val="0000FF"/>
          <w:sz w:val="24"/>
          <w:szCs w:val="24"/>
        </w:rPr>
      </w:pPr>
      <w:r>
        <w:rPr>
          <w:rFonts w:ascii="Times New Roman" w:hAnsi="Times New Roman" w:cs="Times New Roman"/>
          <w:color w:val="0000FF"/>
          <w:sz w:val="24"/>
          <w:szCs w:val="24"/>
        </w:rPr>
        <w:t xml:space="preserve">I completely agree with your assessment </w:t>
      </w:r>
      <w:r w:rsidR="000077A2">
        <w:rPr>
          <w:rFonts w:ascii="Times New Roman" w:hAnsi="Times New Roman" w:cs="Times New Roman"/>
          <w:color w:val="0000FF"/>
          <w:sz w:val="24"/>
          <w:szCs w:val="24"/>
        </w:rPr>
        <w:t xml:space="preserve">and Referee 2 </w:t>
      </w:r>
      <w:r>
        <w:rPr>
          <w:rFonts w:ascii="Times New Roman" w:hAnsi="Times New Roman" w:cs="Times New Roman"/>
          <w:color w:val="0000FF"/>
          <w:sz w:val="24"/>
          <w:szCs w:val="24"/>
        </w:rPr>
        <w:t>that the previous papers, both my own and the growing literature on bond-stock comovements, cannot fully examine the key empirical finding</w:t>
      </w:r>
      <w:r w:rsidR="00477650">
        <w:rPr>
          <w:rFonts w:ascii="Times New Roman" w:hAnsi="Times New Roman" w:cs="Times New Roman"/>
          <w:color w:val="0000FF"/>
          <w:sz w:val="24"/>
          <w:szCs w:val="24"/>
        </w:rPr>
        <w:t xml:space="preserve"> or reach the conclusion that a “perfect storm” is needed. I have re-written the introduction to </w:t>
      </w:r>
      <w:r w:rsidR="00782971">
        <w:rPr>
          <w:rFonts w:ascii="Times New Roman" w:hAnsi="Times New Roman" w:cs="Times New Roman"/>
          <w:color w:val="0000FF"/>
          <w:sz w:val="24"/>
          <w:szCs w:val="24"/>
        </w:rPr>
        <w:t>clarify this point</w:t>
      </w:r>
      <w:r w:rsidR="006D37E7">
        <w:rPr>
          <w:rFonts w:ascii="Times New Roman" w:hAnsi="Times New Roman" w:cs="Times New Roman"/>
          <w:color w:val="0000FF"/>
          <w:sz w:val="24"/>
          <w:szCs w:val="24"/>
        </w:rPr>
        <w:t xml:space="preserve">. </w:t>
      </w:r>
    </w:p>
    <w:p w14:paraId="3F0B9CF3" w14:textId="77777777" w:rsidR="00477650" w:rsidRDefault="00477650" w:rsidP="000141BD">
      <w:pPr>
        <w:pStyle w:val="ListParagraph"/>
        <w:widowControl w:val="0"/>
        <w:autoSpaceDE w:val="0"/>
        <w:autoSpaceDN w:val="0"/>
        <w:adjustRightInd w:val="0"/>
        <w:spacing w:after="0" w:line="360" w:lineRule="auto"/>
        <w:ind w:left="1240"/>
        <w:jc w:val="both"/>
        <w:rPr>
          <w:rFonts w:ascii="Times New Roman" w:hAnsi="Times New Roman" w:cs="Times New Roman"/>
          <w:color w:val="0000FF"/>
          <w:sz w:val="24"/>
          <w:szCs w:val="24"/>
        </w:rPr>
      </w:pPr>
    </w:p>
    <w:p w14:paraId="452CD829" w14:textId="52051C8D" w:rsidR="00CB106E" w:rsidRDefault="001302C0" w:rsidP="000141BD">
      <w:pPr>
        <w:pStyle w:val="ListParagraph"/>
        <w:widowControl w:val="0"/>
        <w:autoSpaceDE w:val="0"/>
        <w:autoSpaceDN w:val="0"/>
        <w:adjustRightInd w:val="0"/>
        <w:spacing w:after="0" w:line="360" w:lineRule="auto"/>
        <w:ind w:left="1240"/>
        <w:jc w:val="both"/>
        <w:rPr>
          <w:rFonts w:ascii="Times New Roman" w:hAnsi="Times New Roman" w:cs="Times New Roman"/>
          <w:color w:val="0000FF"/>
          <w:sz w:val="24"/>
          <w:szCs w:val="24"/>
        </w:rPr>
      </w:pPr>
      <w:r>
        <w:rPr>
          <w:rFonts w:ascii="Times New Roman" w:hAnsi="Times New Roman" w:cs="Times New Roman"/>
          <w:color w:val="0000FF"/>
          <w:sz w:val="24"/>
          <w:szCs w:val="24"/>
        </w:rPr>
        <w:t>Campbell, Pflueger, and Viceira (2020</w:t>
      </w:r>
      <w:r w:rsidR="00CB106E">
        <w:rPr>
          <w:rFonts w:ascii="Times New Roman" w:hAnsi="Times New Roman" w:cs="Times New Roman"/>
          <w:color w:val="0000FF"/>
          <w:sz w:val="24"/>
          <w:szCs w:val="24"/>
        </w:rPr>
        <w:t>, CPV</w:t>
      </w:r>
      <w:r>
        <w:rPr>
          <w:rFonts w:ascii="Times New Roman" w:hAnsi="Times New Roman" w:cs="Times New Roman"/>
          <w:color w:val="0000FF"/>
          <w:sz w:val="24"/>
          <w:szCs w:val="24"/>
        </w:rPr>
        <w:t xml:space="preserve">) </w:t>
      </w:r>
      <w:r w:rsidR="004D5E67">
        <w:rPr>
          <w:rFonts w:ascii="Times New Roman" w:hAnsi="Times New Roman" w:cs="Times New Roman"/>
          <w:color w:val="0000FF"/>
          <w:sz w:val="24"/>
          <w:szCs w:val="24"/>
        </w:rPr>
        <w:t>contains</w:t>
      </w:r>
      <w:r>
        <w:rPr>
          <w:rFonts w:ascii="Times New Roman" w:hAnsi="Times New Roman" w:cs="Times New Roman"/>
          <w:color w:val="0000FF"/>
          <w:sz w:val="24"/>
          <w:szCs w:val="24"/>
        </w:rPr>
        <w:t xml:space="preserve"> the same Euler equation, and </w:t>
      </w:r>
      <w:r w:rsidR="00172FE9">
        <w:rPr>
          <w:rFonts w:ascii="Times New Roman" w:hAnsi="Times New Roman" w:cs="Times New Roman"/>
          <w:color w:val="0000FF"/>
          <w:sz w:val="24"/>
          <w:szCs w:val="24"/>
        </w:rPr>
        <w:t xml:space="preserve"> </w:t>
      </w:r>
      <w:r w:rsidR="00CB106E">
        <w:rPr>
          <w:rFonts w:ascii="Times New Roman" w:hAnsi="Times New Roman" w:cs="Times New Roman"/>
          <w:color w:val="0000FF"/>
          <w:sz w:val="24"/>
          <w:szCs w:val="24"/>
        </w:rPr>
        <w:t xml:space="preserve"> </w:t>
      </w:r>
      <w:r>
        <w:rPr>
          <w:rFonts w:ascii="Times New Roman" w:hAnsi="Times New Roman" w:cs="Times New Roman"/>
          <w:color w:val="0000FF"/>
          <w:sz w:val="24"/>
          <w:szCs w:val="24"/>
        </w:rPr>
        <w:t>price</w:t>
      </w:r>
      <w:r w:rsidR="0054647D">
        <w:rPr>
          <w:rFonts w:ascii="Times New Roman" w:hAnsi="Times New Roman" w:cs="Times New Roman"/>
          <w:color w:val="0000FF"/>
          <w:sz w:val="24"/>
          <w:szCs w:val="24"/>
        </w:rPr>
        <w:t>s</w:t>
      </w:r>
      <w:r>
        <w:rPr>
          <w:rFonts w:ascii="Times New Roman" w:hAnsi="Times New Roman" w:cs="Times New Roman"/>
          <w:color w:val="0000FF"/>
          <w:sz w:val="24"/>
          <w:szCs w:val="24"/>
        </w:rPr>
        <w:t xml:space="preserve"> bonds and stocks using the </w:t>
      </w:r>
      <w:r w:rsidR="00172FE9">
        <w:rPr>
          <w:rFonts w:ascii="Times New Roman" w:hAnsi="Times New Roman" w:cs="Times New Roman"/>
          <w:color w:val="0000FF"/>
          <w:sz w:val="24"/>
          <w:szCs w:val="24"/>
        </w:rPr>
        <w:t xml:space="preserve">same </w:t>
      </w:r>
      <w:r>
        <w:rPr>
          <w:rFonts w:ascii="Times New Roman" w:hAnsi="Times New Roman" w:cs="Times New Roman"/>
          <w:color w:val="0000FF"/>
          <w:sz w:val="24"/>
          <w:szCs w:val="24"/>
        </w:rPr>
        <w:t>habit-formation preferences with countercyclical risk premia.</w:t>
      </w:r>
      <w:r w:rsidR="00CB106E">
        <w:rPr>
          <w:rFonts w:ascii="Times New Roman" w:hAnsi="Times New Roman" w:cs="Times New Roman"/>
          <w:color w:val="0000FF"/>
          <w:sz w:val="24"/>
          <w:szCs w:val="24"/>
        </w:rPr>
        <w:t xml:space="preserve"> However, CPV is not as microfounded as the current manuscript</w:t>
      </w:r>
      <w:r w:rsidR="00172FE9">
        <w:rPr>
          <w:rFonts w:ascii="Times New Roman" w:hAnsi="Times New Roman" w:cs="Times New Roman"/>
          <w:color w:val="0000FF"/>
          <w:sz w:val="24"/>
          <w:szCs w:val="24"/>
        </w:rPr>
        <w:t>, limiting its ability to conduct counterfactual exercises</w:t>
      </w:r>
      <w:r w:rsidR="00CB106E">
        <w:rPr>
          <w:rFonts w:ascii="Times New Roman" w:hAnsi="Times New Roman" w:cs="Times New Roman"/>
          <w:color w:val="0000FF"/>
          <w:sz w:val="24"/>
          <w:szCs w:val="24"/>
        </w:rPr>
        <w:t xml:space="preserve">. While CPV contains reduced-form equations </w:t>
      </w:r>
      <w:r w:rsidR="004D5E67">
        <w:rPr>
          <w:rFonts w:ascii="Times New Roman" w:hAnsi="Times New Roman" w:cs="Times New Roman"/>
          <w:color w:val="0000FF"/>
          <w:sz w:val="24"/>
          <w:szCs w:val="24"/>
        </w:rPr>
        <w:t>describing inflation and interest rate dynamics that bear some resemblance to a Phillips curve and Taylor rule</w:t>
      </w:r>
      <w:r w:rsidR="00CB106E">
        <w:rPr>
          <w:rFonts w:ascii="Times New Roman" w:hAnsi="Times New Roman" w:cs="Times New Roman"/>
          <w:color w:val="0000FF"/>
          <w:sz w:val="24"/>
          <w:szCs w:val="24"/>
        </w:rPr>
        <w:t xml:space="preserve">, in CPV </w:t>
      </w:r>
      <w:r w:rsidR="004D5E67">
        <w:rPr>
          <w:rFonts w:ascii="Times New Roman" w:hAnsi="Times New Roman" w:cs="Times New Roman"/>
          <w:color w:val="0000FF"/>
          <w:sz w:val="24"/>
          <w:szCs w:val="24"/>
        </w:rPr>
        <w:t xml:space="preserve">these are equilibrium dynamics and not structural equations. Concretely, </w:t>
      </w:r>
      <w:r w:rsidR="00CB106E">
        <w:rPr>
          <w:rFonts w:ascii="Times New Roman" w:hAnsi="Times New Roman" w:cs="Times New Roman"/>
          <w:color w:val="0000FF"/>
          <w:sz w:val="24"/>
          <w:szCs w:val="24"/>
        </w:rPr>
        <w:t xml:space="preserve">the coefficients in </w:t>
      </w:r>
      <w:r w:rsidR="004D5E67">
        <w:rPr>
          <w:rFonts w:ascii="Times New Roman" w:hAnsi="Times New Roman" w:cs="Times New Roman"/>
          <w:color w:val="0000FF"/>
          <w:sz w:val="24"/>
          <w:szCs w:val="24"/>
        </w:rPr>
        <w:t>CPV’s</w:t>
      </w:r>
      <w:r w:rsidR="00CB106E">
        <w:rPr>
          <w:rFonts w:ascii="Times New Roman" w:hAnsi="Times New Roman" w:cs="Times New Roman"/>
          <w:color w:val="0000FF"/>
          <w:sz w:val="24"/>
          <w:szCs w:val="24"/>
        </w:rPr>
        <w:t xml:space="preserve"> reduced-form </w:t>
      </w:r>
      <w:r w:rsidR="0054647D">
        <w:rPr>
          <w:rFonts w:ascii="Times New Roman" w:hAnsi="Times New Roman" w:cs="Times New Roman"/>
          <w:color w:val="0000FF"/>
          <w:sz w:val="24"/>
          <w:szCs w:val="24"/>
        </w:rPr>
        <w:t xml:space="preserve">inflation and interest rate dynamics </w:t>
      </w:r>
      <w:r w:rsidR="00CB106E">
        <w:rPr>
          <w:rFonts w:ascii="Times New Roman" w:hAnsi="Times New Roman" w:cs="Times New Roman"/>
          <w:color w:val="0000FF"/>
          <w:sz w:val="24"/>
          <w:szCs w:val="24"/>
        </w:rPr>
        <w:t>can take either sign</w:t>
      </w:r>
      <w:r w:rsidR="004D5E67">
        <w:rPr>
          <w:rFonts w:ascii="Times New Roman" w:hAnsi="Times New Roman" w:cs="Times New Roman"/>
          <w:color w:val="0000FF"/>
          <w:sz w:val="24"/>
          <w:szCs w:val="24"/>
        </w:rPr>
        <w:t>,</w:t>
      </w:r>
      <w:r w:rsidR="00BF4140">
        <w:rPr>
          <w:rFonts w:ascii="Times New Roman" w:hAnsi="Times New Roman" w:cs="Times New Roman"/>
          <w:color w:val="0000FF"/>
          <w:sz w:val="24"/>
          <w:szCs w:val="24"/>
        </w:rPr>
        <w:t xml:space="preserve"> and their shocks are correlated</w:t>
      </w:r>
      <w:r w:rsidR="0054647D">
        <w:rPr>
          <w:rFonts w:ascii="Times New Roman" w:hAnsi="Times New Roman" w:cs="Times New Roman"/>
          <w:color w:val="0000FF"/>
          <w:sz w:val="24"/>
          <w:szCs w:val="24"/>
        </w:rPr>
        <w:t xml:space="preserve">, so any change </w:t>
      </w:r>
      <w:r w:rsidR="004D5E67">
        <w:rPr>
          <w:rFonts w:ascii="Times New Roman" w:hAnsi="Times New Roman" w:cs="Times New Roman"/>
          <w:color w:val="0000FF"/>
          <w:sz w:val="24"/>
          <w:szCs w:val="24"/>
        </w:rPr>
        <w:t xml:space="preserve">in these </w:t>
      </w:r>
      <w:r w:rsidR="0054647D">
        <w:rPr>
          <w:rFonts w:ascii="Times New Roman" w:hAnsi="Times New Roman" w:cs="Times New Roman"/>
          <w:color w:val="0000FF"/>
          <w:sz w:val="24"/>
          <w:szCs w:val="24"/>
        </w:rPr>
        <w:t xml:space="preserve">reduced-form dynamics </w:t>
      </w:r>
      <w:r w:rsidR="00BA7B56">
        <w:rPr>
          <w:rFonts w:ascii="Times New Roman" w:hAnsi="Times New Roman" w:cs="Times New Roman"/>
          <w:color w:val="0000FF"/>
          <w:sz w:val="24"/>
          <w:szCs w:val="24"/>
        </w:rPr>
        <w:t xml:space="preserve">in CPV </w:t>
      </w:r>
      <w:r w:rsidR="004D5E67">
        <w:rPr>
          <w:rFonts w:ascii="Times New Roman" w:hAnsi="Times New Roman" w:cs="Times New Roman"/>
          <w:color w:val="0000FF"/>
          <w:sz w:val="24"/>
          <w:szCs w:val="24"/>
        </w:rPr>
        <w:t xml:space="preserve">must always be interpreted as a combination of changes </w:t>
      </w:r>
      <w:r w:rsidR="0054647D">
        <w:rPr>
          <w:rFonts w:ascii="Times New Roman" w:hAnsi="Times New Roman" w:cs="Times New Roman"/>
          <w:color w:val="0000FF"/>
          <w:sz w:val="24"/>
          <w:szCs w:val="24"/>
        </w:rPr>
        <w:t xml:space="preserve">to </w:t>
      </w:r>
      <w:r w:rsidR="004D5E67">
        <w:rPr>
          <w:rFonts w:ascii="Times New Roman" w:hAnsi="Times New Roman" w:cs="Times New Roman"/>
          <w:color w:val="0000FF"/>
          <w:sz w:val="24"/>
          <w:szCs w:val="24"/>
        </w:rPr>
        <w:t>monetary policy and the macroeconomic environment</w:t>
      </w:r>
      <w:r w:rsidR="00CB106E">
        <w:rPr>
          <w:rFonts w:ascii="Times New Roman" w:hAnsi="Times New Roman" w:cs="Times New Roman"/>
          <w:color w:val="0000FF"/>
          <w:sz w:val="24"/>
          <w:szCs w:val="24"/>
        </w:rPr>
        <w:t xml:space="preserve">. By contrast, the current manuscript </w:t>
      </w:r>
      <w:r w:rsidR="00515149">
        <w:rPr>
          <w:rFonts w:ascii="Times New Roman" w:hAnsi="Times New Roman" w:cs="Times New Roman"/>
          <w:color w:val="0000FF"/>
          <w:sz w:val="24"/>
          <w:szCs w:val="24"/>
        </w:rPr>
        <w:t xml:space="preserve">requires that the </w:t>
      </w:r>
      <w:r w:rsidR="00CB106E">
        <w:rPr>
          <w:rFonts w:ascii="Times New Roman" w:hAnsi="Times New Roman" w:cs="Times New Roman"/>
          <w:color w:val="0000FF"/>
          <w:sz w:val="24"/>
          <w:szCs w:val="24"/>
        </w:rPr>
        <w:t xml:space="preserve">Phillips curve (20) and Taylor rule (24) have coefficients in line with the prior </w:t>
      </w:r>
      <w:r w:rsidR="004D5E67">
        <w:rPr>
          <w:rFonts w:ascii="Times New Roman" w:hAnsi="Times New Roman" w:cs="Times New Roman"/>
          <w:color w:val="0000FF"/>
          <w:sz w:val="24"/>
          <w:szCs w:val="24"/>
        </w:rPr>
        <w:t xml:space="preserve">structural </w:t>
      </w:r>
      <w:r w:rsidR="00CB106E">
        <w:rPr>
          <w:rFonts w:ascii="Times New Roman" w:hAnsi="Times New Roman" w:cs="Times New Roman"/>
          <w:color w:val="0000FF"/>
          <w:sz w:val="24"/>
          <w:szCs w:val="24"/>
        </w:rPr>
        <w:t xml:space="preserve">literature, and that </w:t>
      </w:r>
      <w:r w:rsidR="00172FE9">
        <w:rPr>
          <w:rFonts w:ascii="Times New Roman" w:hAnsi="Times New Roman" w:cs="Times New Roman"/>
          <w:color w:val="0000FF"/>
          <w:sz w:val="24"/>
          <w:szCs w:val="24"/>
        </w:rPr>
        <w:t>their</w:t>
      </w:r>
      <w:r w:rsidR="004D5E67">
        <w:rPr>
          <w:rFonts w:ascii="Times New Roman" w:hAnsi="Times New Roman" w:cs="Times New Roman"/>
          <w:color w:val="0000FF"/>
          <w:sz w:val="24"/>
          <w:szCs w:val="24"/>
        </w:rPr>
        <w:t xml:space="preserve"> shocks </w:t>
      </w:r>
      <w:r w:rsidR="00CB106E">
        <w:rPr>
          <w:rFonts w:ascii="Times New Roman" w:hAnsi="Times New Roman" w:cs="Times New Roman"/>
          <w:color w:val="0000FF"/>
          <w:sz w:val="24"/>
          <w:szCs w:val="24"/>
        </w:rPr>
        <w:t>are uncorrelated</w:t>
      </w:r>
      <w:r w:rsidR="00172FE9">
        <w:rPr>
          <w:rFonts w:ascii="Times New Roman" w:hAnsi="Times New Roman" w:cs="Times New Roman"/>
          <w:color w:val="0000FF"/>
          <w:sz w:val="24"/>
          <w:szCs w:val="24"/>
        </w:rPr>
        <w:t xml:space="preserve"> as is standard for structural shocks</w:t>
      </w:r>
      <w:r w:rsidR="00CB106E">
        <w:rPr>
          <w:rFonts w:ascii="Times New Roman" w:hAnsi="Times New Roman" w:cs="Times New Roman"/>
          <w:color w:val="0000FF"/>
          <w:sz w:val="24"/>
          <w:szCs w:val="24"/>
        </w:rPr>
        <w:t xml:space="preserve">. </w:t>
      </w:r>
      <w:r w:rsidR="00172FE9">
        <w:rPr>
          <w:rFonts w:ascii="Times New Roman" w:hAnsi="Times New Roman" w:cs="Times New Roman"/>
          <w:color w:val="0000FF"/>
          <w:sz w:val="24"/>
          <w:szCs w:val="24"/>
        </w:rPr>
        <w:t>The model</w:t>
      </w:r>
      <w:r w:rsidR="0054647D">
        <w:rPr>
          <w:rFonts w:ascii="Times New Roman" w:hAnsi="Times New Roman" w:cs="Times New Roman"/>
          <w:color w:val="0000FF"/>
          <w:sz w:val="24"/>
          <w:szCs w:val="24"/>
        </w:rPr>
        <w:t xml:space="preserve"> in CPV </w:t>
      </w:r>
      <w:r w:rsidR="00172FE9">
        <w:rPr>
          <w:rFonts w:ascii="Times New Roman" w:hAnsi="Times New Roman" w:cs="Times New Roman"/>
          <w:color w:val="0000FF"/>
          <w:sz w:val="24"/>
          <w:szCs w:val="24"/>
        </w:rPr>
        <w:t xml:space="preserve">is therefore not sufficient to understand how counterfactual changes in </w:t>
      </w:r>
      <w:r w:rsidR="00BA7B56">
        <w:rPr>
          <w:rFonts w:ascii="Times New Roman" w:hAnsi="Times New Roman" w:cs="Times New Roman"/>
          <w:color w:val="0000FF"/>
          <w:sz w:val="24"/>
          <w:szCs w:val="24"/>
        </w:rPr>
        <w:t xml:space="preserve">macroeconomic volatilities </w:t>
      </w:r>
      <w:r w:rsidR="00172FE9">
        <w:rPr>
          <w:rFonts w:ascii="Times New Roman" w:hAnsi="Times New Roman" w:cs="Times New Roman"/>
          <w:color w:val="0000FF"/>
          <w:sz w:val="24"/>
          <w:szCs w:val="24"/>
        </w:rPr>
        <w:t>and</w:t>
      </w:r>
      <w:r w:rsidR="00BA7B56">
        <w:rPr>
          <w:rFonts w:ascii="Times New Roman" w:hAnsi="Times New Roman" w:cs="Times New Roman"/>
          <w:color w:val="0000FF"/>
          <w:sz w:val="24"/>
          <w:szCs w:val="24"/>
        </w:rPr>
        <w:t xml:space="preserve"> Taylor rule coefficients </w:t>
      </w:r>
      <w:r w:rsidR="00172FE9">
        <w:rPr>
          <w:rFonts w:ascii="Times New Roman" w:hAnsi="Times New Roman" w:cs="Times New Roman"/>
          <w:color w:val="0000FF"/>
          <w:sz w:val="24"/>
          <w:szCs w:val="24"/>
        </w:rPr>
        <w:t xml:space="preserve">impact bond-stock betas. </w:t>
      </w:r>
      <w:r w:rsidR="00515149">
        <w:rPr>
          <w:rFonts w:ascii="Times New Roman" w:hAnsi="Times New Roman" w:cs="Times New Roman"/>
          <w:color w:val="0000FF"/>
          <w:sz w:val="24"/>
          <w:szCs w:val="24"/>
        </w:rPr>
        <w:t xml:space="preserve"> </w:t>
      </w:r>
    </w:p>
    <w:p w14:paraId="4959E729" w14:textId="77777777" w:rsidR="0054647D" w:rsidRDefault="0054647D" w:rsidP="000141BD">
      <w:pPr>
        <w:pStyle w:val="ListParagraph"/>
        <w:widowControl w:val="0"/>
        <w:autoSpaceDE w:val="0"/>
        <w:autoSpaceDN w:val="0"/>
        <w:adjustRightInd w:val="0"/>
        <w:spacing w:after="0" w:line="360" w:lineRule="auto"/>
        <w:ind w:left="1240"/>
        <w:jc w:val="both"/>
        <w:rPr>
          <w:rFonts w:ascii="Times New Roman" w:hAnsi="Times New Roman" w:cs="Times New Roman"/>
          <w:color w:val="0000FF"/>
          <w:sz w:val="24"/>
          <w:szCs w:val="24"/>
        </w:rPr>
      </w:pPr>
    </w:p>
    <w:p w14:paraId="40A8DFC0" w14:textId="39CC53A2" w:rsidR="0054647D" w:rsidRDefault="0054647D" w:rsidP="000141BD">
      <w:pPr>
        <w:pStyle w:val="ListParagraph"/>
        <w:widowControl w:val="0"/>
        <w:autoSpaceDE w:val="0"/>
        <w:autoSpaceDN w:val="0"/>
        <w:adjustRightInd w:val="0"/>
        <w:spacing w:after="0" w:line="360" w:lineRule="auto"/>
        <w:ind w:left="1240"/>
        <w:jc w:val="both"/>
        <w:rPr>
          <w:rFonts w:ascii="Times New Roman" w:hAnsi="Times New Roman" w:cs="Times New Roman"/>
          <w:color w:val="0000FF"/>
          <w:sz w:val="24"/>
          <w:szCs w:val="24"/>
        </w:rPr>
      </w:pPr>
      <w:r>
        <w:rPr>
          <w:rFonts w:ascii="Times New Roman" w:hAnsi="Times New Roman" w:cs="Times New Roman"/>
          <w:color w:val="0000FF"/>
          <w:sz w:val="24"/>
          <w:szCs w:val="24"/>
        </w:rPr>
        <w:t xml:space="preserve">The model in Pflueger and Rinaldi (2022, PR) is more similar to the current one, containing a structural Phillips curve and a Taylor-type monetary policy rule, but </w:t>
      </w:r>
      <w:r w:rsidR="00172FE9">
        <w:rPr>
          <w:rFonts w:ascii="Times New Roman" w:hAnsi="Times New Roman" w:cs="Times New Roman"/>
          <w:color w:val="0000FF"/>
          <w:sz w:val="24"/>
          <w:szCs w:val="24"/>
        </w:rPr>
        <w:t xml:space="preserve">PR does not study </w:t>
      </w:r>
      <w:r w:rsidR="005325D4">
        <w:rPr>
          <w:rFonts w:ascii="Times New Roman" w:hAnsi="Times New Roman" w:cs="Times New Roman"/>
          <w:color w:val="0000FF"/>
          <w:sz w:val="24"/>
          <w:szCs w:val="24"/>
        </w:rPr>
        <w:t xml:space="preserve">changing bond risks </w:t>
      </w:r>
      <w:r w:rsidR="00490D4F">
        <w:rPr>
          <w:rFonts w:ascii="Times New Roman" w:hAnsi="Times New Roman" w:cs="Times New Roman"/>
          <w:color w:val="0000FF"/>
          <w:sz w:val="24"/>
          <w:szCs w:val="24"/>
        </w:rPr>
        <w:t xml:space="preserve">and its model </w:t>
      </w:r>
      <w:r w:rsidR="005325D4">
        <w:rPr>
          <w:rFonts w:ascii="Times New Roman" w:hAnsi="Times New Roman" w:cs="Times New Roman"/>
          <w:color w:val="0000FF"/>
          <w:sz w:val="24"/>
          <w:szCs w:val="24"/>
        </w:rPr>
        <w:t>is</w:t>
      </w:r>
      <w:r w:rsidR="00490D4F">
        <w:rPr>
          <w:rFonts w:ascii="Times New Roman" w:hAnsi="Times New Roman" w:cs="Times New Roman"/>
          <w:color w:val="0000FF"/>
          <w:sz w:val="24"/>
          <w:szCs w:val="24"/>
        </w:rPr>
        <w:t xml:space="preserve"> insufficient to reach the </w:t>
      </w:r>
      <w:r w:rsidR="00490D4F">
        <w:rPr>
          <w:rFonts w:ascii="Times New Roman" w:hAnsi="Times New Roman" w:cs="Times New Roman"/>
          <w:color w:val="0000FF"/>
          <w:sz w:val="24"/>
          <w:szCs w:val="24"/>
        </w:rPr>
        <w:lastRenderedPageBreak/>
        <w:t xml:space="preserve">central conclusion of this manuscript. </w:t>
      </w:r>
      <w:r w:rsidR="00172FE9">
        <w:rPr>
          <w:rFonts w:ascii="Times New Roman" w:hAnsi="Times New Roman" w:cs="Times New Roman"/>
          <w:color w:val="0000FF"/>
          <w:sz w:val="24"/>
          <w:szCs w:val="24"/>
        </w:rPr>
        <w:t>The</w:t>
      </w:r>
      <w:r>
        <w:rPr>
          <w:rFonts w:ascii="Times New Roman" w:hAnsi="Times New Roman" w:cs="Times New Roman"/>
          <w:color w:val="0000FF"/>
          <w:sz w:val="24"/>
          <w:szCs w:val="24"/>
        </w:rPr>
        <w:t xml:space="preserve"> current model contains some important changes compared to PR, in particular both demand and supply shocks (which PR do</w:t>
      </w:r>
      <w:r w:rsidR="000C4316">
        <w:rPr>
          <w:rFonts w:ascii="Times New Roman" w:hAnsi="Times New Roman" w:cs="Times New Roman"/>
          <w:color w:val="0000FF"/>
          <w:sz w:val="24"/>
          <w:szCs w:val="24"/>
        </w:rPr>
        <w:t>es</w:t>
      </w:r>
      <w:r>
        <w:rPr>
          <w:rFonts w:ascii="Times New Roman" w:hAnsi="Times New Roman" w:cs="Times New Roman"/>
          <w:color w:val="0000FF"/>
          <w:sz w:val="24"/>
          <w:szCs w:val="24"/>
        </w:rPr>
        <w:t xml:space="preserve"> not have), and potentially adaptive inflation expectations. </w:t>
      </w:r>
      <w:r w:rsidR="000C4316">
        <w:rPr>
          <w:rFonts w:ascii="Times New Roman" w:hAnsi="Times New Roman" w:cs="Times New Roman"/>
          <w:color w:val="0000FF"/>
          <w:sz w:val="24"/>
          <w:szCs w:val="24"/>
        </w:rPr>
        <w:t xml:space="preserve">The ability to perform counterfactual exercises to assess the </w:t>
      </w:r>
      <w:r w:rsidR="00477650">
        <w:rPr>
          <w:rFonts w:ascii="Times New Roman" w:hAnsi="Times New Roman" w:cs="Times New Roman"/>
          <w:color w:val="0000FF"/>
          <w:sz w:val="24"/>
          <w:szCs w:val="24"/>
        </w:rPr>
        <w:t>impact</w:t>
      </w:r>
      <w:r w:rsidR="000C4316">
        <w:rPr>
          <w:rFonts w:ascii="Times New Roman" w:hAnsi="Times New Roman" w:cs="Times New Roman"/>
          <w:color w:val="0000FF"/>
          <w:sz w:val="24"/>
          <w:szCs w:val="24"/>
        </w:rPr>
        <w:t xml:space="preserve"> of changes in the macroeconomic shock volatilities </w:t>
      </w:r>
      <w:r w:rsidR="00477650">
        <w:rPr>
          <w:rFonts w:ascii="Times New Roman" w:hAnsi="Times New Roman" w:cs="Times New Roman"/>
          <w:color w:val="0000FF"/>
          <w:sz w:val="24"/>
          <w:szCs w:val="24"/>
        </w:rPr>
        <w:t xml:space="preserve">and Taylor rule coefficients on bond-stock betas </w:t>
      </w:r>
      <w:r w:rsidR="000C4316">
        <w:rPr>
          <w:rFonts w:ascii="Times New Roman" w:hAnsi="Times New Roman" w:cs="Times New Roman"/>
          <w:color w:val="0000FF"/>
          <w:sz w:val="24"/>
          <w:szCs w:val="24"/>
        </w:rPr>
        <w:t xml:space="preserve">therefore sets this paper apart from </w:t>
      </w:r>
      <w:r w:rsidR="00490D4F">
        <w:rPr>
          <w:rFonts w:ascii="Times New Roman" w:hAnsi="Times New Roman" w:cs="Times New Roman"/>
          <w:color w:val="0000FF"/>
          <w:sz w:val="24"/>
          <w:szCs w:val="24"/>
        </w:rPr>
        <w:t xml:space="preserve">CPV and </w:t>
      </w:r>
      <w:r w:rsidR="000C4316">
        <w:rPr>
          <w:rFonts w:ascii="Times New Roman" w:hAnsi="Times New Roman" w:cs="Times New Roman"/>
          <w:color w:val="0000FF"/>
          <w:sz w:val="24"/>
          <w:szCs w:val="24"/>
        </w:rPr>
        <w:t xml:space="preserve">PR. </w:t>
      </w:r>
    </w:p>
    <w:p w14:paraId="2539DC6E" w14:textId="77777777" w:rsidR="000077A2" w:rsidRDefault="000077A2" w:rsidP="000141BD">
      <w:pPr>
        <w:pStyle w:val="ListParagraph"/>
        <w:widowControl w:val="0"/>
        <w:autoSpaceDE w:val="0"/>
        <w:autoSpaceDN w:val="0"/>
        <w:adjustRightInd w:val="0"/>
        <w:spacing w:after="0" w:line="360" w:lineRule="auto"/>
        <w:ind w:left="1240"/>
        <w:jc w:val="both"/>
        <w:rPr>
          <w:rFonts w:ascii="Times New Roman" w:hAnsi="Times New Roman" w:cs="Times New Roman"/>
          <w:color w:val="0000FF"/>
          <w:sz w:val="24"/>
          <w:szCs w:val="24"/>
        </w:rPr>
      </w:pPr>
    </w:p>
    <w:p w14:paraId="2A5566DE" w14:textId="51AD46C2" w:rsidR="002F1B72" w:rsidRDefault="000077A2" w:rsidP="00AB2B45">
      <w:pPr>
        <w:autoSpaceDE w:val="0"/>
        <w:autoSpaceDN w:val="0"/>
        <w:adjustRightInd w:val="0"/>
        <w:spacing w:after="0" w:line="360" w:lineRule="auto"/>
        <w:ind w:left="1238"/>
        <w:rPr>
          <w:rFonts w:ascii="Times New Roman" w:hAnsi="Times New Roman" w:cs="Times New Roman"/>
          <w:color w:val="0000FF"/>
          <w:sz w:val="24"/>
          <w:szCs w:val="24"/>
        </w:rPr>
      </w:pPr>
      <w:r>
        <w:rPr>
          <w:rFonts w:ascii="Times New Roman" w:hAnsi="Times New Roman" w:cs="Times New Roman"/>
          <w:color w:val="0000FF"/>
          <w:sz w:val="24"/>
          <w:szCs w:val="24"/>
        </w:rPr>
        <w:t>Regarding the broader literature on changing bond-stock comovements, there are several features that set the current manuscript apart.</w:t>
      </w:r>
      <w:r w:rsidR="002F1B72">
        <w:rPr>
          <w:rFonts w:ascii="Times New Roman" w:hAnsi="Times New Roman" w:cs="Times New Roman"/>
          <w:color w:val="0000FF"/>
          <w:sz w:val="24"/>
          <w:szCs w:val="24"/>
        </w:rPr>
        <w:t xml:space="preserve"> As discussed by Referee 2, various channels have been proposed in the literature to explain the changes in bond-stock betas over the past four decades, including changing inflation risks (</w:t>
      </w:r>
      <w:r w:rsidR="006D4542">
        <w:rPr>
          <w:rFonts w:ascii="Times New Roman" w:hAnsi="Times New Roman" w:cs="Times New Roman"/>
          <w:color w:val="0000FF"/>
          <w:sz w:val="24"/>
          <w:szCs w:val="24"/>
        </w:rPr>
        <w:t xml:space="preserve">Piazzesi and Schneider (2006), </w:t>
      </w:r>
      <w:r w:rsidR="002F1B72" w:rsidRPr="002F1B72">
        <w:rPr>
          <w:rFonts w:ascii="Times New Roman" w:hAnsi="Times New Roman" w:cs="Times New Roman"/>
          <w:color w:val="0000FF"/>
          <w:sz w:val="24"/>
          <w:szCs w:val="24"/>
        </w:rPr>
        <w:t xml:space="preserve">David and Veronesi (2013), Song (2017), </w:t>
      </w:r>
      <w:r w:rsidR="00A6172C">
        <w:rPr>
          <w:rFonts w:ascii="Times New Roman" w:hAnsi="Times New Roman" w:cs="Times New Roman"/>
          <w:color w:val="0000FF"/>
          <w:sz w:val="24"/>
          <w:szCs w:val="24"/>
        </w:rPr>
        <w:t xml:space="preserve">Bekaert and Engstrom (2017), </w:t>
      </w:r>
      <w:r w:rsidR="002F1B72" w:rsidRPr="002F1B72">
        <w:rPr>
          <w:rFonts w:ascii="Times New Roman" w:hAnsi="Times New Roman" w:cs="Times New Roman"/>
          <w:color w:val="0000FF"/>
          <w:sz w:val="24"/>
          <w:szCs w:val="24"/>
        </w:rPr>
        <w:t>Campbell, Pflueger, and Viceira (2020), Gourio and Ngo (2020), and Fang, Liu, and Roussanov (2022)); liquidity, flight-to-safety, and time</w:t>
      </w:r>
      <w:r w:rsidR="002F1B72">
        <w:rPr>
          <w:rFonts w:ascii="Times New Roman" w:hAnsi="Times New Roman" w:cs="Times New Roman"/>
          <w:color w:val="0000FF"/>
          <w:sz w:val="24"/>
          <w:szCs w:val="24"/>
        </w:rPr>
        <w:t>-</w:t>
      </w:r>
      <w:r w:rsidR="002F1B72" w:rsidRPr="002F1B72">
        <w:rPr>
          <w:rFonts w:ascii="Times New Roman" w:hAnsi="Times New Roman" w:cs="Times New Roman"/>
          <w:color w:val="0000FF"/>
          <w:sz w:val="24"/>
          <w:szCs w:val="24"/>
        </w:rPr>
        <w:t>varying</w:t>
      </w:r>
      <w:r w:rsidR="002F1B72">
        <w:rPr>
          <w:rFonts w:ascii="Times New Roman" w:hAnsi="Times New Roman" w:cs="Times New Roman"/>
          <w:color w:val="0000FF"/>
          <w:sz w:val="24"/>
          <w:szCs w:val="24"/>
        </w:rPr>
        <w:t xml:space="preserve"> </w:t>
      </w:r>
      <w:r w:rsidR="002F1B72" w:rsidRPr="002F1B72">
        <w:rPr>
          <w:rFonts w:ascii="Times New Roman" w:hAnsi="Times New Roman" w:cs="Times New Roman"/>
          <w:color w:val="0000FF"/>
          <w:sz w:val="24"/>
          <w:szCs w:val="24"/>
        </w:rPr>
        <w:t xml:space="preserve">risk aversion </w:t>
      </w:r>
      <w:r w:rsidR="002F1B72">
        <w:rPr>
          <w:rFonts w:ascii="Times New Roman" w:hAnsi="Times New Roman" w:cs="Times New Roman"/>
          <w:color w:val="0000FF"/>
          <w:sz w:val="24"/>
          <w:szCs w:val="24"/>
        </w:rPr>
        <w:t xml:space="preserve"> (</w:t>
      </w:r>
      <w:r w:rsidR="002F1B72" w:rsidRPr="002F1B72">
        <w:rPr>
          <w:rFonts w:ascii="Times New Roman" w:hAnsi="Times New Roman" w:cs="Times New Roman"/>
          <w:color w:val="0000FF"/>
          <w:sz w:val="24"/>
          <w:szCs w:val="24"/>
        </w:rPr>
        <w:t>Baele, Bekaert, and Inghelbrecht (2010), Kozak (2022),</w:t>
      </w:r>
      <w:r w:rsidR="002F1B72">
        <w:rPr>
          <w:rFonts w:ascii="Times New Roman" w:hAnsi="Times New Roman" w:cs="Times New Roman"/>
          <w:color w:val="0000FF"/>
          <w:sz w:val="24"/>
          <w:szCs w:val="24"/>
        </w:rPr>
        <w:t xml:space="preserve"> </w:t>
      </w:r>
      <w:r w:rsidR="002F1B72" w:rsidRPr="002F1B72">
        <w:rPr>
          <w:rFonts w:ascii="Times New Roman" w:hAnsi="Times New Roman" w:cs="Times New Roman"/>
          <w:color w:val="0000FF"/>
          <w:sz w:val="24"/>
          <w:szCs w:val="24"/>
        </w:rPr>
        <w:t>and Laarits (2022)</w:t>
      </w:r>
      <w:r w:rsidR="002F1B72">
        <w:rPr>
          <w:rFonts w:ascii="Times New Roman" w:hAnsi="Times New Roman" w:cs="Times New Roman"/>
          <w:color w:val="0000FF"/>
          <w:sz w:val="24"/>
          <w:szCs w:val="24"/>
        </w:rPr>
        <w:t>)</w:t>
      </w:r>
      <w:r w:rsidR="002F1B72" w:rsidRPr="002F1B72">
        <w:rPr>
          <w:rFonts w:ascii="Times New Roman" w:hAnsi="Times New Roman" w:cs="Times New Roman"/>
          <w:color w:val="0000FF"/>
          <w:sz w:val="24"/>
          <w:szCs w:val="24"/>
        </w:rPr>
        <w:t xml:space="preserve">; permanent-transitory compositional changes </w:t>
      </w:r>
      <w:r w:rsidR="002F1B72">
        <w:rPr>
          <w:rFonts w:ascii="Times New Roman" w:hAnsi="Times New Roman" w:cs="Times New Roman"/>
          <w:color w:val="0000FF"/>
          <w:sz w:val="24"/>
          <w:szCs w:val="24"/>
        </w:rPr>
        <w:t>of consumption growth (</w:t>
      </w:r>
      <w:r w:rsidR="002F1B72" w:rsidRPr="002F1B72">
        <w:rPr>
          <w:rFonts w:ascii="Times New Roman" w:hAnsi="Times New Roman" w:cs="Times New Roman"/>
          <w:color w:val="0000FF"/>
          <w:sz w:val="24"/>
          <w:szCs w:val="24"/>
        </w:rPr>
        <w:t>Chernov,</w:t>
      </w:r>
      <w:r w:rsidR="002F1B72">
        <w:rPr>
          <w:rFonts w:ascii="Times New Roman" w:hAnsi="Times New Roman" w:cs="Times New Roman"/>
          <w:color w:val="0000FF"/>
          <w:sz w:val="24"/>
          <w:szCs w:val="24"/>
        </w:rPr>
        <w:t xml:space="preserve"> </w:t>
      </w:r>
      <w:r w:rsidR="002F1B72" w:rsidRPr="002F1B72">
        <w:rPr>
          <w:rFonts w:ascii="Times New Roman" w:hAnsi="Times New Roman" w:cs="Times New Roman"/>
          <w:color w:val="0000FF"/>
          <w:sz w:val="24"/>
          <w:szCs w:val="24"/>
        </w:rPr>
        <w:t>Lochstoer, and Song (2021)</w:t>
      </w:r>
      <w:r w:rsidR="002F1B72">
        <w:rPr>
          <w:rFonts w:ascii="Times New Roman" w:hAnsi="Times New Roman" w:cs="Times New Roman"/>
          <w:color w:val="0000FF"/>
          <w:sz w:val="24"/>
          <w:szCs w:val="24"/>
        </w:rPr>
        <w:t>)</w:t>
      </w:r>
      <w:r w:rsidR="002F1B72" w:rsidRPr="002F1B72">
        <w:rPr>
          <w:rFonts w:ascii="Times New Roman" w:hAnsi="Times New Roman" w:cs="Times New Roman"/>
          <w:color w:val="0000FF"/>
          <w:sz w:val="24"/>
          <w:szCs w:val="24"/>
        </w:rPr>
        <w:t xml:space="preserve">; and </w:t>
      </w:r>
      <w:r w:rsidR="002F1B72">
        <w:rPr>
          <w:rFonts w:ascii="Times New Roman" w:hAnsi="Times New Roman" w:cs="Times New Roman"/>
          <w:color w:val="0000FF"/>
          <w:sz w:val="24"/>
          <w:szCs w:val="24"/>
        </w:rPr>
        <w:t xml:space="preserve">changes in the </w:t>
      </w:r>
      <w:r w:rsidR="002F1B72" w:rsidRPr="002F1B72">
        <w:rPr>
          <w:rFonts w:ascii="Times New Roman" w:hAnsi="Times New Roman" w:cs="Times New Roman"/>
          <w:color w:val="0000FF"/>
          <w:sz w:val="24"/>
          <w:szCs w:val="24"/>
        </w:rPr>
        <w:t xml:space="preserve">monetary-fiscal mix regimes explored </w:t>
      </w:r>
      <w:r w:rsidR="002F1B72">
        <w:rPr>
          <w:rFonts w:ascii="Times New Roman" w:hAnsi="Times New Roman" w:cs="Times New Roman"/>
          <w:color w:val="0000FF"/>
          <w:sz w:val="24"/>
          <w:szCs w:val="24"/>
        </w:rPr>
        <w:t>(</w:t>
      </w:r>
      <w:r w:rsidR="002F1B72" w:rsidRPr="002F1B72">
        <w:rPr>
          <w:rFonts w:ascii="Times New Roman" w:hAnsi="Times New Roman" w:cs="Times New Roman"/>
          <w:color w:val="0000FF"/>
          <w:sz w:val="24"/>
          <w:szCs w:val="24"/>
        </w:rPr>
        <w:t>Li, Zha,</w:t>
      </w:r>
      <w:r w:rsidR="002F1B72">
        <w:rPr>
          <w:rFonts w:ascii="Times New Roman" w:hAnsi="Times New Roman" w:cs="Times New Roman"/>
          <w:color w:val="0000FF"/>
          <w:sz w:val="24"/>
          <w:szCs w:val="24"/>
        </w:rPr>
        <w:t xml:space="preserve"> </w:t>
      </w:r>
      <w:r w:rsidR="002F1B72" w:rsidRPr="002F1B72">
        <w:rPr>
          <w:rFonts w:ascii="Times New Roman" w:hAnsi="Times New Roman" w:cs="Times New Roman"/>
          <w:color w:val="0000FF"/>
          <w:sz w:val="24"/>
          <w:szCs w:val="24"/>
        </w:rPr>
        <w:t>Zhang, and Zhou (2022)</w:t>
      </w:r>
      <w:r w:rsidR="002F1B72">
        <w:rPr>
          <w:rFonts w:ascii="Times New Roman" w:hAnsi="Times New Roman" w:cs="Times New Roman"/>
          <w:color w:val="0000FF"/>
          <w:sz w:val="24"/>
          <w:szCs w:val="24"/>
        </w:rPr>
        <w:t>).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While fiscal factors are not explicitly incorporated into the model, they can be thought of entering either as stimulating demand or driving inflation expectations similar</w:t>
      </w:r>
      <w:r w:rsidR="00B33C77">
        <w:rPr>
          <w:rFonts w:ascii="Times New Roman" w:hAnsi="Times New Roman" w:cs="Times New Roman"/>
          <w:color w:val="0000FF"/>
          <w:sz w:val="24"/>
          <w:szCs w:val="24"/>
        </w:rPr>
        <w:t>ly to</w:t>
      </w:r>
      <w:r w:rsidR="002F1B72">
        <w:rPr>
          <w:rFonts w:ascii="Times New Roman" w:hAnsi="Times New Roman" w:cs="Times New Roman"/>
          <w:color w:val="0000FF"/>
          <w:sz w:val="24"/>
          <w:szCs w:val="24"/>
        </w:rPr>
        <w:t xml:space="preserve"> supply-type shock</w:t>
      </w:r>
      <w:r w:rsidR="00B33C77">
        <w:rPr>
          <w:rFonts w:ascii="Times New Roman" w:hAnsi="Times New Roman" w:cs="Times New Roman"/>
          <w:color w:val="0000FF"/>
          <w:sz w:val="24"/>
          <w:szCs w:val="24"/>
        </w:rPr>
        <w:t>s</w:t>
      </w:r>
      <w:r w:rsidR="002F1B72">
        <w:rPr>
          <w:rFonts w:ascii="Times New Roman" w:hAnsi="Times New Roman" w:cs="Times New Roman"/>
          <w:color w:val="0000FF"/>
          <w:sz w:val="24"/>
          <w:szCs w:val="24"/>
        </w:rPr>
        <w:t xml:space="preserve"> (Bianchi, Faccini, and Melosi (2023)).</w:t>
      </w:r>
    </w:p>
    <w:p w14:paraId="351FFB0F" w14:textId="77777777" w:rsidR="002F1B72" w:rsidRDefault="002F1B72" w:rsidP="00AB2B45">
      <w:pPr>
        <w:autoSpaceDE w:val="0"/>
        <w:autoSpaceDN w:val="0"/>
        <w:adjustRightInd w:val="0"/>
        <w:spacing w:after="0" w:line="360" w:lineRule="auto"/>
        <w:ind w:left="1238"/>
        <w:rPr>
          <w:rFonts w:ascii="Times New Roman" w:hAnsi="Times New Roman" w:cs="Times New Roman"/>
          <w:color w:val="0000FF"/>
          <w:sz w:val="24"/>
          <w:szCs w:val="24"/>
        </w:rPr>
      </w:pPr>
    </w:p>
    <w:p w14:paraId="262171E6" w14:textId="20254F63" w:rsidR="00FC1403" w:rsidRDefault="00EA50D4" w:rsidP="00AB2B45">
      <w:pPr>
        <w:autoSpaceDE w:val="0"/>
        <w:autoSpaceDN w:val="0"/>
        <w:adjustRightInd w:val="0"/>
        <w:spacing w:after="0" w:line="360" w:lineRule="auto"/>
        <w:ind w:left="1238"/>
        <w:rPr>
          <w:rFonts w:ascii="Times New Roman" w:hAnsi="Times New Roman" w:cs="Times New Roman"/>
          <w:color w:val="0000FF"/>
          <w:sz w:val="24"/>
          <w:szCs w:val="24"/>
        </w:rPr>
      </w:pPr>
      <w:r>
        <w:rPr>
          <w:rFonts w:ascii="Times New Roman" w:hAnsi="Times New Roman" w:cs="Times New Roman"/>
          <w:color w:val="0000FF"/>
          <w:sz w:val="24"/>
          <w:szCs w:val="24"/>
        </w:rPr>
        <w:t xml:space="preserve">One </w:t>
      </w:r>
      <w:r w:rsidR="00FC1403">
        <w:rPr>
          <w:rFonts w:ascii="Times New Roman" w:hAnsi="Times New Roman" w:cs="Times New Roman"/>
          <w:color w:val="0000FF"/>
          <w:sz w:val="24"/>
          <w:szCs w:val="24"/>
        </w:rPr>
        <w:t xml:space="preserve">particularly </w:t>
      </w:r>
      <w:r>
        <w:rPr>
          <w:rFonts w:ascii="Times New Roman" w:hAnsi="Times New Roman" w:cs="Times New Roman"/>
          <w:color w:val="0000FF"/>
          <w:sz w:val="24"/>
          <w:szCs w:val="24"/>
        </w:rPr>
        <w:t xml:space="preserve">closely related paper is </w:t>
      </w:r>
      <w:r w:rsidR="002F1B72">
        <w:rPr>
          <w:rFonts w:ascii="Times New Roman" w:hAnsi="Times New Roman" w:cs="Times New Roman"/>
          <w:color w:val="0000FF"/>
          <w:sz w:val="24"/>
          <w:szCs w:val="24"/>
        </w:rPr>
        <w:t>Song (2017)</w:t>
      </w:r>
      <w:r w:rsidR="00FC1403">
        <w:rPr>
          <w:rFonts w:ascii="Times New Roman" w:hAnsi="Times New Roman" w:cs="Times New Roman"/>
          <w:color w:val="0000FF"/>
          <w:sz w:val="24"/>
          <w:szCs w:val="24"/>
        </w:rPr>
        <w:t xml:space="preserve">, which however </w:t>
      </w:r>
      <w:r>
        <w:rPr>
          <w:rFonts w:ascii="Times New Roman" w:hAnsi="Times New Roman" w:cs="Times New Roman"/>
          <w:color w:val="0000FF"/>
          <w:sz w:val="24"/>
          <w:szCs w:val="24"/>
        </w:rPr>
        <w:t xml:space="preserve">considers a more reduced-form setup featuring an endowment economy and an exogenous process for the correlation between the central bank’s inflation target and real </w:t>
      </w:r>
      <w:r>
        <w:rPr>
          <w:rFonts w:ascii="Times New Roman" w:hAnsi="Times New Roman" w:cs="Times New Roman"/>
          <w:color w:val="0000FF"/>
          <w:sz w:val="24"/>
          <w:szCs w:val="24"/>
        </w:rPr>
        <w:lastRenderedPageBreak/>
        <w:t>consumption growth</w:t>
      </w:r>
      <w:r w:rsidR="00FC1403">
        <w:rPr>
          <w:rFonts w:ascii="Times New Roman" w:hAnsi="Times New Roman" w:cs="Times New Roman"/>
          <w:color w:val="0000FF"/>
          <w:sz w:val="24"/>
          <w:szCs w:val="24"/>
        </w:rPr>
        <w:t xml:space="preserve">. </w:t>
      </w:r>
      <w:r>
        <w:rPr>
          <w:rFonts w:ascii="Times New Roman" w:hAnsi="Times New Roman" w:cs="Times New Roman"/>
          <w:color w:val="0000FF"/>
          <w:sz w:val="24"/>
          <w:szCs w:val="24"/>
        </w:rPr>
        <w:t>By contrast, in the current manuscript, the inflation-consumption correlation and the permanent-transitory decomposition of consumption growth are endogenous to the volatilities of macroeconomic shocks and monetary policy</w:t>
      </w:r>
      <w:r w:rsidR="00FC1403">
        <w:rPr>
          <w:rFonts w:ascii="Times New Roman" w:hAnsi="Times New Roman" w:cs="Times New Roman"/>
          <w:color w:val="0000FF"/>
          <w:sz w:val="24"/>
          <w:szCs w:val="24"/>
        </w:rPr>
        <w:t>.</w:t>
      </w:r>
    </w:p>
    <w:p w14:paraId="3363E768" w14:textId="33142021" w:rsidR="00AB2B45" w:rsidRPr="00AB2B45" w:rsidRDefault="00EA50D4" w:rsidP="00AB2B45">
      <w:pPr>
        <w:autoSpaceDE w:val="0"/>
        <w:autoSpaceDN w:val="0"/>
        <w:adjustRightInd w:val="0"/>
        <w:spacing w:after="0" w:line="360" w:lineRule="auto"/>
        <w:ind w:left="1238"/>
        <w:rPr>
          <w:rFonts w:ascii="Times New Roman" w:hAnsi="Times New Roman" w:cs="Times New Roman"/>
          <w:color w:val="0000FF"/>
          <w:sz w:val="24"/>
          <w:szCs w:val="24"/>
        </w:rPr>
      </w:pPr>
      <w:r>
        <w:rPr>
          <w:rFonts w:ascii="Times New Roman" w:hAnsi="Times New Roman" w:cs="Times New Roman"/>
          <w:color w:val="0000FF"/>
          <w:sz w:val="24"/>
          <w:szCs w:val="24"/>
        </w:rPr>
        <w:t xml:space="preserve"> </w:t>
      </w:r>
    </w:p>
    <w:p w14:paraId="5739D2D1" w14:textId="5D18CDF9" w:rsidR="000077A2" w:rsidRDefault="003C397E" w:rsidP="00DD5CBC">
      <w:pPr>
        <w:autoSpaceDE w:val="0"/>
        <w:autoSpaceDN w:val="0"/>
        <w:adjustRightInd w:val="0"/>
        <w:spacing w:after="0" w:line="360" w:lineRule="auto"/>
        <w:ind w:left="1238"/>
        <w:rPr>
          <w:rFonts w:ascii="Times New Roman" w:hAnsi="Times New Roman" w:cs="Times New Roman"/>
          <w:color w:val="0000FF"/>
          <w:sz w:val="24"/>
          <w:szCs w:val="24"/>
        </w:rPr>
      </w:pPr>
      <w:r>
        <w:rPr>
          <w:rFonts w:ascii="Times New Roman" w:hAnsi="Times New Roman" w:cs="Times New Roman"/>
          <w:color w:val="0000FF"/>
          <w:sz w:val="24"/>
          <w:szCs w:val="24"/>
        </w:rPr>
        <w:t>The production-based models of</w:t>
      </w:r>
      <w:r w:rsidR="00AB2B45">
        <w:rPr>
          <w:rFonts w:ascii="Times New Roman" w:hAnsi="Times New Roman" w:cs="Times New Roman"/>
          <w:color w:val="0000FF"/>
          <w:sz w:val="24"/>
          <w:szCs w:val="24"/>
        </w:rPr>
        <w:t xml:space="preserve"> </w:t>
      </w:r>
      <w:r w:rsidR="00AB2B45" w:rsidRPr="00AB2B45">
        <w:rPr>
          <w:rFonts w:ascii="Times New Roman" w:hAnsi="Times New Roman" w:cs="Times New Roman"/>
          <w:color w:val="0000FF"/>
          <w:sz w:val="24"/>
          <w:szCs w:val="24"/>
        </w:rPr>
        <w:t>Gourio and Ngo (202</w:t>
      </w:r>
      <w:r w:rsidR="00B06825">
        <w:rPr>
          <w:rFonts w:ascii="Times New Roman" w:hAnsi="Times New Roman" w:cs="Times New Roman"/>
          <w:color w:val="0000FF"/>
          <w:sz w:val="24"/>
          <w:szCs w:val="24"/>
        </w:rPr>
        <w:t>2</w:t>
      </w:r>
      <w:r w:rsidR="00AB2B45" w:rsidRPr="00AB2B45">
        <w:rPr>
          <w:rFonts w:ascii="Times New Roman" w:hAnsi="Times New Roman" w:cs="Times New Roman"/>
          <w:color w:val="0000FF"/>
          <w:sz w:val="24"/>
          <w:szCs w:val="24"/>
        </w:rPr>
        <w:t>), Fang, Liu, and Roussanov (2022), and Kozak (2022)</w:t>
      </w:r>
      <w:r w:rsidR="00AB2B45">
        <w:rPr>
          <w:rFonts w:ascii="Times New Roman" w:hAnsi="Times New Roman" w:cs="Times New Roman"/>
          <w:color w:val="0000FF"/>
          <w:sz w:val="24"/>
          <w:szCs w:val="24"/>
        </w:rPr>
        <w:t xml:space="preserve"> </w:t>
      </w:r>
      <w:r>
        <w:rPr>
          <w:rFonts w:ascii="Times New Roman" w:hAnsi="Times New Roman" w:cs="Times New Roman"/>
          <w:color w:val="0000FF"/>
          <w:sz w:val="24"/>
          <w:szCs w:val="24"/>
        </w:rPr>
        <w:t xml:space="preserve">of bond-stock comovements </w:t>
      </w:r>
      <w:r w:rsidR="00AB2B45">
        <w:rPr>
          <w:rFonts w:ascii="Times New Roman" w:hAnsi="Times New Roman" w:cs="Times New Roman"/>
          <w:color w:val="0000FF"/>
          <w:sz w:val="24"/>
          <w:szCs w:val="24"/>
        </w:rPr>
        <w:t xml:space="preserve">do not consider changes in monetary policy. Conversely, </w:t>
      </w:r>
      <w:r w:rsidR="005D5DE9" w:rsidRPr="00AB2B45">
        <w:rPr>
          <w:rFonts w:ascii="Times New Roman" w:hAnsi="Times New Roman" w:cs="Times New Roman"/>
          <w:color w:val="0000FF"/>
          <w:sz w:val="24"/>
          <w:szCs w:val="24"/>
        </w:rPr>
        <w:t>Gourio and Ngo (202</w:t>
      </w:r>
      <w:r w:rsidR="005D5DE9">
        <w:rPr>
          <w:rFonts w:ascii="Times New Roman" w:hAnsi="Times New Roman" w:cs="Times New Roman"/>
          <w:color w:val="0000FF"/>
          <w:sz w:val="24"/>
          <w:szCs w:val="24"/>
        </w:rPr>
        <w:t>0</w:t>
      </w:r>
      <w:r w:rsidR="005D5DE9" w:rsidRPr="00AB2B45">
        <w:rPr>
          <w:rFonts w:ascii="Times New Roman" w:hAnsi="Times New Roman" w:cs="Times New Roman"/>
          <w:color w:val="0000FF"/>
          <w:sz w:val="24"/>
          <w:szCs w:val="24"/>
        </w:rPr>
        <w:t>)</w:t>
      </w:r>
      <w:r w:rsidR="005D5DE9">
        <w:rPr>
          <w:rFonts w:ascii="Times New Roman" w:hAnsi="Times New Roman" w:cs="Times New Roman"/>
          <w:color w:val="0000FF"/>
          <w:sz w:val="24"/>
          <w:szCs w:val="24"/>
        </w:rPr>
        <w:t xml:space="preserve"> and </w:t>
      </w:r>
      <w:r w:rsidR="00700C63" w:rsidRPr="000528D6">
        <w:rPr>
          <w:rFonts w:ascii="Times New Roman" w:hAnsi="Times New Roman" w:cs="Times New Roman"/>
          <w:color w:val="0000FF"/>
          <w:sz w:val="24"/>
          <w:szCs w:val="24"/>
        </w:rPr>
        <w:t xml:space="preserve">Li, Zha, Zhang, and Zhou (2022) consider changes in monetary policy rules, but do not consider changes in the nature of macroeconomic shocks. </w:t>
      </w:r>
      <w:r w:rsidR="000528D6">
        <w:rPr>
          <w:rFonts w:ascii="Times New Roman" w:hAnsi="Times New Roman" w:cs="Times New Roman"/>
          <w:color w:val="0000FF"/>
          <w:sz w:val="24"/>
          <w:szCs w:val="24"/>
        </w:rPr>
        <w:t xml:space="preserve">Hence, different from the current manuscript, none of these previous papers are able to assess how the volatilities of macroeconomic shocks and monetary policy </w:t>
      </w:r>
      <w:r w:rsidR="00F52C31">
        <w:rPr>
          <w:rFonts w:ascii="Times New Roman" w:hAnsi="Times New Roman" w:cs="Times New Roman"/>
          <w:color w:val="0000FF"/>
          <w:sz w:val="24"/>
          <w:szCs w:val="24"/>
        </w:rPr>
        <w:t>combine</w:t>
      </w:r>
      <w:r w:rsidR="000528D6">
        <w:rPr>
          <w:rFonts w:ascii="Times New Roman" w:hAnsi="Times New Roman" w:cs="Times New Roman"/>
          <w:color w:val="0000FF"/>
          <w:sz w:val="24"/>
          <w:szCs w:val="24"/>
        </w:rPr>
        <w:t xml:space="preserve"> to </w:t>
      </w:r>
      <w:r w:rsidR="00B41D41">
        <w:rPr>
          <w:rFonts w:ascii="Times New Roman" w:hAnsi="Times New Roman" w:cs="Times New Roman"/>
          <w:color w:val="0000FF"/>
          <w:sz w:val="24"/>
          <w:szCs w:val="24"/>
        </w:rPr>
        <w:t>impact</w:t>
      </w:r>
      <w:r w:rsidR="000528D6">
        <w:rPr>
          <w:rFonts w:ascii="Times New Roman" w:hAnsi="Times New Roman" w:cs="Times New Roman"/>
          <w:color w:val="0000FF"/>
          <w:sz w:val="24"/>
          <w:szCs w:val="24"/>
        </w:rPr>
        <w:t xml:space="preserve"> bond-stock betas in the data. </w:t>
      </w:r>
    </w:p>
    <w:p w14:paraId="0DF771E3" w14:textId="77777777" w:rsidR="00B06825" w:rsidRDefault="00B06825" w:rsidP="00DD5CBC">
      <w:pPr>
        <w:autoSpaceDE w:val="0"/>
        <w:autoSpaceDN w:val="0"/>
        <w:adjustRightInd w:val="0"/>
        <w:spacing w:after="0" w:line="360" w:lineRule="auto"/>
        <w:ind w:left="1238"/>
        <w:rPr>
          <w:rFonts w:ascii="Times New Roman" w:hAnsi="Times New Roman" w:cs="Times New Roman"/>
          <w:color w:val="0000FF"/>
          <w:sz w:val="24"/>
          <w:szCs w:val="24"/>
        </w:rPr>
      </w:pPr>
    </w:p>
    <w:p w14:paraId="35F421D0" w14:textId="35996738" w:rsidR="00B06825" w:rsidRPr="00B06825" w:rsidRDefault="00B06825" w:rsidP="00B06825">
      <w:pPr>
        <w:autoSpaceDE w:val="0"/>
        <w:autoSpaceDN w:val="0"/>
        <w:adjustRightInd w:val="0"/>
        <w:spacing w:after="0" w:line="360" w:lineRule="auto"/>
        <w:ind w:left="1238"/>
        <w:rPr>
          <w:rFonts w:ascii="Times New Roman" w:hAnsi="Times New Roman" w:cs="Times New Roman"/>
          <w:color w:val="0000FF"/>
          <w:sz w:val="24"/>
          <w:szCs w:val="24"/>
        </w:rPr>
      </w:pPr>
      <w:r>
        <w:rPr>
          <w:rFonts w:ascii="Times New Roman" w:hAnsi="Times New Roman" w:cs="Times New Roman"/>
          <w:color w:val="0000FF"/>
          <w:sz w:val="24"/>
          <w:szCs w:val="24"/>
        </w:rPr>
        <w:t>[CP 9/16/2024: Re-read the papers in the paragraph above</w:t>
      </w:r>
      <w:r w:rsidR="00617AF1">
        <w:rPr>
          <w:rFonts w:ascii="Times New Roman" w:hAnsi="Times New Roman" w:cs="Times New Roman"/>
          <w:color w:val="0000FF"/>
          <w:sz w:val="24"/>
          <w:szCs w:val="24"/>
        </w:rPr>
        <w:t xml:space="preserve"> and add to it if necessary (maybe just in paper, not reply)</w:t>
      </w:r>
      <w:r>
        <w:rPr>
          <w:rFonts w:ascii="Times New Roman" w:hAnsi="Times New Roman" w:cs="Times New Roman"/>
          <w:color w:val="0000FF"/>
          <w:sz w:val="24"/>
          <w:szCs w:val="24"/>
        </w:rPr>
        <w:t>:</w:t>
      </w:r>
    </w:p>
    <w:p w14:paraId="496E6AC5" w14:textId="056324EF" w:rsidR="00B06825" w:rsidRDefault="00B06825" w:rsidP="00B06825">
      <w:pPr>
        <w:pStyle w:val="ListParagraph"/>
        <w:numPr>
          <w:ilvl w:val="0"/>
          <w:numId w:val="21"/>
        </w:numPr>
        <w:autoSpaceDE w:val="0"/>
        <w:autoSpaceDN w:val="0"/>
        <w:adjustRightInd w:val="0"/>
        <w:spacing w:after="0" w:line="360" w:lineRule="auto"/>
        <w:rPr>
          <w:rFonts w:ascii="Times New Roman" w:hAnsi="Times New Roman" w:cs="Times New Roman"/>
          <w:color w:val="0000FF"/>
          <w:sz w:val="24"/>
          <w:szCs w:val="24"/>
        </w:rPr>
      </w:pPr>
      <w:r w:rsidRPr="00B06825">
        <w:rPr>
          <w:rFonts w:ascii="Times New Roman" w:hAnsi="Times New Roman" w:cs="Times New Roman"/>
          <w:color w:val="0000FF"/>
          <w:sz w:val="24"/>
          <w:szCs w:val="24"/>
        </w:rPr>
        <w:t xml:space="preserve">Fang, Liu and Roussanov (2022) consider a fairly stylized model where the monetary policy rule is very simple and constant. They instead focus on changes in the volatilities of energy demand vs. supply shocks. </w:t>
      </w:r>
    </w:p>
    <w:p w14:paraId="017237F4" w14:textId="4D5832B7" w:rsidR="00B06825" w:rsidRDefault="00B06825" w:rsidP="00B06825">
      <w:pPr>
        <w:pStyle w:val="ListParagraph"/>
        <w:numPr>
          <w:ilvl w:val="0"/>
          <w:numId w:val="21"/>
        </w:numPr>
        <w:autoSpaceDE w:val="0"/>
        <w:autoSpaceDN w:val="0"/>
        <w:adjustRightInd w:val="0"/>
        <w:spacing w:after="0"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Kozak (2022)</w:t>
      </w:r>
      <w:r w:rsidR="004A0B02">
        <w:rPr>
          <w:rFonts w:ascii="Times New Roman" w:hAnsi="Times New Roman" w:cs="Times New Roman"/>
          <w:color w:val="0000FF"/>
          <w:sz w:val="24"/>
          <w:szCs w:val="24"/>
        </w:rPr>
        <w:t>:</w:t>
      </w:r>
      <w:r w:rsidR="00BC4A90">
        <w:rPr>
          <w:rFonts w:ascii="Times New Roman" w:hAnsi="Times New Roman" w:cs="Times New Roman"/>
          <w:color w:val="0000FF"/>
          <w:sz w:val="24"/>
          <w:szCs w:val="24"/>
        </w:rPr>
        <w:t xml:space="preserve"> This is a nice model of changing real bond-stock correlations. Different from this paper, Kozak (2022) does not feature inflation or monetary policy, so it is not suitable for explaining the empirical fact in the current manuscript. </w:t>
      </w:r>
    </w:p>
    <w:p w14:paraId="4AB626C4" w14:textId="3D7AD3FC" w:rsidR="00B06825" w:rsidRDefault="00B06825" w:rsidP="00B06825">
      <w:pPr>
        <w:pStyle w:val="ListParagraph"/>
        <w:numPr>
          <w:ilvl w:val="0"/>
          <w:numId w:val="21"/>
        </w:numPr>
        <w:autoSpaceDE w:val="0"/>
        <w:autoSpaceDN w:val="0"/>
        <w:adjustRightInd w:val="0"/>
        <w:spacing w:after="0"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Gourio and Ngo (2022)</w:t>
      </w:r>
      <w:r w:rsidR="004A0B02">
        <w:rPr>
          <w:rFonts w:ascii="Times New Roman" w:hAnsi="Times New Roman" w:cs="Times New Roman"/>
          <w:color w:val="0000FF"/>
          <w:sz w:val="24"/>
          <w:szCs w:val="24"/>
        </w:rPr>
        <w:t>:</w:t>
      </w:r>
      <w:r w:rsidR="005C6DE1">
        <w:rPr>
          <w:rFonts w:ascii="Times New Roman" w:hAnsi="Times New Roman" w:cs="Times New Roman"/>
          <w:color w:val="0000FF"/>
          <w:sz w:val="24"/>
          <w:szCs w:val="24"/>
        </w:rPr>
        <w:t xml:space="preserve"> This paper focuses on a different mechanism, linking bond-stock covariances to the level of inflation in a production-based model with only TFP shocks but no demand shocks, therefore not being suited to conducting comparative statistics by the composition of macroeconomic shocks. By linking bond-stock comovements closely to inflation, their model is insufficient to explain the key empirical finding in </w:t>
      </w:r>
      <w:r w:rsidR="005C6DE1">
        <w:rPr>
          <w:rFonts w:ascii="Times New Roman" w:hAnsi="Times New Roman" w:cs="Times New Roman"/>
          <w:color w:val="0000FF"/>
          <w:sz w:val="24"/>
          <w:szCs w:val="24"/>
        </w:rPr>
        <w:lastRenderedPageBreak/>
        <w:t xml:space="preserve">this paper that bond-stock betas remained close to the pre-pandemic 2000, despite the substantial runup in inflation during 2021. inflation rising during 2021 to levels last seen 40 years ago.  </w:t>
      </w:r>
    </w:p>
    <w:p w14:paraId="7F310F5A" w14:textId="163DAF2F" w:rsidR="00B06825" w:rsidRDefault="00B06825" w:rsidP="00B06825">
      <w:pPr>
        <w:pStyle w:val="ListParagraph"/>
        <w:numPr>
          <w:ilvl w:val="0"/>
          <w:numId w:val="21"/>
        </w:numPr>
        <w:autoSpaceDE w:val="0"/>
        <w:autoSpaceDN w:val="0"/>
        <w:adjustRightInd w:val="0"/>
        <w:spacing w:after="0"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Rudebusch and Swanson (2012)</w:t>
      </w:r>
      <w:r w:rsidR="00B57D4B">
        <w:rPr>
          <w:rFonts w:ascii="Times New Roman" w:hAnsi="Times New Roman" w:cs="Times New Roman"/>
          <w:color w:val="0000FF"/>
          <w:sz w:val="24"/>
          <w:szCs w:val="24"/>
        </w:rPr>
        <w:t xml:space="preserve"> and Swanson (including stocks)</w:t>
      </w:r>
      <w:r>
        <w:rPr>
          <w:rFonts w:ascii="Times New Roman" w:hAnsi="Times New Roman" w:cs="Times New Roman"/>
          <w:color w:val="0000FF"/>
          <w:sz w:val="24"/>
          <w:szCs w:val="24"/>
        </w:rPr>
        <w:t xml:space="preserve">: </w:t>
      </w:r>
      <w:r w:rsidR="00617AF1">
        <w:rPr>
          <w:rFonts w:ascii="Times New Roman" w:hAnsi="Times New Roman" w:cs="Times New Roman"/>
          <w:color w:val="0000FF"/>
          <w:sz w:val="24"/>
          <w:szCs w:val="24"/>
        </w:rPr>
        <w:t>LRR model</w:t>
      </w:r>
    </w:p>
    <w:p w14:paraId="078B6047" w14:textId="78DE744F" w:rsidR="00617AF1" w:rsidRDefault="00617AF1" w:rsidP="00617AF1">
      <w:pPr>
        <w:pStyle w:val="ListParagraph"/>
        <w:numPr>
          <w:ilvl w:val="0"/>
          <w:numId w:val="21"/>
        </w:numPr>
        <w:autoSpaceDE w:val="0"/>
        <w:autoSpaceDN w:val="0"/>
        <w:adjustRightInd w:val="0"/>
        <w:spacing w:after="0" w:line="360" w:lineRule="auto"/>
        <w:rPr>
          <w:rFonts w:ascii="Times New Roman" w:hAnsi="Times New Roman" w:cs="Times New Roman"/>
          <w:color w:val="0000FF"/>
          <w:sz w:val="24"/>
          <w:szCs w:val="24"/>
        </w:rPr>
      </w:pPr>
      <w:r w:rsidRPr="00B06825">
        <w:rPr>
          <w:rFonts w:ascii="Times New Roman" w:hAnsi="Times New Roman" w:cs="Times New Roman"/>
          <w:color w:val="0000FF"/>
          <w:sz w:val="24"/>
          <w:szCs w:val="24"/>
        </w:rPr>
        <w:t xml:space="preserve">Gourio and Ngo (2020) focus on changes in monetary policy due to the zero-lower-bound, but conclude that their model has counterfactual implications for inflation and real rates at the zero-lower-bound. </w:t>
      </w:r>
      <w:r>
        <w:rPr>
          <w:rFonts w:ascii="Times New Roman" w:hAnsi="Times New Roman" w:cs="Times New Roman"/>
          <w:color w:val="0000FF"/>
          <w:sz w:val="24"/>
          <w:szCs w:val="24"/>
        </w:rPr>
        <w:t>LRR model.</w:t>
      </w:r>
      <w:r w:rsidR="00036C51">
        <w:rPr>
          <w:rFonts w:ascii="Times New Roman" w:hAnsi="Times New Roman" w:cs="Times New Roman"/>
          <w:color w:val="0000FF"/>
          <w:sz w:val="24"/>
          <w:szCs w:val="24"/>
        </w:rPr>
        <w:t xml:space="preserve"> Does not consider changes in the volatilities of shocks.</w:t>
      </w:r>
    </w:p>
    <w:p w14:paraId="3BC2AF7E" w14:textId="450C09EA" w:rsidR="00D04325" w:rsidRDefault="00D04325" w:rsidP="00617AF1">
      <w:pPr>
        <w:pStyle w:val="ListParagraph"/>
        <w:numPr>
          <w:ilvl w:val="0"/>
          <w:numId w:val="21"/>
        </w:numPr>
        <w:autoSpaceDE w:val="0"/>
        <w:autoSpaceDN w:val="0"/>
        <w:adjustRightInd w:val="0"/>
        <w:spacing w:after="0"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Li et al. (2022) is a nice paper that studies how changes in monetary and fiscal policy impact bond-stock and inflation-output correlations</w:t>
      </w:r>
      <w:r w:rsidR="00073E9C">
        <w:rPr>
          <w:rFonts w:ascii="Times New Roman" w:hAnsi="Times New Roman" w:cs="Times New Roman"/>
          <w:color w:val="0000FF"/>
          <w:sz w:val="24"/>
          <w:szCs w:val="24"/>
        </w:rPr>
        <w:t xml:space="preserve">, while assuming constant volatilities and persistence of macroeconomic shocks. </w:t>
      </w:r>
      <w:r>
        <w:rPr>
          <w:rFonts w:ascii="Times New Roman" w:hAnsi="Times New Roman" w:cs="Times New Roman"/>
          <w:color w:val="0000FF"/>
          <w:sz w:val="24"/>
          <w:szCs w:val="24"/>
        </w:rPr>
        <w:t xml:space="preserve"> </w:t>
      </w:r>
    </w:p>
    <w:p w14:paraId="3BDE779D" w14:textId="10B753CE" w:rsidR="00B06825" w:rsidRPr="002417AF" w:rsidRDefault="00141157" w:rsidP="0059580B">
      <w:pPr>
        <w:pStyle w:val="ListParagraph"/>
        <w:numPr>
          <w:ilvl w:val="0"/>
          <w:numId w:val="21"/>
        </w:numPr>
        <w:autoSpaceDE w:val="0"/>
        <w:autoSpaceDN w:val="0"/>
        <w:adjustRightInd w:val="0"/>
        <w:spacing w:after="0" w:line="240" w:lineRule="auto"/>
        <w:rPr>
          <w:rFonts w:ascii="Times New Roman" w:hAnsi="Times New Roman" w:cs="Times New Roman"/>
          <w:color w:val="0000FF"/>
          <w:sz w:val="24"/>
          <w:szCs w:val="24"/>
        </w:rPr>
      </w:pPr>
      <w:r w:rsidRPr="002417AF">
        <w:rPr>
          <w:rFonts w:ascii="Times New Roman" w:hAnsi="Times New Roman" w:cs="Times New Roman"/>
          <w:color w:val="0000FF"/>
          <w:sz w:val="24"/>
          <w:szCs w:val="24"/>
        </w:rPr>
        <w:t>Gourio and Ngo (2020) and Li et al. (2022) are not models of bonds and stocks, as moments such as the equity premium and equity return volatility are either not reported at all or deviate substantially from the data</w:t>
      </w:r>
      <w:r w:rsidR="003D4969" w:rsidRPr="002417AF">
        <w:rPr>
          <w:rFonts w:ascii="Times New Roman" w:hAnsi="Times New Roman" w:cs="Times New Roman"/>
          <w:color w:val="0000FF"/>
          <w:sz w:val="24"/>
          <w:szCs w:val="24"/>
        </w:rPr>
        <w:t xml:space="preserve">, limiting their usefulness for understanding key asset pricing moments. </w:t>
      </w:r>
      <w:r w:rsidR="00B06825" w:rsidRPr="002417AF">
        <w:rPr>
          <w:rFonts w:ascii="Times New Roman" w:hAnsi="Times New Roman" w:cs="Times New Roman"/>
          <w:color w:val="0000FF"/>
          <w:sz w:val="24"/>
          <w:szCs w:val="24"/>
        </w:rPr>
        <w:t>]</w:t>
      </w:r>
    </w:p>
    <w:p w14:paraId="26868BB0" w14:textId="77777777" w:rsidR="00DD5CBC" w:rsidRDefault="00DD5CBC" w:rsidP="00DD5CBC">
      <w:pPr>
        <w:autoSpaceDE w:val="0"/>
        <w:autoSpaceDN w:val="0"/>
        <w:adjustRightInd w:val="0"/>
        <w:spacing w:after="0" w:line="360" w:lineRule="auto"/>
        <w:ind w:left="1238"/>
        <w:rPr>
          <w:rFonts w:ascii="Times New Roman" w:hAnsi="Times New Roman" w:cs="Times New Roman"/>
          <w:color w:val="0000FF"/>
          <w:sz w:val="24"/>
          <w:szCs w:val="24"/>
        </w:rPr>
      </w:pPr>
    </w:p>
    <w:p w14:paraId="40D62DD1" w14:textId="646D6772" w:rsidR="00E328B9" w:rsidRDefault="00E328B9" w:rsidP="000141BD">
      <w:pPr>
        <w:pStyle w:val="ListParagraph"/>
        <w:widowControl w:val="0"/>
        <w:autoSpaceDE w:val="0"/>
        <w:autoSpaceDN w:val="0"/>
        <w:adjustRightInd w:val="0"/>
        <w:spacing w:after="0" w:line="360" w:lineRule="auto"/>
        <w:ind w:left="1240"/>
        <w:jc w:val="both"/>
        <w:rPr>
          <w:rFonts w:ascii="Times New Roman" w:hAnsi="Times New Roman" w:cs="Times New Roman"/>
          <w:color w:val="0000FF"/>
          <w:sz w:val="24"/>
          <w:szCs w:val="24"/>
        </w:rPr>
      </w:pPr>
      <w:r>
        <w:rPr>
          <w:rFonts w:ascii="Times New Roman" w:hAnsi="Times New Roman" w:cs="Times New Roman"/>
          <w:color w:val="0000FF"/>
          <w:sz w:val="24"/>
          <w:szCs w:val="24"/>
        </w:rPr>
        <w:t xml:space="preserve">The next paragraph in the introduction </w:t>
      </w:r>
      <w:r w:rsidR="007E42C6">
        <w:rPr>
          <w:rFonts w:ascii="Times New Roman" w:hAnsi="Times New Roman" w:cs="Times New Roman"/>
          <w:color w:val="0000FF"/>
          <w:sz w:val="24"/>
          <w:szCs w:val="24"/>
        </w:rPr>
        <w:t>delineates in more detail</w:t>
      </w:r>
      <w:r>
        <w:rPr>
          <w:rFonts w:ascii="Times New Roman" w:hAnsi="Times New Roman" w:cs="Times New Roman"/>
          <w:color w:val="0000FF"/>
          <w:sz w:val="24"/>
          <w:szCs w:val="24"/>
        </w:rPr>
        <w:t xml:space="preserve"> the contribution of this paper relative to my own prior work and the growing literature on bond-stock comovements, and in particular discusses the relationship to all the papers surveyed by referee 2. See p.2, paragraph starting “</w:t>
      </w:r>
      <w:r w:rsidRPr="00E328B9">
        <w:rPr>
          <w:rFonts w:ascii="Times New Roman" w:hAnsi="Times New Roman" w:cs="Times New Roman"/>
          <w:color w:val="0000FF"/>
          <w:sz w:val="24"/>
          <w:szCs w:val="24"/>
        </w:rPr>
        <w:t xml:space="preserve">While the model in this paper builds on </w:t>
      </w:r>
      <w:r>
        <w:rPr>
          <w:rFonts w:ascii="Times New Roman" w:hAnsi="Times New Roman" w:cs="Times New Roman"/>
          <w:color w:val="0000FF"/>
          <w:sz w:val="24"/>
          <w:szCs w:val="24"/>
        </w:rPr>
        <w:t>Campbell, Pflueger and Viceira (2020)</w:t>
      </w:r>
      <w:r w:rsidRPr="00E328B9">
        <w:rPr>
          <w:rFonts w:ascii="Times New Roman" w:hAnsi="Times New Roman" w:cs="Times New Roman"/>
          <w:color w:val="0000FF"/>
          <w:sz w:val="24"/>
          <w:szCs w:val="24"/>
        </w:rPr>
        <w:t xml:space="preserve"> and </w:t>
      </w:r>
      <w:r>
        <w:rPr>
          <w:rFonts w:ascii="Times New Roman" w:hAnsi="Times New Roman" w:cs="Times New Roman"/>
          <w:color w:val="0000FF"/>
          <w:sz w:val="24"/>
          <w:szCs w:val="24"/>
        </w:rPr>
        <w:t>Pflueger and Rinaldi (2022)</w:t>
      </w:r>
      <w:r w:rsidRPr="00E328B9">
        <w:rPr>
          <w:rFonts w:ascii="Times New Roman" w:hAnsi="Times New Roman" w:cs="Times New Roman"/>
          <w:color w:val="0000FF"/>
          <w:sz w:val="24"/>
          <w:szCs w:val="24"/>
        </w:rPr>
        <w:t xml:space="preserve"> it also contains substantial changes that give it a unique ability to perform counterfactual exercises (…)”</w:t>
      </w:r>
      <w:r>
        <w:rPr>
          <w:rFonts w:ascii="Times New Roman" w:hAnsi="Times New Roman" w:cs="Times New Roman"/>
          <w:color w:val="0000FF"/>
          <w:sz w:val="24"/>
          <w:szCs w:val="24"/>
        </w:rPr>
        <w:t xml:space="preserve">. [CP 9/13/2023: continue here.] </w:t>
      </w:r>
    </w:p>
    <w:p w14:paraId="20D9B1B5" w14:textId="77777777" w:rsidR="00936B74" w:rsidRDefault="00936B74" w:rsidP="000141BD">
      <w:pPr>
        <w:pStyle w:val="ListParagraph"/>
        <w:widowControl w:val="0"/>
        <w:autoSpaceDE w:val="0"/>
        <w:autoSpaceDN w:val="0"/>
        <w:adjustRightInd w:val="0"/>
        <w:spacing w:after="0" w:line="360" w:lineRule="auto"/>
        <w:ind w:left="1240"/>
        <w:jc w:val="both"/>
        <w:rPr>
          <w:rFonts w:ascii="Times New Roman" w:hAnsi="Times New Roman" w:cs="Times New Roman"/>
        </w:rPr>
      </w:pPr>
    </w:p>
    <w:p w14:paraId="5153DFD9" w14:textId="77777777" w:rsidR="009E10F4" w:rsidRDefault="009E10F4" w:rsidP="009E10F4">
      <w:pPr>
        <w:pStyle w:val="ListParagraph"/>
        <w:widowControl w:val="0"/>
        <w:numPr>
          <w:ilvl w:val="0"/>
          <w:numId w:val="19"/>
        </w:num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This referee doesn’t like some of the modeling assumptions. I’m not convinced by the “Taylor rule” comment (the author does include a shock in her MP rule that we could interpret as the discretionary component) and would like to see richer wage-price inflation dynamics. The author can address the latter (e.g., by introducing an additional shock to break the connection between the two inflation processes) and acknowledge some limitations in the modeling approaches.</w:t>
      </w:r>
    </w:p>
    <w:p w14:paraId="19BF5B88" w14:textId="77777777" w:rsidR="009E10F4" w:rsidRDefault="009E10F4" w:rsidP="009E10F4">
      <w:pPr>
        <w:pStyle w:val="ListParagraph"/>
        <w:widowControl w:val="0"/>
        <w:numPr>
          <w:ilvl w:val="0"/>
          <w:numId w:val="19"/>
        </w:num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lastRenderedPageBreak/>
        <w:t>This referee is concerned that viewing the 1980s as a prototypical example of supply-side shocks is incorrect. I’m sympathetic to this, as the 1970s are typically the more natural benchmark (although, in fairness, the JEP article by Goodfriend that this referee mentions in footnote 1 does say at the bottom of page 51 that “In January and February 1980 [. . . ], the spike in underlying inflation in connection with the ongoing oil price shock, the run-up in the dollar price of gold to $850 per ounce [. . . ]”, which one could argue as manifestations of supply shocks). Two potential avenues to address this issue are:</w:t>
      </w:r>
    </w:p>
    <w:p w14:paraId="5D271FC2" w14:textId="77777777" w:rsidR="009E10F4" w:rsidRDefault="009E10F4" w:rsidP="009E10F4">
      <w:pPr>
        <w:pStyle w:val="ListParagraph"/>
        <w:widowControl w:val="0"/>
        <w:numPr>
          <w:ilvl w:val="1"/>
          <w:numId w:val="20"/>
        </w:num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Extend the estimation of the first sample period to include the 1970s, though finding inflation expectations data may be challenging (I am not sure that Blue Chip forecasts go back that far in time). The author could use parametric forecasts of inflation in the spirit of Stock and Watson instead.</w:t>
      </w:r>
    </w:p>
    <w:p w14:paraId="40FA4DE3" w14:textId="77777777" w:rsidR="009E10F4" w:rsidRDefault="009E10F4" w:rsidP="009E10F4">
      <w:pPr>
        <w:pStyle w:val="ListParagraph"/>
        <w:widowControl w:val="0"/>
        <w:numPr>
          <w:ilvl w:val="1"/>
          <w:numId w:val="20"/>
        </w:num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Calculate the necessary changes in parameters to replicate the stock betas from the first half of the sample in the second half. For example, is there a degree of MP inertia that would make the betas as big as they were in the first half of the sample? How much bigger should the volatilities of the shocks be to engineer the same betas?</w:t>
      </w:r>
    </w:p>
    <w:p w14:paraId="296C8B0B" w14:textId="400DA19E" w:rsidR="001302C0" w:rsidRPr="001302C0" w:rsidRDefault="001302C0" w:rsidP="001302C0">
      <w:pPr>
        <w:widowControl w:val="0"/>
        <w:autoSpaceDE w:val="0"/>
        <w:autoSpaceDN w:val="0"/>
        <w:adjustRightInd w:val="0"/>
        <w:spacing w:after="0" w:line="360" w:lineRule="auto"/>
        <w:ind w:left="1240"/>
        <w:jc w:val="both"/>
        <w:rPr>
          <w:rFonts w:ascii="Times New Roman" w:hAnsi="Times New Roman" w:cs="Times New Roman"/>
        </w:rPr>
      </w:pPr>
      <w:r w:rsidRPr="00BA6386">
        <w:rPr>
          <w:rFonts w:ascii="Times New Roman" w:hAnsi="Times New Roman" w:cs="Times New Roman"/>
          <w:b/>
          <w:color w:val="0000FF"/>
          <w:sz w:val="24"/>
          <w:szCs w:val="24"/>
        </w:rPr>
        <w:t>Reply:</w:t>
      </w:r>
      <w:r w:rsidRPr="00F3358B">
        <w:rPr>
          <w:rFonts w:ascii="Times New Roman" w:hAnsi="Times New Roman" w:cs="Times New Roman"/>
          <w:color w:val="0000FF"/>
          <w:sz w:val="24"/>
          <w:szCs w:val="24"/>
        </w:rPr>
        <w:t xml:space="preserve"> </w:t>
      </w:r>
      <w:r>
        <w:rPr>
          <w:rFonts w:ascii="Times New Roman" w:hAnsi="Times New Roman" w:cs="Times New Roman"/>
          <w:color w:val="0000FF"/>
          <w:sz w:val="24"/>
          <w:szCs w:val="24"/>
        </w:rPr>
        <w:t>This is a great suggestion. [CP 9/16/2023: Add an exercise where I show the shock volatilities that are needed to explain bond-stock betas in the 1980s and 1990s. Maybe also expand on the reverse-engineering exercise in the last table. This will show that I actually changed the paper in response to requests. It would be cool if I could show that my model allows me to invert from bond-stock betas to MP and shock vols at any point in time to provide a more general purpose tool</w:t>
      </w:r>
      <w:r w:rsidR="0025503E">
        <w:rPr>
          <w:rFonts w:ascii="Times New Roman" w:hAnsi="Times New Roman" w:cs="Times New Roman"/>
          <w:color w:val="0000FF"/>
          <w:sz w:val="24"/>
          <w:szCs w:val="24"/>
        </w:rPr>
        <w:t>, but I certainly do not want to add more empirical moments. Maybe one parameter to interpolate between 1980s and 2000s MP, and a second one to interpolate between 1980s and 2000s shocks and track over time?</w:t>
      </w:r>
      <w:r>
        <w:rPr>
          <w:rFonts w:ascii="Times New Roman" w:hAnsi="Times New Roman" w:cs="Times New Roman"/>
          <w:color w:val="0000FF"/>
          <w:sz w:val="24"/>
          <w:szCs w:val="24"/>
        </w:rPr>
        <w:t xml:space="preserve">] </w:t>
      </w:r>
    </w:p>
    <w:p w14:paraId="5D8AD355" w14:textId="77777777" w:rsidR="009E10F4" w:rsidRDefault="009E10F4" w:rsidP="009E10F4">
      <w:pPr>
        <w:pStyle w:val="ListParagraph"/>
        <w:widowControl w:val="0"/>
        <w:numPr>
          <w:ilvl w:val="0"/>
          <w:numId w:val="19"/>
        </w:num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 xml:space="preserve">The referee provides an alternative explanation for recent events, which the author should consider. It would also be useful to examine the likelihood of observing four 75bps rate increases in a year without changing some of the Taylor rule’s parameters. I suspect that one way to examine the story proposed by the referee at the top of page 3 would consist in changing some of the parameters of the model to levels that are similar to the first part of the sample. There is a sense in which this aligns with what the author does in her counterfactuals. </w:t>
      </w:r>
    </w:p>
    <w:p w14:paraId="31DA43DD" w14:textId="77777777" w:rsidR="009E10F4" w:rsidRDefault="009E10F4" w:rsidP="009E10F4">
      <w:pPr>
        <w:adjustRightInd w:val="0"/>
        <w:spacing w:after="0" w:line="360" w:lineRule="auto"/>
        <w:ind w:leftChars="200" w:left="440"/>
        <w:rPr>
          <w:rFonts w:ascii="Times New Roman" w:hAnsi="Times New Roman" w:cs="Times New Roman"/>
        </w:rPr>
      </w:pPr>
      <w:r>
        <w:rPr>
          <w:rFonts w:ascii="Times New Roman" w:hAnsi="Times New Roman" w:cs="Times New Roman"/>
        </w:rPr>
        <w:lastRenderedPageBreak/>
        <w:t>I think the reports contain relevant and well-crafted comments. Similarly, I think the paper has the potential to make an important contribution to the literature. In my opinion, it would be appropriate to offer the author an opportunity to address these comments.</w:t>
      </w:r>
    </w:p>
    <w:p w14:paraId="3D424677" w14:textId="32960C83" w:rsidR="00726C32" w:rsidRDefault="00726C32" w:rsidP="00443CE1">
      <w:pPr>
        <w:autoSpaceDE w:val="0"/>
        <w:autoSpaceDN w:val="0"/>
        <w:adjustRightInd w:val="0"/>
        <w:spacing w:after="0" w:line="240" w:lineRule="auto"/>
        <w:jc w:val="both"/>
        <w:rPr>
          <w:rFonts w:ascii="Times New Roman" w:hAnsi="Times New Roman" w:cs="Times New Roman"/>
          <w:sz w:val="24"/>
          <w:szCs w:val="24"/>
        </w:rPr>
      </w:pPr>
    </w:p>
    <w:p w14:paraId="54CB1D6E" w14:textId="0D8E9786" w:rsidR="00644095" w:rsidRDefault="00726C32" w:rsidP="00443CE1">
      <w:pPr>
        <w:autoSpaceDE w:val="0"/>
        <w:autoSpaceDN w:val="0"/>
        <w:adjustRightInd w:val="0"/>
        <w:spacing w:after="0" w:line="240" w:lineRule="auto"/>
        <w:jc w:val="both"/>
        <w:rPr>
          <w:rFonts w:ascii="Times New Roman" w:hAnsi="Times New Roman" w:cs="Times New Roman"/>
          <w:color w:val="0000FF"/>
          <w:sz w:val="24"/>
          <w:szCs w:val="24"/>
        </w:rPr>
      </w:pPr>
      <w:r w:rsidRPr="00BA6386">
        <w:rPr>
          <w:rFonts w:ascii="Times New Roman" w:hAnsi="Times New Roman" w:cs="Times New Roman"/>
          <w:b/>
          <w:color w:val="0000FF"/>
          <w:sz w:val="24"/>
          <w:szCs w:val="24"/>
        </w:rPr>
        <w:t>Reply:</w:t>
      </w:r>
      <w:r w:rsidRPr="00F3358B">
        <w:rPr>
          <w:rFonts w:ascii="Times New Roman" w:hAnsi="Times New Roman" w:cs="Times New Roman"/>
          <w:color w:val="0000FF"/>
          <w:sz w:val="24"/>
          <w:szCs w:val="24"/>
        </w:rPr>
        <w:t xml:space="preserve"> </w:t>
      </w:r>
      <w:r>
        <w:rPr>
          <w:rFonts w:ascii="Times New Roman" w:hAnsi="Times New Roman" w:cs="Times New Roman"/>
          <w:color w:val="0000FF"/>
          <w:sz w:val="24"/>
          <w:szCs w:val="24"/>
        </w:rPr>
        <w:t xml:space="preserve">Thank you for your helpful </w:t>
      </w:r>
      <w:r w:rsidR="00CD74CE">
        <w:rPr>
          <w:rFonts w:ascii="Times New Roman" w:hAnsi="Times New Roman" w:cs="Times New Roman"/>
          <w:color w:val="0000FF"/>
          <w:sz w:val="24"/>
          <w:szCs w:val="24"/>
        </w:rPr>
        <w:t xml:space="preserve">high-level view of the paper. </w:t>
      </w:r>
      <w:r>
        <w:rPr>
          <w:rFonts w:ascii="Times New Roman" w:hAnsi="Times New Roman" w:cs="Times New Roman"/>
          <w:color w:val="0000FF"/>
          <w:sz w:val="24"/>
          <w:szCs w:val="24"/>
        </w:rPr>
        <w:t xml:space="preserve">We have substantially changed the paper following your advice and </w:t>
      </w:r>
      <w:r w:rsidR="00A1303B">
        <w:rPr>
          <w:rFonts w:ascii="Times New Roman" w:hAnsi="Times New Roman" w:cs="Times New Roman"/>
          <w:color w:val="0000FF"/>
          <w:sz w:val="24"/>
          <w:szCs w:val="24"/>
        </w:rPr>
        <w:t xml:space="preserve">believe that </w:t>
      </w:r>
      <w:r w:rsidR="00644095">
        <w:rPr>
          <w:rFonts w:ascii="Times New Roman" w:hAnsi="Times New Roman" w:cs="Times New Roman"/>
          <w:color w:val="0000FF"/>
          <w:sz w:val="24"/>
          <w:szCs w:val="24"/>
        </w:rPr>
        <w:t xml:space="preserve">it now has a much clearer contribution. </w:t>
      </w:r>
    </w:p>
    <w:p w14:paraId="79E6F50E" w14:textId="77777777" w:rsidR="00644095" w:rsidRDefault="00644095" w:rsidP="00443CE1">
      <w:pPr>
        <w:autoSpaceDE w:val="0"/>
        <w:autoSpaceDN w:val="0"/>
        <w:adjustRightInd w:val="0"/>
        <w:spacing w:after="0" w:line="240" w:lineRule="auto"/>
        <w:jc w:val="both"/>
        <w:rPr>
          <w:rFonts w:ascii="Times New Roman" w:hAnsi="Times New Roman" w:cs="Times New Roman"/>
          <w:color w:val="0000FF"/>
          <w:sz w:val="24"/>
          <w:szCs w:val="24"/>
        </w:rPr>
      </w:pPr>
    </w:p>
    <w:p w14:paraId="178FD6AC" w14:textId="238BDE47" w:rsidR="00726C32" w:rsidRDefault="003974C7" w:rsidP="00443CE1">
      <w:pPr>
        <w:autoSpaceDE w:val="0"/>
        <w:autoSpaceDN w:val="0"/>
        <w:adjustRightInd w:val="0"/>
        <w:spacing w:after="0" w:line="240" w:lineRule="auto"/>
        <w:jc w:val="both"/>
        <w:rPr>
          <w:rFonts w:ascii="Times New Roman" w:hAnsi="Times New Roman" w:cs="Times New Roman"/>
          <w:color w:val="0000FF"/>
          <w:sz w:val="24"/>
          <w:szCs w:val="24"/>
        </w:rPr>
      </w:pPr>
      <w:r>
        <w:rPr>
          <w:rFonts w:ascii="Times New Roman" w:hAnsi="Times New Roman" w:cs="Times New Roman"/>
          <w:color w:val="0000FF"/>
          <w:sz w:val="24"/>
          <w:szCs w:val="24"/>
        </w:rPr>
        <w:t>Before going into the detailed responses</w:t>
      </w:r>
      <w:r w:rsidR="00726C32">
        <w:rPr>
          <w:rFonts w:ascii="Times New Roman" w:hAnsi="Times New Roman" w:cs="Times New Roman"/>
          <w:color w:val="0000FF"/>
          <w:sz w:val="24"/>
          <w:szCs w:val="24"/>
        </w:rPr>
        <w:t xml:space="preserve">, </w:t>
      </w:r>
      <w:r w:rsidR="00A1303B">
        <w:rPr>
          <w:rFonts w:ascii="Times New Roman" w:hAnsi="Times New Roman" w:cs="Times New Roman"/>
          <w:color w:val="0000FF"/>
          <w:sz w:val="24"/>
          <w:szCs w:val="24"/>
        </w:rPr>
        <w:t>here is a quick summary response to your high-level points above:</w:t>
      </w:r>
      <w:r w:rsidR="00726C32">
        <w:rPr>
          <w:rFonts w:ascii="Times New Roman" w:hAnsi="Times New Roman" w:cs="Times New Roman"/>
          <w:color w:val="0000FF"/>
          <w:sz w:val="24"/>
          <w:szCs w:val="24"/>
        </w:rPr>
        <w:t xml:space="preserve"> </w:t>
      </w:r>
    </w:p>
    <w:p w14:paraId="47DB1BEA" w14:textId="77777777" w:rsidR="002C4DA1" w:rsidRDefault="002C4DA1" w:rsidP="00443CE1">
      <w:pPr>
        <w:autoSpaceDE w:val="0"/>
        <w:autoSpaceDN w:val="0"/>
        <w:adjustRightInd w:val="0"/>
        <w:spacing w:after="0" w:line="240" w:lineRule="auto"/>
        <w:jc w:val="both"/>
        <w:rPr>
          <w:rFonts w:ascii="Times New Roman" w:hAnsi="Times New Roman" w:cs="Times New Roman"/>
          <w:color w:val="0000FF"/>
          <w:sz w:val="24"/>
          <w:szCs w:val="24"/>
        </w:rPr>
      </w:pPr>
    </w:p>
    <w:p w14:paraId="6BBB8654" w14:textId="77777777" w:rsidR="002C4DA1" w:rsidRDefault="00726C32" w:rsidP="00443CE1">
      <w:pPr>
        <w:pStyle w:val="ListParagraph"/>
        <w:numPr>
          <w:ilvl w:val="0"/>
          <w:numId w:val="16"/>
        </w:numPr>
        <w:autoSpaceDE w:val="0"/>
        <w:autoSpaceDN w:val="0"/>
        <w:adjustRightInd w:val="0"/>
        <w:spacing w:after="0" w:line="240" w:lineRule="auto"/>
        <w:jc w:val="both"/>
        <w:rPr>
          <w:rFonts w:ascii="Times New Roman" w:hAnsi="Times New Roman" w:cs="Times New Roman"/>
          <w:color w:val="0000FF"/>
          <w:sz w:val="24"/>
          <w:szCs w:val="24"/>
        </w:rPr>
      </w:pPr>
      <w:r>
        <w:rPr>
          <w:rFonts w:ascii="Times New Roman" w:hAnsi="Times New Roman" w:cs="Times New Roman"/>
          <w:color w:val="0000FF"/>
          <w:sz w:val="24"/>
          <w:szCs w:val="24"/>
        </w:rPr>
        <w:t>The revised model is much simpler and more disciplined. The easiest way to see this is from the table of calibration parameters (</w:t>
      </w:r>
      <w:r>
        <w:rPr>
          <w:rFonts w:ascii="Times New Roman" w:hAnsi="Times New Roman" w:cs="Times New Roman"/>
          <w:b/>
          <w:bCs/>
          <w:color w:val="0000FF"/>
          <w:sz w:val="24"/>
          <w:szCs w:val="24"/>
        </w:rPr>
        <w:t>T</w:t>
      </w:r>
      <w:r w:rsidR="006F61ED">
        <w:rPr>
          <w:rFonts w:ascii="Times New Roman" w:hAnsi="Times New Roman" w:cs="Times New Roman"/>
          <w:b/>
          <w:bCs/>
          <w:color w:val="0000FF"/>
          <w:sz w:val="24"/>
          <w:szCs w:val="24"/>
        </w:rPr>
        <w:t>able 1</w:t>
      </w:r>
      <w:r w:rsidR="006F61ED">
        <w:rPr>
          <w:rFonts w:ascii="Times New Roman" w:hAnsi="Times New Roman" w:cs="Times New Roman"/>
          <w:color w:val="0000FF"/>
          <w:sz w:val="24"/>
          <w:szCs w:val="24"/>
        </w:rPr>
        <w:t xml:space="preserve">), which contains </w:t>
      </w:r>
      <w:r w:rsidR="006F61ED" w:rsidRPr="006F61ED">
        <w:rPr>
          <w:rFonts w:ascii="Times New Roman" w:hAnsi="Times New Roman" w:cs="Times New Roman"/>
          <w:b/>
          <w:bCs/>
          <w:color w:val="0000FF"/>
          <w:sz w:val="24"/>
          <w:szCs w:val="24"/>
        </w:rPr>
        <w:t>only</w:t>
      </w:r>
      <w:r w:rsidR="006F61ED">
        <w:rPr>
          <w:rFonts w:ascii="Times New Roman" w:hAnsi="Times New Roman" w:cs="Times New Roman"/>
          <w:b/>
          <w:bCs/>
          <w:color w:val="0000FF"/>
          <w:sz w:val="24"/>
          <w:szCs w:val="24"/>
        </w:rPr>
        <w:t xml:space="preserve"> half as many p</w:t>
      </w:r>
      <w:r w:rsidR="006F61ED" w:rsidRPr="006F61ED">
        <w:rPr>
          <w:rFonts w:ascii="Times New Roman" w:hAnsi="Times New Roman" w:cs="Times New Roman"/>
          <w:b/>
          <w:bCs/>
          <w:color w:val="0000FF"/>
          <w:sz w:val="24"/>
          <w:szCs w:val="24"/>
        </w:rPr>
        <w:t>arameters as in the prior version</w:t>
      </w:r>
      <w:r w:rsidR="006F61ED">
        <w:rPr>
          <w:rFonts w:ascii="Times New Roman" w:hAnsi="Times New Roman" w:cs="Times New Roman"/>
          <w:color w:val="0000FF"/>
          <w:sz w:val="24"/>
          <w:szCs w:val="24"/>
        </w:rPr>
        <w:t xml:space="preserve">. To keep the calibration disciplined, most of the parameters in our calibration are set to standard values, and </w:t>
      </w:r>
      <w:r w:rsidR="007C7359">
        <w:rPr>
          <w:rFonts w:ascii="Times New Roman" w:hAnsi="Times New Roman" w:cs="Times New Roman"/>
          <w:color w:val="0000FF"/>
          <w:sz w:val="24"/>
          <w:szCs w:val="24"/>
        </w:rPr>
        <w:t>a small number</w:t>
      </w:r>
      <w:r w:rsidR="006F61ED">
        <w:rPr>
          <w:rFonts w:ascii="Times New Roman" w:hAnsi="Times New Roman" w:cs="Times New Roman"/>
          <w:color w:val="0000FF"/>
          <w:sz w:val="24"/>
          <w:szCs w:val="24"/>
        </w:rPr>
        <w:t xml:space="preserve"> are set to match specific moments in the data. </w:t>
      </w:r>
      <w:r w:rsidR="001913E1">
        <w:rPr>
          <w:rFonts w:ascii="Times New Roman" w:hAnsi="Times New Roman" w:cs="Times New Roman"/>
          <w:color w:val="0000FF"/>
          <w:sz w:val="24"/>
          <w:szCs w:val="24"/>
        </w:rPr>
        <w:t>We believe that these simplifications reinforce the message that our model captures a universal economic mechanism that is likely to hold across a wide range of models, so thank you for pushing us this way.</w:t>
      </w:r>
    </w:p>
    <w:p w14:paraId="772E7A80" w14:textId="3BCABCD8" w:rsidR="001F4E5E" w:rsidRDefault="001913E1" w:rsidP="00796A7D">
      <w:pPr>
        <w:pStyle w:val="ListParagraph"/>
        <w:autoSpaceDE w:val="0"/>
        <w:autoSpaceDN w:val="0"/>
        <w:adjustRightInd w:val="0"/>
        <w:spacing w:after="0" w:line="240" w:lineRule="auto"/>
        <w:ind w:left="1080"/>
        <w:jc w:val="both"/>
        <w:rPr>
          <w:rFonts w:ascii="Times New Roman" w:hAnsi="Times New Roman" w:cs="Times New Roman"/>
          <w:color w:val="0000FF"/>
          <w:sz w:val="24"/>
          <w:szCs w:val="24"/>
        </w:rPr>
      </w:pPr>
      <w:r>
        <w:rPr>
          <w:rFonts w:ascii="Times New Roman" w:hAnsi="Times New Roman" w:cs="Times New Roman"/>
          <w:color w:val="0000FF"/>
          <w:sz w:val="24"/>
          <w:szCs w:val="24"/>
        </w:rPr>
        <w:t xml:space="preserve"> </w:t>
      </w:r>
    </w:p>
    <w:p w14:paraId="36DFAF9B" w14:textId="7B3A429D" w:rsidR="00FC7B24" w:rsidRPr="00865EA3" w:rsidRDefault="001F4E5E" w:rsidP="00443CE1">
      <w:pPr>
        <w:pStyle w:val="ListParagraph"/>
        <w:numPr>
          <w:ilvl w:val="0"/>
          <w:numId w:val="16"/>
        </w:numPr>
        <w:autoSpaceDE w:val="0"/>
        <w:autoSpaceDN w:val="0"/>
        <w:adjustRightInd w:val="0"/>
        <w:spacing w:after="0" w:line="240" w:lineRule="auto"/>
        <w:jc w:val="both"/>
        <w:rPr>
          <w:rFonts w:ascii="Times New Roman" w:hAnsi="Times New Roman" w:cs="Times New Roman"/>
          <w:color w:val="0000FF"/>
          <w:sz w:val="24"/>
          <w:szCs w:val="24"/>
        </w:rPr>
      </w:pPr>
      <w:r>
        <w:rPr>
          <w:rFonts w:ascii="Times New Roman" w:hAnsi="Times New Roman" w:cs="Times New Roman"/>
          <w:color w:val="0000FF"/>
          <w:sz w:val="24"/>
          <w:szCs w:val="24"/>
        </w:rPr>
        <w:t>As suggested, t</w:t>
      </w:r>
      <w:r w:rsidR="001913E1" w:rsidRPr="001F4E5E">
        <w:rPr>
          <w:rFonts w:ascii="Times New Roman" w:hAnsi="Times New Roman" w:cs="Times New Roman"/>
          <w:color w:val="0000FF"/>
          <w:sz w:val="24"/>
          <w:szCs w:val="24"/>
        </w:rPr>
        <w:t xml:space="preserve">he revised paper goes after a </w:t>
      </w:r>
      <w:r w:rsidR="001913E1" w:rsidRPr="001F4E5E">
        <w:rPr>
          <w:rFonts w:ascii="Times New Roman" w:hAnsi="Times New Roman" w:cs="Times New Roman"/>
          <w:b/>
          <w:bCs/>
          <w:color w:val="0000FF"/>
          <w:sz w:val="24"/>
          <w:szCs w:val="24"/>
        </w:rPr>
        <w:t>much broader set of asset pricing facts around monetary policy announcements</w:t>
      </w:r>
      <w:r w:rsidR="001913E1" w:rsidRPr="001F4E5E">
        <w:rPr>
          <w:rFonts w:ascii="Times New Roman" w:hAnsi="Times New Roman" w:cs="Times New Roman"/>
          <w:color w:val="0000FF"/>
          <w:sz w:val="24"/>
          <w:szCs w:val="24"/>
        </w:rPr>
        <w:t xml:space="preserve">. </w:t>
      </w:r>
      <w:r w:rsidR="003816B6">
        <w:rPr>
          <w:rFonts w:ascii="Times New Roman" w:hAnsi="Times New Roman" w:cs="Times New Roman"/>
          <w:color w:val="0000FF"/>
          <w:sz w:val="24"/>
          <w:szCs w:val="24"/>
        </w:rPr>
        <w:t xml:space="preserve">The </w:t>
      </w:r>
      <w:r w:rsidR="003816B6" w:rsidRPr="00796A7D">
        <w:rPr>
          <w:rFonts w:ascii="Times New Roman" w:hAnsi="Times New Roman" w:cs="Times New Roman"/>
          <w:b/>
          <w:bCs/>
          <w:color w:val="0000FF"/>
          <w:sz w:val="24"/>
          <w:szCs w:val="24"/>
        </w:rPr>
        <w:t>revised Table 4</w:t>
      </w:r>
      <w:r w:rsidR="003816B6">
        <w:rPr>
          <w:rFonts w:ascii="Times New Roman" w:hAnsi="Times New Roman" w:cs="Times New Roman"/>
          <w:color w:val="0000FF"/>
          <w:sz w:val="24"/>
          <w:szCs w:val="24"/>
        </w:rPr>
        <w:t xml:space="preserve"> has added additional moments for the aggregate stock market </w:t>
      </w:r>
      <w:r w:rsidR="00796A7D">
        <w:rPr>
          <w:rFonts w:ascii="Times New Roman" w:hAnsi="Times New Roman" w:cs="Times New Roman"/>
          <w:color w:val="0000FF"/>
          <w:sz w:val="24"/>
          <w:szCs w:val="24"/>
        </w:rPr>
        <w:t xml:space="preserve">response to high-frequency </w:t>
      </w:r>
      <w:r w:rsidR="003816B6">
        <w:rPr>
          <w:rFonts w:ascii="Times New Roman" w:hAnsi="Times New Roman" w:cs="Times New Roman"/>
          <w:color w:val="0000FF"/>
          <w:sz w:val="24"/>
          <w:szCs w:val="24"/>
        </w:rPr>
        <w:t>monetary policy</w:t>
      </w:r>
      <w:r w:rsidR="00796A7D">
        <w:rPr>
          <w:rFonts w:ascii="Times New Roman" w:hAnsi="Times New Roman" w:cs="Times New Roman"/>
          <w:color w:val="0000FF"/>
          <w:sz w:val="24"/>
          <w:szCs w:val="24"/>
        </w:rPr>
        <w:t xml:space="preserve"> shocks</w:t>
      </w:r>
      <w:r w:rsidR="003816B6">
        <w:rPr>
          <w:rFonts w:ascii="Times New Roman" w:hAnsi="Times New Roman" w:cs="Times New Roman"/>
          <w:color w:val="0000FF"/>
          <w:sz w:val="24"/>
          <w:szCs w:val="24"/>
        </w:rPr>
        <w:t>, including the symmetry of the aggregate stock market response and an empirical Campbell and Ammer (1993) decomposition of this response into risk-neutral and risk premium components. In addition, the revised paper newly shows that the model can explain</w:t>
      </w:r>
      <w:r>
        <w:rPr>
          <w:rFonts w:ascii="Times New Roman" w:hAnsi="Times New Roman" w:cs="Times New Roman"/>
          <w:color w:val="0000FF"/>
          <w:sz w:val="24"/>
          <w:szCs w:val="24"/>
        </w:rPr>
        <w:t xml:space="preserve"> </w:t>
      </w:r>
      <w:r w:rsidR="001913E1" w:rsidRPr="001F4E5E">
        <w:rPr>
          <w:rFonts w:ascii="Times New Roman" w:hAnsi="Times New Roman" w:cs="Times New Roman"/>
          <w:color w:val="0000FF"/>
          <w:sz w:val="24"/>
          <w:szCs w:val="24"/>
        </w:rPr>
        <w:t>the cross-section of industry return</w:t>
      </w:r>
      <w:r w:rsidRPr="001F4E5E">
        <w:rPr>
          <w:rFonts w:ascii="Times New Roman" w:hAnsi="Times New Roman" w:cs="Times New Roman"/>
          <w:color w:val="0000FF"/>
          <w:sz w:val="24"/>
          <w:szCs w:val="24"/>
        </w:rPr>
        <w:t>s (</w:t>
      </w:r>
      <w:r w:rsidRPr="0034349C">
        <w:rPr>
          <w:rFonts w:ascii="Times New Roman" w:hAnsi="Times New Roman" w:cs="Times New Roman"/>
          <w:b/>
          <w:bCs/>
          <w:color w:val="0000FF"/>
          <w:sz w:val="24"/>
          <w:szCs w:val="24"/>
        </w:rPr>
        <w:t xml:space="preserve">Table 5 and Figure </w:t>
      </w:r>
      <w:r w:rsidR="007C7359">
        <w:rPr>
          <w:rFonts w:ascii="Times New Roman" w:hAnsi="Times New Roman" w:cs="Times New Roman"/>
          <w:b/>
          <w:bCs/>
          <w:color w:val="0000FF"/>
          <w:sz w:val="24"/>
          <w:szCs w:val="24"/>
        </w:rPr>
        <w:t>4</w:t>
      </w:r>
      <w:r w:rsidRPr="001F4E5E">
        <w:rPr>
          <w:rFonts w:ascii="Times New Roman" w:hAnsi="Times New Roman" w:cs="Times New Roman"/>
          <w:color w:val="0000FF"/>
          <w:sz w:val="24"/>
          <w:szCs w:val="24"/>
        </w:rPr>
        <w:t xml:space="preserve">), </w:t>
      </w:r>
      <w:r w:rsidR="007C7359">
        <w:rPr>
          <w:rFonts w:ascii="Times New Roman" w:hAnsi="Times New Roman" w:cs="Times New Roman"/>
          <w:color w:val="0000FF"/>
          <w:sz w:val="24"/>
          <w:szCs w:val="24"/>
        </w:rPr>
        <w:t xml:space="preserve">the </w:t>
      </w:r>
      <w:r w:rsidR="007C7359" w:rsidRPr="001F4E5E">
        <w:rPr>
          <w:rFonts w:ascii="Times New Roman" w:hAnsi="Times New Roman" w:cs="Times New Roman"/>
          <w:color w:val="0000FF"/>
          <w:sz w:val="24"/>
          <w:szCs w:val="24"/>
        </w:rPr>
        <w:t xml:space="preserve">stock response </w:t>
      </w:r>
      <w:r w:rsidR="00902417">
        <w:rPr>
          <w:rFonts w:ascii="Times New Roman" w:hAnsi="Times New Roman" w:cs="Times New Roman"/>
          <w:color w:val="0000FF"/>
          <w:sz w:val="24"/>
          <w:szCs w:val="24"/>
        </w:rPr>
        <w:t xml:space="preserve">across high and low risk aversion states </w:t>
      </w:r>
      <w:r w:rsidR="007C7359" w:rsidRPr="001F4E5E">
        <w:rPr>
          <w:rFonts w:ascii="Times New Roman" w:hAnsi="Times New Roman" w:cs="Times New Roman"/>
          <w:color w:val="0000FF"/>
          <w:sz w:val="24"/>
          <w:szCs w:val="24"/>
        </w:rPr>
        <w:t>(</w:t>
      </w:r>
      <w:r w:rsidR="007C7359" w:rsidRPr="0034349C">
        <w:rPr>
          <w:rFonts w:ascii="Times New Roman" w:hAnsi="Times New Roman" w:cs="Times New Roman"/>
          <w:b/>
          <w:bCs/>
          <w:color w:val="0000FF"/>
          <w:sz w:val="24"/>
          <w:szCs w:val="24"/>
        </w:rPr>
        <w:t>Table</w:t>
      </w:r>
      <w:r w:rsidR="007C7359">
        <w:rPr>
          <w:rFonts w:ascii="Times New Roman" w:hAnsi="Times New Roman" w:cs="Times New Roman"/>
          <w:b/>
          <w:bCs/>
          <w:color w:val="0000FF"/>
          <w:sz w:val="24"/>
          <w:szCs w:val="24"/>
        </w:rPr>
        <w:t xml:space="preserve"> 6</w:t>
      </w:r>
      <w:r w:rsidR="007C7359" w:rsidRPr="001F4E5E">
        <w:rPr>
          <w:rFonts w:ascii="Times New Roman" w:hAnsi="Times New Roman" w:cs="Times New Roman"/>
          <w:color w:val="0000FF"/>
          <w:sz w:val="24"/>
          <w:szCs w:val="24"/>
        </w:rPr>
        <w:t xml:space="preserve">), </w:t>
      </w:r>
      <w:r w:rsidRPr="001F4E5E">
        <w:rPr>
          <w:rFonts w:ascii="Times New Roman" w:hAnsi="Times New Roman" w:cs="Times New Roman"/>
          <w:color w:val="0000FF"/>
          <w:sz w:val="24"/>
          <w:szCs w:val="24"/>
        </w:rPr>
        <w:t>and bond yield responses (</w:t>
      </w:r>
      <w:r w:rsidRPr="0034349C">
        <w:rPr>
          <w:rFonts w:ascii="Times New Roman" w:hAnsi="Times New Roman" w:cs="Times New Roman"/>
          <w:b/>
          <w:bCs/>
          <w:color w:val="0000FF"/>
          <w:sz w:val="24"/>
          <w:szCs w:val="24"/>
        </w:rPr>
        <w:t>Table 7</w:t>
      </w:r>
      <w:r w:rsidRPr="001F4E5E">
        <w:rPr>
          <w:rFonts w:ascii="Times New Roman" w:hAnsi="Times New Roman" w:cs="Times New Roman"/>
          <w:color w:val="0000FF"/>
          <w:sz w:val="24"/>
          <w:szCs w:val="24"/>
        </w:rPr>
        <w:t>) around monetary policy shocks.</w:t>
      </w:r>
      <w:r w:rsidR="00FC7B24" w:rsidRPr="001F4E5E">
        <w:rPr>
          <w:rFonts w:ascii="Times New Roman" w:hAnsi="Times New Roman" w:cs="Times New Roman"/>
          <w:sz w:val="24"/>
          <w:szCs w:val="24"/>
        </w:rPr>
        <w:t xml:space="preserve"> </w:t>
      </w:r>
    </w:p>
    <w:p w14:paraId="5557C6AB" w14:textId="77777777" w:rsidR="00865EA3" w:rsidRPr="001F4E5E" w:rsidRDefault="00865EA3" w:rsidP="00443CE1">
      <w:pPr>
        <w:pStyle w:val="ListParagraph"/>
        <w:autoSpaceDE w:val="0"/>
        <w:autoSpaceDN w:val="0"/>
        <w:adjustRightInd w:val="0"/>
        <w:spacing w:after="0" w:line="240" w:lineRule="auto"/>
        <w:ind w:left="1080"/>
        <w:jc w:val="both"/>
        <w:rPr>
          <w:rFonts w:ascii="Times New Roman" w:hAnsi="Times New Roman" w:cs="Times New Roman"/>
          <w:color w:val="0000FF"/>
          <w:sz w:val="24"/>
          <w:szCs w:val="24"/>
        </w:rPr>
      </w:pPr>
    </w:p>
    <w:p w14:paraId="4FB27BFE" w14:textId="77777777" w:rsidR="00421732" w:rsidRPr="00421732" w:rsidRDefault="00421732" w:rsidP="00443CE1">
      <w:pPr>
        <w:autoSpaceDE w:val="0"/>
        <w:autoSpaceDN w:val="0"/>
        <w:adjustRightInd w:val="0"/>
        <w:spacing w:after="0" w:line="240" w:lineRule="auto"/>
        <w:jc w:val="both"/>
        <w:rPr>
          <w:rFonts w:ascii="Times New Roman" w:hAnsi="Times New Roman" w:cs="Times New Roman"/>
          <w:sz w:val="24"/>
          <w:szCs w:val="24"/>
        </w:rPr>
      </w:pPr>
    </w:p>
    <w:sectPr w:rsidR="00421732" w:rsidRPr="00421732" w:rsidSect="00A81EC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093005" w14:textId="77777777" w:rsidR="000D1A5A" w:rsidRDefault="000D1A5A" w:rsidP="00C04384">
      <w:pPr>
        <w:spacing w:after="0" w:line="240" w:lineRule="auto"/>
      </w:pPr>
      <w:r>
        <w:separator/>
      </w:r>
    </w:p>
  </w:endnote>
  <w:endnote w:type="continuationSeparator" w:id="0">
    <w:p w14:paraId="79939051" w14:textId="77777777" w:rsidR="000D1A5A" w:rsidRDefault="000D1A5A" w:rsidP="00C0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6605430"/>
      <w:docPartObj>
        <w:docPartGallery w:val="Page Numbers (Bottom of Page)"/>
        <w:docPartUnique/>
      </w:docPartObj>
    </w:sdtPr>
    <w:sdtEndPr>
      <w:rPr>
        <w:noProof/>
      </w:rPr>
    </w:sdtEndPr>
    <w:sdtContent>
      <w:p w14:paraId="3D4C1920" w14:textId="05627718" w:rsidR="007C3211" w:rsidRDefault="007C3211">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0BE35B6F" w14:textId="77777777" w:rsidR="007C3211" w:rsidRDefault="007C3211">
    <w:pPr>
      <w:pStyle w:val="Footer"/>
    </w:pPr>
  </w:p>
  <w:p w14:paraId="4A02D217" w14:textId="77777777" w:rsidR="007C3211" w:rsidRDefault="007C3211"/>
  <w:p w14:paraId="611D8554" w14:textId="77777777" w:rsidR="007C3211" w:rsidRDefault="007C32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8F0953" w14:textId="77777777" w:rsidR="000D1A5A" w:rsidRDefault="000D1A5A" w:rsidP="00C04384">
      <w:pPr>
        <w:spacing w:after="0" w:line="240" w:lineRule="auto"/>
      </w:pPr>
      <w:r>
        <w:separator/>
      </w:r>
    </w:p>
  </w:footnote>
  <w:footnote w:type="continuationSeparator" w:id="0">
    <w:p w14:paraId="7E263ABB" w14:textId="77777777" w:rsidR="000D1A5A" w:rsidRDefault="000D1A5A" w:rsidP="00C04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200B0"/>
    <w:multiLevelType w:val="hybridMultilevel"/>
    <w:tmpl w:val="12FEE1DC"/>
    <w:lvl w:ilvl="0" w:tplc="04090001">
      <w:start w:val="1"/>
      <w:numFmt w:val="bullet"/>
      <w:lvlText w:val=""/>
      <w:lvlJc w:val="left"/>
      <w:pPr>
        <w:ind w:left="1958" w:hanging="360"/>
      </w:pPr>
      <w:rPr>
        <w:rFonts w:ascii="Symbol" w:hAnsi="Symbol" w:hint="default"/>
      </w:rPr>
    </w:lvl>
    <w:lvl w:ilvl="1" w:tplc="04090003" w:tentative="1">
      <w:start w:val="1"/>
      <w:numFmt w:val="bullet"/>
      <w:lvlText w:val="o"/>
      <w:lvlJc w:val="left"/>
      <w:pPr>
        <w:ind w:left="2678" w:hanging="360"/>
      </w:pPr>
      <w:rPr>
        <w:rFonts w:ascii="Courier New" w:hAnsi="Courier New" w:cs="Courier New" w:hint="default"/>
      </w:rPr>
    </w:lvl>
    <w:lvl w:ilvl="2" w:tplc="04090005" w:tentative="1">
      <w:start w:val="1"/>
      <w:numFmt w:val="bullet"/>
      <w:lvlText w:val=""/>
      <w:lvlJc w:val="left"/>
      <w:pPr>
        <w:ind w:left="3398" w:hanging="360"/>
      </w:pPr>
      <w:rPr>
        <w:rFonts w:ascii="Wingdings" w:hAnsi="Wingdings" w:hint="default"/>
      </w:rPr>
    </w:lvl>
    <w:lvl w:ilvl="3" w:tplc="04090001" w:tentative="1">
      <w:start w:val="1"/>
      <w:numFmt w:val="bullet"/>
      <w:lvlText w:val=""/>
      <w:lvlJc w:val="left"/>
      <w:pPr>
        <w:ind w:left="4118" w:hanging="360"/>
      </w:pPr>
      <w:rPr>
        <w:rFonts w:ascii="Symbol" w:hAnsi="Symbol" w:hint="default"/>
      </w:rPr>
    </w:lvl>
    <w:lvl w:ilvl="4" w:tplc="04090003" w:tentative="1">
      <w:start w:val="1"/>
      <w:numFmt w:val="bullet"/>
      <w:lvlText w:val="o"/>
      <w:lvlJc w:val="left"/>
      <w:pPr>
        <w:ind w:left="4838" w:hanging="360"/>
      </w:pPr>
      <w:rPr>
        <w:rFonts w:ascii="Courier New" w:hAnsi="Courier New" w:cs="Courier New" w:hint="default"/>
      </w:rPr>
    </w:lvl>
    <w:lvl w:ilvl="5" w:tplc="04090005" w:tentative="1">
      <w:start w:val="1"/>
      <w:numFmt w:val="bullet"/>
      <w:lvlText w:val=""/>
      <w:lvlJc w:val="left"/>
      <w:pPr>
        <w:ind w:left="5558" w:hanging="360"/>
      </w:pPr>
      <w:rPr>
        <w:rFonts w:ascii="Wingdings" w:hAnsi="Wingdings" w:hint="default"/>
      </w:rPr>
    </w:lvl>
    <w:lvl w:ilvl="6" w:tplc="04090001" w:tentative="1">
      <w:start w:val="1"/>
      <w:numFmt w:val="bullet"/>
      <w:lvlText w:val=""/>
      <w:lvlJc w:val="left"/>
      <w:pPr>
        <w:ind w:left="6278" w:hanging="360"/>
      </w:pPr>
      <w:rPr>
        <w:rFonts w:ascii="Symbol" w:hAnsi="Symbol" w:hint="default"/>
      </w:rPr>
    </w:lvl>
    <w:lvl w:ilvl="7" w:tplc="04090003" w:tentative="1">
      <w:start w:val="1"/>
      <w:numFmt w:val="bullet"/>
      <w:lvlText w:val="o"/>
      <w:lvlJc w:val="left"/>
      <w:pPr>
        <w:ind w:left="6998" w:hanging="360"/>
      </w:pPr>
      <w:rPr>
        <w:rFonts w:ascii="Courier New" w:hAnsi="Courier New" w:cs="Courier New" w:hint="default"/>
      </w:rPr>
    </w:lvl>
    <w:lvl w:ilvl="8" w:tplc="04090005" w:tentative="1">
      <w:start w:val="1"/>
      <w:numFmt w:val="bullet"/>
      <w:lvlText w:val=""/>
      <w:lvlJc w:val="left"/>
      <w:pPr>
        <w:ind w:left="7718" w:hanging="360"/>
      </w:pPr>
      <w:rPr>
        <w:rFonts w:ascii="Wingdings" w:hAnsi="Wingdings" w:hint="default"/>
      </w:rPr>
    </w:lvl>
  </w:abstractNum>
  <w:abstractNum w:abstractNumId="1" w15:restartNumberingAfterBreak="0">
    <w:nsid w:val="0BAB4BAB"/>
    <w:multiLevelType w:val="hybridMultilevel"/>
    <w:tmpl w:val="5EC640D2"/>
    <w:lvl w:ilvl="0" w:tplc="D130AE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031BA"/>
    <w:multiLevelType w:val="hybridMultilevel"/>
    <w:tmpl w:val="BBBA494C"/>
    <w:lvl w:ilvl="0" w:tplc="039E271C">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AE32C1D"/>
    <w:multiLevelType w:val="hybridMultilevel"/>
    <w:tmpl w:val="3D08E46A"/>
    <w:lvl w:ilvl="0" w:tplc="6B4A5934">
      <w:start w:val="1"/>
      <w:numFmt w:val="decimal"/>
      <w:lvlText w:val="%1."/>
      <w:lvlJc w:val="left"/>
      <w:pPr>
        <w:ind w:left="645" w:hanging="279"/>
      </w:pPr>
      <w:rPr>
        <w:rFonts w:ascii="Arial" w:eastAsia="Arial" w:hAnsi="Arial" w:hint="default"/>
        <w:w w:val="92"/>
        <w:sz w:val="22"/>
        <w:szCs w:val="22"/>
      </w:rPr>
    </w:lvl>
    <w:lvl w:ilvl="1" w:tplc="BC28F3FC">
      <w:start w:val="1"/>
      <w:numFmt w:val="bullet"/>
      <w:lvlText w:val="•"/>
      <w:lvlJc w:val="left"/>
      <w:pPr>
        <w:ind w:left="1125" w:hanging="219"/>
      </w:pPr>
      <w:rPr>
        <w:rFonts w:ascii="Arial" w:eastAsia="Arial" w:hAnsi="Arial" w:hint="default"/>
        <w:w w:val="141"/>
        <w:sz w:val="22"/>
        <w:szCs w:val="22"/>
      </w:rPr>
    </w:lvl>
    <w:lvl w:ilvl="2" w:tplc="915C1DC8">
      <w:start w:val="1"/>
      <w:numFmt w:val="bullet"/>
      <w:lvlText w:val="•"/>
      <w:lvlJc w:val="left"/>
      <w:pPr>
        <w:ind w:left="2000" w:hanging="219"/>
      </w:pPr>
      <w:rPr>
        <w:rFonts w:hint="default"/>
      </w:rPr>
    </w:lvl>
    <w:lvl w:ilvl="3" w:tplc="D8EE9ABA">
      <w:start w:val="1"/>
      <w:numFmt w:val="bullet"/>
      <w:lvlText w:val="•"/>
      <w:lvlJc w:val="left"/>
      <w:pPr>
        <w:ind w:left="2875" w:hanging="219"/>
      </w:pPr>
      <w:rPr>
        <w:rFonts w:hint="default"/>
      </w:rPr>
    </w:lvl>
    <w:lvl w:ilvl="4" w:tplc="4E800C56">
      <w:start w:val="1"/>
      <w:numFmt w:val="bullet"/>
      <w:lvlText w:val="•"/>
      <w:lvlJc w:val="left"/>
      <w:pPr>
        <w:ind w:left="3750" w:hanging="219"/>
      </w:pPr>
      <w:rPr>
        <w:rFonts w:hint="default"/>
      </w:rPr>
    </w:lvl>
    <w:lvl w:ilvl="5" w:tplc="BA6EA960">
      <w:start w:val="1"/>
      <w:numFmt w:val="bullet"/>
      <w:lvlText w:val="•"/>
      <w:lvlJc w:val="left"/>
      <w:pPr>
        <w:ind w:left="4625" w:hanging="219"/>
      </w:pPr>
      <w:rPr>
        <w:rFonts w:hint="default"/>
      </w:rPr>
    </w:lvl>
    <w:lvl w:ilvl="6" w:tplc="52EA2D7C">
      <w:start w:val="1"/>
      <w:numFmt w:val="bullet"/>
      <w:lvlText w:val="•"/>
      <w:lvlJc w:val="left"/>
      <w:pPr>
        <w:ind w:left="5500" w:hanging="219"/>
      </w:pPr>
      <w:rPr>
        <w:rFonts w:hint="default"/>
      </w:rPr>
    </w:lvl>
    <w:lvl w:ilvl="7" w:tplc="46EEA60C">
      <w:start w:val="1"/>
      <w:numFmt w:val="bullet"/>
      <w:lvlText w:val="•"/>
      <w:lvlJc w:val="left"/>
      <w:pPr>
        <w:ind w:left="6375" w:hanging="219"/>
      </w:pPr>
      <w:rPr>
        <w:rFonts w:hint="default"/>
      </w:rPr>
    </w:lvl>
    <w:lvl w:ilvl="8" w:tplc="8B0AA5D8">
      <w:start w:val="1"/>
      <w:numFmt w:val="bullet"/>
      <w:lvlText w:val="•"/>
      <w:lvlJc w:val="left"/>
      <w:pPr>
        <w:ind w:left="7250" w:hanging="219"/>
      </w:pPr>
      <w:rPr>
        <w:rFonts w:hint="default"/>
      </w:rPr>
    </w:lvl>
  </w:abstractNum>
  <w:abstractNum w:abstractNumId="4" w15:restartNumberingAfterBreak="0">
    <w:nsid w:val="1C6753A3"/>
    <w:multiLevelType w:val="hybridMultilevel"/>
    <w:tmpl w:val="A90E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8607F8"/>
    <w:multiLevelType w:val="hybridMultilevel"/>
    <w:tmpl w:val="58C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7137DE"/>
    <w:multiLevelType w:val="hybridMultilevel"/>
    <w:tmpl w:val="FAF40C6E"/>
    <w:lvl w:ilvl="0" w:tplc="459CDD70">
      <w:start w:val="1"/>
      <w:numFmt w:val="decimal"/>
      <w:lvlText w:val="%1."/>
      <w:lvlJc w:val="left"/>
      <w:pPr>
        <w:ind w:left="645" w:hanging="279"/>
      </w:pPr>
      <w:rPr>
        <w:rFonts w:ascii="Arial" w:eastAsia="Arial" w:hAnsi="Arial" w:hint="default"/>
        <w:w w:val="92"/>
        <w:sz w:val="22"/>
        <w:szCs w:val="22"/>
      </w:rPr>
    </w:lvl>
    <w:lvl w:ilvl="1" w:tplc="C0E83912">
      <w:start w:val="1"/>
      <w:numFmt w:val="bullet"/>
      <w:lvlText w:val="•"/>
      <w:lvlJc w:val="left"/>
      <w:pPr>
        <w:ind w:left="1125" w:hanging="219"/>
      </w:pPr>
      <w:rPr>
        <w:rFonts w:ascii="Arial" w:eastAsia="Arial" w:hAnsi="Arial" w:hint="default"/>
        <w:w w:val="141"/>
        <w:sz w:val="22"/>
        <w:szCs w:val="22"/>
      </w:rPr>
    </w:lvl>
    <w:lvl w:ilvl="2" w:tplc="BCEC4CB2">
      <w:start w:val="1"/>
      <w:numFmt w:val="bullet"/>
      <w:lvlText w:val="•"/>
      <w:lvlJc w:val="left"/>
      <w:pPr>
        <w:ind w:left="2000" w:hanging="219"/>
      </w:pPr>
      <w:rPr>
        <w:rFonts w:hint="default"/>
      </w:rPr>
    </w:lvl>
    <w:lvl w:ilvl="3" w:tplc="D744FCCA">
      <w:start w:val="1"/>
      <w:numFmt w:val="bullet"/>
      <w:lvlText w:val="•"/>
      <w:lvlJc w:val="left"/>
      <w:pPr>
        <w:ind w:left="2875" w:hanging="219"/>
      </w:pPr>
      <w:rPr>
        <w:rFonts w:hint="default"/>
      </w:rPr>
    </w:lvl>
    <w:lvl w:ilvl="4" w:tplc="7298CDC2">
      <w:start w:val="1"/>
      <w:numFmt w:val="bullet"/>
      <w:lvlText w:val="•"/>
      <w:lvlJc w:val="left"/>
      <w:pPr>
        <w:ind w:left="3750" w:hanging="219"/>
      </w:pPr>
      <w:rPr>
        <w:rFonts w:hint="default"/>
      </w:rPr>
    </w:lvl>
    <w:lvl w:ilvl="5" w:tplc="1ACC4248">
      <w:start w:val="1"/>
      <w:numFmt w:val="bullet"/>
      <w:lvlText w:val="•"/>
      <w:lvlJc w:val="left"/>
      <w:pPr>
        <w:ind w:left="4625" w:hanging="219"/>
      </w:pPr>
      <w:rPr>
        <w:rFonts w:hint="default"/>
      </w:rPr>
    </w:lvl>
    <w:lvl w:ilvl="6" w:tplc="425AD60E">
      <w:start w:val="1"/>
      <w:numFmt w:val="bullet"/>
      <w:lvlText w:val="•"/>
      <w:lvlJc w:val="left"/>
      <w:pPr>
        <w:ind w:left="5500" w:hanging="219"/>
      </w:pPr>
      <w:rPr>
        <w:rFonts w:hint="default"/>
      </w:rPr>
    </w:lvl>
    <w:lvl w:ilvl="7" w:tplc="72D492C4">
      <w:start w:val="1"/>
      <w:numFmt w:val="bullet"/>
      <w:lvlText w:val="•"/>
      <w:lvlJc w:val="left"/>
      <w:pPr>
        <w:ind w:left="6375" w:hanging="219"/>
      </w:pPr>
      <w:rPr>
        <w:rFonts w:hint="default"/>
      </w:rPr>
    </w:lvl>
    <w:lvl w:ilvl="8" w:tplc="001C8A60">
      <w:start w:val="1"/>
      <w:numFmt w:val="bullet"/>
      <w:lvlText w:val="•"/>
      <w:lvlJc w:val="left"/>
      <w:pPr>
        <w:ind w:left="7250" w:hanging="219"/>
      </w:pPr>
      <w:rPr>
        <w:rFonts w:hint="default"/>
      </w:rPr>
    </w:lvl>
  </w:abstractNum>
  <w:abstractNum w:abstractNumId="7" w15:restartNumberingAfterBreak="0">
    <w:nsid w:val="2E8B409E"/>
    <w:multiLevelType w:val="hybridMultilevel"/>
    <w:tmpl w:val="281E8C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714AEF"/>
    <w:multiLevelType w:val="multilevel"/>
    <w:tmpl w:val="028A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7B25CD"/>
    <w:multiLevelType w:val="hybridMultilevel"/>
    <w:tmpl w:val="02140EBC"/>
    <w:lvl w:ilvl="0" w:tplc="FFFFFFFF">
      <w:start w:val="1"/>
      <w:numFmt w:val="decimal"/>
      <w:lvlText w:val="%1."/>
      <w:lvlJc w:val="left"/>
      <w:pPr>
        <w:ind w:left="1240" w:hanging="440"/>
      </w:pPr>
    </w:lvl>
    <w:lvl w:ilvl="1" w:tplc="04090001">
      <w:start w:val="1"/>
      <w:numFmt w:val="bullet"/>
      <w:lvlText w:val=""/>
      <w:lvlJc w:val="left"/>
      <w:pPr>
        <w:ind w:left="1680" w:hanging="440"/>
      </w:pPr>
      <w:rPr>
        <w:rFonts w:ascii="Wingdings" w:hAnsi="Wingdings" w:hint="default"/>
      </w:rPr>
    </w:lvl>
    <w:lvl w:ilvl="2" w:tplc="FFFFFFFF">
      <w:start w:val="1"/>
      <w:numFmt w:val="lowerRoman"/>
      <w:lvlText w:val="%3."/>
      <w:lvlJc w:val="right"/>
      <w:pPr>
        <w:ind w:left="2120" w:hanging="440"/>
      </w:p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0" w15:restartNumberingAfterBreak="0">
    <w:nsid w:val="40F0719D"/>
    <w:multiLevelType w:val="hybridMultilevel"/>
    <w:tmpl w:val="0234D784"/>
    <w:lvl w:ilvl="0" w:tplc="39784114">
      <w:start w:val="2"/>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286BF0"/>
    <w:multiLevelType w:val="hybridMultilevel"/>
    <w:tmpl w:val="47D40CE8"/>
    <w:lvl w:ilvl="0" w:tplc="9880FE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37519E"/>
    <w:multiLevelType w:val="hybridMultilevel"/>
    <w:tmpl w:val="9960811E"/>
    <w:lvl w:ilvl="0" w:tplc="997E23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FB2155E"/>
    <w:multiLevelType w:val="hybridMultilevel"/>
    <w:tmpl w:val="D516351C"/>
    <w:lvl w:ilvl="0" w:tplc="BE2E92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A34475"/>
    <w:multiLevelType w:val="hybridMultilevel"/>
    <w:tmpl w:val="6BD4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FE1631"/>
    <w:multiLevelType w:val="hybridMultilevel"/>
    <w:tmpl w:val="2D0805F0"/>
    <w:lvl w:ilvl="0" w:tplc="08060B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EA5134"/>
    <w:multiLevelType w:val="hybridMultilevel"/>
    <w:tmpl w:val="F3DAA84C"/>
    <w:lvl w:ilvl="0" w:tplc="0409000F">
      <w:start w:val="1"/>
      <w:numFmt w:val="decimal"/>
      <w:lvlText w:val="%1."/>
      <w:lvlJc w:val="left"/>
      <w:pPr>
        <w:ind w:left="1240" w:hanging="440"/>
      </w:pPr>
    </w:lvl>
    <w:lvl w:ilvl="1" w:tplc="04090019">
      <w:start w:val="1"/>
      <w:numFmt w:val="upperLetter"/>
      <w:lvlText w:val="%2."/>
      <w:lvlJc w:val="left"/>
      <w:pPr>
        <w:ind w:left="1680" w:hanging="440"/>
      </w:pPr>
    </w:lvl>
    <w:lvl w:ilvl="2" w:tplc="0409001B">
      <w:start w:val="1"/>
      <w:numFmt w:val="lowerRoman"/>
      <w:lvlText w:val="%3."/>
      <w:lvlJc w:val="right"/>
      <w:pPr>
        <w:ind w:left="2120" w:hanging="440"/>
      </w:pPr>
    </w:lvl>
    <w:lvl w:ilvl="3" w:tplc="0409000F">
      <w:start w:val="1"/>
      <w:numFmt w:val="decimal"/>
      <w:lvlText w:val="%4."/>
      <w:lvlJc w:val="left"/>
      <w:pPr>
        <w:ind w:left="2560" w:hanging="440"/>
      </w:pPr>
    </w:lvl>
    <w:lvl w:ilvl="4" w:tplc="04090019">
      <w:start w:val="1"/>
      <w:numFmt w:val="upperLetter"/>
      <w:lvlText w:val="%5."/>
      <w:lvlJc w:val="left"/>
      <w:pPr>
        <w:ind w:left="3000" w:hanging="440"/>
      </w:pPr>
    </w:lvl>
    <w:lvl w:ilvl="5" w:tplc="0409001B">
      <w:start w:val="1"/>
      <w:numFmt w:val="lowerRoman"/>
      <w:lvlText w:val="%6."/>
      <w:lvlJc w:val="right"/>
      <w:pPr>
        <w:ind w:left="3440" w:hanging="440"/>
      </w:pPr>
    </w:lvl>
    <w:lvl w:ilvl="6" w:tplc="0409000F">
      <w:start w:val="1"/>
      <w:numFmt w:val="decimal"/>
      <w:lvlText w:val="%7."/>
      <w:lvlJc w:val="left"/>
      <w:pPr>
        <w:ind w:left="3880" w:hanging="440"/>
      </w:pPr>
    </w:lvl>
    <w:lvl w:ilvl="7" w:tplc="04090019">
      <w:start w:val="1"/>
      <w:numFmt w:val="upperLetter"/>
      <w:lvlText w:val="%8."/>
      <w:lvlJc w:val="left"/>
      <w:pPr>
        <w:ind w:left="4320" w:hanging="440"/>
      </w:pPr>
    </w:lvl>
    <w:lvl w:ilvl="8" w:tplc="0409001B">
      <w:start w:val="1"/>
      <w:numFmt w:val="lowerRoman"/>
      <w:lvlText w:val="%9."/>
      <w:lvlJc w:val="right"/>
      <w:pPr>
        <w:ind w:left="4760" w:hanging="440"/>
      </w:pPr>
    </w:lvl>
  </w:abstractNum>
  <w:abstractNum w:abstractNumId="17" w15:restartNumberingAfterBreak="0">
    <w:nsid w:val="6CC6253B"/>
    <w:multiLevelType w:val="hybridMultilevel"/>
    <w:tmpl w:val="2662C242"/>
    <w:lvl w:ilvl="0" w:tplc="0409000F">
      <w:start w:val="1"/>
      <w:numFmt w:val="decimal"/>
      <w:lvlText w:val="%1."/>
      <w:lvlJc w:val="left"/>
      <w:pPr>
        <w:ind w:left="1280" w:hanging="440"/>
      </w:pPr>
    </w:lvl>
    <w:lvl w:ilvl="1" w:tplc="04090019">
      <w:start w:val="1"/>
      <w:numFmt w:val="upperLetter"/>
      <w:lvlText w:val="%2."/>
      <w:lvlJc w:val="left"/>
      <w:pPr>
        <w:ind w:left="1720" w:hanging="440"/>
      </w:pPr>
    </w:lvl>
    <w:lvl w:ilvl="2" w:tplc="0409001B">
      <w:start w:val="1"/>
      <w:numFmt w:val="lowerRoman"/>
      <w:lvlText w:val="%3."/>
      <w:lvlJc w:val="right"/>
      <w:pPr>
        <w:ind w:left="2160" w:hanging="440"/>
      </w:pPr>
    </w:lvl>
    <w:lvl w:ilvl="3" w:tplc="0409000F">
      <w:start w:val="1"/>
      <w:numFmt w:val="decimal"/>
      <w:lvlText w:val="%4."/>
      <w:lvlJc w:val="left"/>
      <w:pPr>
        <w:ind w:left="2600" w:hanging="440"/>
      </w:pPr>
    </w:lvl>
    <w:lvl w:ilvl="4" w:tplc="04090019">
      <w:start w:val="1"/>
      <w:numFmt w:val="upperLetter"/>
      <w:lvlText w:val="%5."/>
      <w:lvlJc w:val="left"/>
      <w:pPr>
        <w:ind w:left="3040" w:hanging="440"/>
      </w:pPr>
    </w:lvl>
    <w:lvl w:ilvl="5" w:tplc="0409001B">
      <w:start w:val="1"/>
      <w:numFmt w:val="lowerRoman"/>
      <w:lvlText w:val="%6."/>
      <w:lvlJc w:val="right"/>
      <w:pPr>
        <w:ind w:left="3480" w:hanging="440"/>
      </w:pPr>
    </w:lvl>
    <w:lvl w:ilvl="6" w:tplc="0409000F">
      <w:start w:val="1"/>
      <w:numFmt w:val="decimal"/>
      <w:lvlText w:val="%7."/>
      <w:lvlJc w:val="left"/>
      <w:pPr>
        <w:ind w:left="3920" w:hanging="440"/>
      </w:pPr>
    </w:lvl>
    <w:lvl w:ilvl="7" w:tplc="04090019">
      <w:start w:val="1"/>
      <w:numFmt w:val="upperLetter"/>
      <w:lvlText w:val="%8."/>
      <w:lvlJc w:val="left"/>
      <w:pPr>
        <w:ind w:left="4360" w:hanging="440"/>
      </w:pPr>
    </w:lvl>
    <w:lvl w:ilvl="8" w:tplc="0409001B">
      <w:start w:val="1"/>
      <w:numFmt w:val="lowerRoman"/>
      <w:lvlText w:val="%9."/>
      <w:lvlJc w:val="right"/>
      <w:pPr>
        <w:ind w:left="4800" w:hanging="440"/>
      </w:pPr>
    </w:lvl>
  </w:abstractNum>
  <w:abstractNum w:abstractNumId="18" w15:restartNumberingAfterBreak="0">
    <w:nsid w:val="6DD307E5"/>
    <w:multiLevelType w:val="hybridMultilevel"/>
    <w:tmpl w:val="F6EA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E86D43"/>
    <w:multiLevelType w:val="hybridMultilevel"/>
    <w:tmpl w:val="096A6FCA"/>
    <w:lvl w:ilvl="0" w:tplc="0CD0E95C">
      <w:start w:val="1"/>
      <w:numFmt w:val="decimal"/>
      <w:lvlText w:val="%1."/>
      <w:lvlJc w:val="left"/>
      <w:pPr>
        <w:ind w:left="645" w:hanging="279"/>
      </w:pPr>
      <w:rPr>
        <w:rFonts w:ascii="Arial" w:eastAsia="Arial" w:hAnsi="Arial" w:hint="default"/>
        <w:w w:val="92"/>
        <w:sz w:val="22"/>
        <w:szCs w:val="22"/>
      </w:rPr>
    </w:lvl>
    <w:lvl w:ilvl="1" w:tplc="F252F96A">
      <w:start w:val="1"/>
      <w:numFmt w:val="lowerRoman"/>
      <w:lvlText w:val="%2)"/>
      <w:lvlJc w:val="left"/>
      <w:pPr>
        <w:ind w:left="863" w:hanging="219"/>
      </w:pPr>
      <w:rPr>
        <w:rFonts w:ascii="Arial" w:eastAsia="Arial" w:hAnsi="Arial" w:hint="default"/>
        <w:w w:val="119"/>
        <w:sz w:val="22"/>
        <w:szCs w:val="22"/>
      </w:rPr>
    </w:lvl>
    <w:lvl w:ilvl="2" w:tplc="DDFCCC5A">
      <w:start w:val="1"/>
      <w:numFmt w:val="bullet"/>
      <w:lvlText w:val="•"/>
      <w:lvlJc w:val="left"/>
      <w:pPr>
        <w:ind w:left="1767" w:hanging="219"/>
      </w:pPr>
      <w:rPr>
        <w:rFonts w:hint="default"/>
      </w:rPr>
    </w:lvl>
    <w:lvl w:ilvl="3" w:tplc="2CD2C596">
      <w:start w:val="1"/>
      <w:numFmt w:val="bullet"/>
      <w:lvlText w:val="•"/>
      <w:lvlJc w:val="left"/>
      <w:pPr>
        <w:ind w:left="2671" w:hanging="219"/>
      </w:pPr>
      <w:rPr>
        <w:rFonts w:hint="default"/>
      </w:rPr>
    </w:lvl>
    <w:lvl w:ilvl="4" w:tplc="ACCA61DC">
      <w:start w:val="1"/>
      <w:numFmt w:val="bullet"/>
      <w:lvlText w:val="•"/>
      <w:lvlJc w:val="left"/>
      <w:pPr>
        <w:ind w:left="3575" w:hanging="219"/>
      </w:pPr>
      <w:rPr>
        <w:rFonts w:hint="default"/>
      </w:rPr>
    </w:lvl>
    <w:lvl w:ilvl="5" w:tplc="D1AC4B82">
      <w:start w:val="1"/>
      <w:numFmt w:val="bullet"/>
      <w:lvlText w:val="•"/>
      <w:lvlJc w:val="left"/>
      <w:pPr>
        <w:ind w:left="4479" w:hanging="219"/>
      </w:pPr>
      <w:rPr>
        <w:rFonts w:hint="default"/>
      </w:rPr>
    </w:lvl>
    <w:lvl w:ilvl="6" w:tplc="2E48DA38">
      <w:start w:val="1"/>
      <w:numFmt w:val="bullet"/>
      <w:lvlText w:val="•"/>
      <w:lvlJc w:val="left"/>
      <w:pPr>
        <w:ind w:left="5383" w:hanging="219"/>
      </w:pPr>
      <w:rPr>
        <w:rFonts w:hint="default"/>
      </w:rPr>
    </w:lvl>
    <w:lvl w:ilvl="7" w:tplc="4BDEE8EC">
      <w:start w:val="1"/>
      <w:numFmt w:val="bullet"/>
      <w:lvlText w:val="•"/>
      <w:lvlJc w:val="left"/>
      <w:pPr>
        <w:ind w:left="6287" w:hanging="219"/>
      </w:pPr>
      <w:rPr>
        <w:rFonts w:hint="default"/>
      </w:rPr>
    </w:lvl>
    <w:lvl w:ilvl="8" w:tplc="40F8EF0E">
      <w:start w:val="1"/>
      <w:numFmt w:val="bullet"/>
      <w:lvlText w:val="•"/>
      <w:lvlJc w:val="left"/>
      <w:pPr>
        <w:ind w:left="7191" w:hanging="219"/>
      </w:pPr>
      <w:rPr>
        <w:rFonts w:hint="default"/>
      </w:rPr>
    </w:lvl>
  </w:abstractNum>
  <w:abstractNum w:abstractNumId="20" w15:restartNumberingAfterBreak="0">
    <w:nsid w:val="7E723396"/>
    <w:multiLevelType w:val="hybridMultilevel"/>
    <w:tmpl w:val="5E681836"/>
    <w:lvl w:ilvl="0" w:tplc="12D6084A">
      <w:start w:val="1"/>
      <w:numFmt w:val="decimal"/>
      <w:lvlText w:val="%1."/>
      <w:lvlJc w:val="left"/>
      <w:pPr>
        <w:ind w:left="645" w:hanging="279"/>
      </w:pPr>
      <w:rPr>
        <w:rFonts w:ascii="Arial" w:eastAsia="Arial" w:hAnsi="Arial" w:hint="default"/>
        <w:w w:val="92"/>
        <w:sz w:val="22"/>
        <w:szCs w:val="22"/>
      </w:rPr>
    </w:lvl>
    <w:lvl w:ilvl="1" w:tplc="6A105DC6">
      <w:start w:val="1"/>
      <w:numFmt w:val="lowerRoman"/>
      <w:lvlText w:val="%2)"/>
      <w:lvlJc w:val="left"/>
      <w:pPr>
        <w:ind w:left="863" w:hanging="219"/>
      </w:pPr>
      <w:rPr>
        <w:rFonts w:ascii="Arial" w:eastAsia="Arial" w:hAnsi="Arial" w:hint="default"/>
        <w:w w:val="119"/>
        <w:sz w:val="22"/>
        <w:szCs w:val="22"/>
      </w:rPr>
    </w:lvl>
    <w:lvl w:ilvl="2" w:tplc="E5A47800">
      <w:start w:val="1"/>
      <w:numFmt w:val="bullet"/>
      <w:lvlText w:val="•"/>
      <w:lvlJc w:val="left"/>
      <w:pPr>
        <w:ind w:left="1767" w:hanging="219"/>
      </w:pPr>
      <w:rPr>
        <w:rFonts w:hint="default"/>
      </w:rPr>
    </w:lvl>
    <w:lvl w:ilvl="3" w:tplc="248C5FFC">
      <w:start w:val="1"/>
      <w:numFmt w:val="bullet"/>
      <w:lvlText w:val="•"/>
      <w:lvlJc w:val="left"/>
      <w:pPr>
        <w:ind w:left="2671" w:hanging="219"/>
      </w:pPr>
      <w:rPr>
        <w:rFonts w:hint="default"/>
      </w:rPr>
    </w:lvl>
    <w:lvl w:ilvl="4" w:tplc="E57EA1FA">
      <w:start w:val="1"/>
      <w:numFmt w:val="bullet"/>
      <w:lvlText w:val="•"/>
      <w:lvlJc w:val="left"/>
      <w:pPr>
        <w:ind w:left="3575" w:hanging="219"/>
      </w:pPr>
      <w:rPr>
        <w:rFonts w:hint="default"/>
      </w:rPr>
    </w:lvl>
    <w:lvl w:ilvl="5" w:tplc="76BC7C7C">
      <w:start w:val="1"/>
      <w:numFmt w:val="bullet"/>
      <w:lvlText w:val="•"/>
      <w:lvlJc w:val="left"/>
      <w:pPr>
        <w:ind w:left="4479" w:hanging="219"/>
      </w:pPr>
      <w:rPr>
        <w:rFonts w:hint="default"/>
      </w:rPr>
    </w:lvl>
    <w:lvl w:ilvl="6" w:tplc="38FA2428">
      <w:start w:val="1"/>
      <w:numFmt w:val="bullet"/>
      <w:lvlText w:val="•"/>
      <w:lvlJc w:val="left"/>
      <w:pPr>
        <w:ind w:left="5383" w:hanging="219"/>
      </w:pPr>
      <w:rPr>
        <w:rFonts w:hint="default"/>
      </w:rPr>
    </w:lvl>
    <w:lvl w:ilvl="7" w:tplc="81ECCA92">
      <w:start w:val="1"/>
      <w:numFmt w:val="bullet"/>
      <w:lvlText w:val="•"/>
      <w:lvlJc w:val="left"/>
      <w:pPr>
        <w:ind w:left="6287" w:hanging="219"/>
      </w:pPr>
      <w:rPr>
        <w:rFonts w:hint="default"/>
      </w:rPr>
    </w:lvl>
    <w:lvl w:ilvl="8" w:tplc="E246478E">
      <w:start w:val="1"/>
      <w:numFmt w:val="bullet"/>
      <w:lvlText w:val="•"/>
      <w:lvlJc w:val="left"/>
      <w:pPr>
        <w:ind w:left="7191" w:hanging="219"/>
      </w:pPr>
      <w:rPr>
        <w:rFonts w:hint="default"/>
      </w:rPr>
    </w:lvl>
  </w:abstractNum>
  <w:num w:numId="1" w16cid:durableId="394474960">
    <w:abstractNumId w:val="14"/>
  </w:num>
  <w:num w:numId="2" w16cid:durableId="757366061">
    <w:abstractNumId w:val="15"/>
  </w:num>
  <w:num w:numId="3" w16cid:durableId="544024557">
    <w:abstractNumId w:val="10"/>
  </w:num>
  <w:num w:numId="4" w16cid:durableId="831681105">
    <w:abstractNumId w:val="6"/>
  </w:num>
  <w:num w:numId="5" w16cid:durableId="1234853715">
    <w:abstractNumId w:val="19"/>
  </w:num>
  <w:num w:numId="6" w16cid:durableId="1201435851">
    <w:abstractNumId w:val="3"/>
  </w:num>
  <w:num w:numId="7" w16cid:durableId="1211268208">
    <w:abstractNumId w:val="20"/>
  </w:num>
  <w:num w:numId="8" w16cid:durableId="561408953">
    <w:abstractNumId w:val="8"/>
  </w:num>
  <w:num w:numId="9" w16cid:durableId="1988703194">
    <w:abstractNumId w:val="11"/>
  </w:num>
  <w:num w:numId="10" w16cid:durableId="284385945">
    <w:abstractNumId w:val="4"/>
  </w:num>
  <w:num w:numId="11" w16cid:durableId="613056324">
    <w:abstractNumId w:val="1"/>
  </w:num>
  <w:num w:numId="12" w16cid:durableId="1545632130">
    <w:abstractNumId w:val="18"/>
  </w:num>
  <w:num w:numId="13" w16cid:durableId="2089694804">
    <w:abstractNumId w:val="5"/>
  </w:num>
  <w:num w:numId="14" w16cid:durableId="570577411">
    <w:abstractNumId w:val="7"/>
  </w:num>
  <w:num w:numId="15" w16cid:durableId="2066827734">
    <w:abstractNumId w:val="2"/>
  </w:num>
  <w:num w:numId="16" w16cid:durableId="839856700">
    <w:abstractNumId w:val="12"/>
  </w:num>
  <w:num w:numId="17" w16cid:durableId="549223316">
    <w:abstractNumId w:val="13"/>
  </w:num>
  <w:num w:numId="18" w16cid:durableId="12893161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63411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619101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9619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8FD"/>
    <w:rsid w:val="00000435"/>
    <w:rsid w:val="00002CCC"/>
    <w:rsid w:val="0000457E"/>
    <w:rsid w:val="00005D67"/>
    <w:rsid w:val="00006F28"/>
    <w:rsid w:val="000077A2"/>
    <w:rsid w:val="00007A6A"/>
    <w:rsid w:val="000141BD"/>
    <w:rsid w:val="000148B5"/>
    <w:rsid w:val="00014EED"/>
    <w:rsid w:val="000157E3"/>
    <w:rsid w:val="00015E53"/>
    <w:rsid w:val="000179F5"/>
    <w:rsid w:val="00017D94"/>
    <w:rsid w:val="0002171C"/>
    <w:rsid w:val="00024DFF"/>
    <w:rsid w:val="00027037"/>
    <w:rsid w:val="00033994"/>
    <w:rsid w:val="000360EC"/>
    <w:rsid w:val="00036C51"/>
    <w:rsid w:val="00037903"/>
    <w:rsid w:val="00043178"/>
    <w:rsid w:val="00045F40"/>
    <w:rsid w:val="000528D6"/>
    <w:rsid w:val="00053C34"/>
    <w:rsid w:val="00054D89"/>
    <w:rsid w:val="00057113"/>
    <w:rsid w:val="000600BB"/>
    <w:rsid w:val="000611F6"/>
    <w:rsid w:val="00061A65"/>
    <w:rsid w:val="00061ABE"/>
    <w:rsid w:val="00062D0B"/>
    <w:rsid w:val="000641E5"/>
    <w:rsid w:val="000659BB"/>
    <w:rsid w:val="00070DA1"/>
    <w:rsid w:val="00070F1E"/>
    <w:rsid w:val="00073E9C"/>
    <w:rsid w:val="00074D07"/>
    <w:rsid w:val="000760D0"/>
    <w:rsid w:val="0008110E"/>
    <w:rsid w:val="000817BE"/>
    <w:rsid w:val="00084743"/>
    <w:rsid w:val="00085681"/>
    <w:rsid w:val="000856BF"/>
    <w:rsid w:val="00085C83"/>
    <w:rsid w:val="000878E8"/>
    <w:rsid w:val="00091AD5"/>
    <w:rsid w:val="00092419"/>
    <w:rsid w:val="000936BB"/>
    <w:rsid w:val="000A0FE8"/>
    <w:rsid w:val="000A2257"/>
    <w:rsid w:val="000A4251"/>
    <w:rsid w:val="000B0584"/>
    <w:rsid w:val="000B31B5"/>
    <w:rsid w:val="000B3971"/>
    <w:rsid w:val="000B4932"/>
    <w:rsid w:val="000B5F7C"/>
    <w:rsid w:val="000B6244"/>
    <w:rsid w:val="000B640A"/>
    <w:rsid w:val="000B7E91"/>
    <w:rsid w:val="000C0459"/>
    <w:rsid w:val="000C0484"/>
    <w:rsid w:val="000C1662"/>
    <w:rsid w:val="000C19B6"/>
    <w:rsid w:val="000C38F7"/>
    <w:rsid w:val="000C4316"/>
    <w:rsid w:val="000D1A5A"/>
    <w:rsid w:val="000D1D41"/>
    <w:rsid w:val="000D1F33"/>
    <w:rsid w:val="000D32FD"/>
    <w:rsid w:val="000D537A"/>
    <w:rsid w:val="000E06AB"/>
    <w:rsid w:val="000E19FE"/>
    <w:rsid w:val="000E585F"/>
    <w:rsid w:val="000E5C4D"/>
    <w:rsid w:val="000E7455"/>
    <w:rsid w:val="000E763A"/>
    <w:rsid w:val="000F3DA5"/>
    <w:rsid w:val="000F68DE"/>
    <w:rsid w:val="000F7252"/>
    <w:rsid w:val="00104516"/>
    <w:rsid w:val="00111E78"/>
    <w:rsid w:val="001129F4"/>
    <w:rsid w:val="00114566"/>
    <w:rsid w:val="001206FE"/>
    <w:rsid w:val="00120BDE"/>
    <w:rsid w:val="00120D8E"/>
    <w:rsid w:val="00123542"/>
    <w:rsid w:val="00123CD5"/>
    <w:rsid w:val="001261B3"/>
    <w:rsid w:val="001264C5"/>
    <w:rsid w:val="0012738F"/>
    <w:rsid w:val="00127520"/>
    <w:rsid w:val="001302C0"/>
    <w:rsid w:val="00134DD0"/>
    <w:rsid w:val="00135A08"/>
    <w:rsid w:val="00135E25"/>
    <w:rsid w:val="00136761"/>
    <w:rsid w:val="00136FBD"/>
    <w:rsid w:val="00140943"/>
    <w:rsid w:val="00140E95"/>
    <w:rsid w:val="00140F39"/>
    <w:rsid w:val="00141157"/>
    <w:rsid w:val="0014272B"/>
    <w:rsid w:val="001430D1"/>
    <w:rsid w:val="0014453E"/>
    <w:rsid w:val="00144B73"/>
    <w:rsid w:val="00144CBE"/>
    <w:rsid w:val="00147233"/>
    <w:rsid w:val="001512AA"/>
    <w:rsid w:val="00152528"/>
    <w:rsid w:val="00152CC2"/>
    <w:rsid w:val="00153DCD"/>
    <w:rsid w:val="001546D5"/>
    <w:rsid w:val="001623F3"/>
    <w:rsid w:val="00162BEE"/>
    <w:rsid w:val="00164F58"/>
    <w:rsid w:val="00165493"/>
    <w:rsid w:val="001717F8"/>
    <w:rsid w:val="00172334"/>
    <w:rsid w:val="00172FE9"/>
    <w:rsid w:val="001736D9"/>
    <w:rsid w:val="00175C2D"/>
    <w:rsid w:val="00182B3A"/>
    <w:rsid w:val="0018368E"/>
    <w:rsid w:val="001854E2"/>
    <w:rsid w:val="001913E1"/>
    <w:rsid w:val="00192260"/>
    <w:rsid w:val="00193C91"/>
    <w:rsid w:val="0019453B"/>
    <w:rsid w:val="001965F2"/>
    <w:rsid w:val="00197DD4"/>
    <w:rsid w:val="001A070E"/>
    <w:rsid w:val="001A579E"/>
    <w:rsid w:val="001A760A"/>
    <w:rsid w:val="001B5608"/>
    <w:rsid w:val="001B7410"/>
    <w:rsid w:val="001C1272"/>
    <w:rsid w:val="001C2153"/>
    <w:rsid w:val="001C3861"/>
    <w:rsid w:val="001C5CB6"/>
    <w:rsid w:val="001D00A9"/>
    <w:rsid w:val="001D0AAC"/>
    <w:rsid w:val="001D3BEC"/>
    <w:rsid w:val="001E0CC1"/>
    <w:rsid w:val="001E27A0"/>
    <w:rsid w:val="001E3C72"/>
    <w:rsid w:val="001E5320"/>
    <w:rsid w:val="001E7523"/>
    <w:rsid w:val="001E7960"/>
    <w:rsid w:val="001F1305"/>
    <w:rsid w:val="001F17D2"/>
    <w:rsid w:val="001F3A01"/>
    <w:rsid w:val="001F4ACD"/>
    <w:rsid w:val="001F4E5E"/>
    <w:rsid w:val="001F52C3"/>
    <w:rsid w:val="001F6F89"/>
    <w:rsid w:val="00201B3B"/>
    <w:rsid w:val="00202AB1"/>
    <w:rsid w:val="002038BB"/>
    <w:rsid w:val="00204545"/>
    <w:rsid w:val="00204FA7"/>
    <w:rsid w:val="00210D1C"/>
    <w:rsid w:val="002111CA"/>
    <w:rsid w:val="00211AB7"/>
    <w:rsid w:val="0021791F"/>
    <w:rsid w:val="00220EE3"/>
    <w:rsid w:val="0022516B"/>
    <w:rsid w:val="00225361"/>
    <w:rsid w:val="0022561E"/>
    <w:rsid w:val="00226B75"/>
    <w:rsid w:val="00231F21"/>
    <w:rsid w:val="00233219"/>
    <w:rsid w:val="0023403B"/>
    <w:rsid w:val="0023578E"/>
    <w:rsid w:val="002362B7"/>
    <w:rsid w:val="00236CC4"/>
    <w:rsid w:val="002417AF"/>
    <w:rsid w:val="00241858"/>
    <w:rsid w:val="00241D87"/>
    <w:rsid w:val="00250F27"/>
    <w:rsid w:val="00253276"/>
    <w:rsid w:val="00253320"/>
    <w:rsid w:val="00254238"/>
    <w:rsid w:val="0025503E"/>
    <w:rsid w:val="00257186"/>
    <w:rsid w:val="002571A5"/>
    <w:rsid w:val="00257C96"/>
    <w:rsid w:val="00260060"/>
    <w:rsid w:val="00261002"/>
    <w:rsid w:val="0026237A"/>
    <w:rsid w:val="002625D1"/>
    <w:rsid w:val="00266618"/>
    <w:rsid w:val="00272855"/>
    <w:rsid w:val="00273828"/>
    <w:rsid w:val="002739F0"/>
    <w:rsid w:val="002766A4"/>
    <w:rsid w:val="00276775"/>
    <w:rsid w:val="002772E4"/>
    <w:rsid w:val="002813AD"/>
    <w:rsid w:val="00281692"/>
    <w:rsid w:val="00281881"/>
    <w:rsid w:val="00284412"/>
    <w:rsid w:val="00291CFA"/>
    <w:rsid w:val="002925A3"/>
    <w:rsid w:val="00292A39"/>
    <w:rsid w:val="002932D2"/>
    <w:rsid w:val="00294269"/>
    <w:rsid w:val="002947D4"/>
    <w:rsid w:val="002A079C"/>
    <w:rsid w:val="002A1CDF"/>
    <w:rsid w:val="002A2AA8"/>
    <w:rsid w:val="002A312B"/>
    <w:rsid w:val="002A40D2"/>
    <w:rsid w:val="002A5D0D"/>
    <w:rsid w:val="002B003A"/>
    <w:rsid w:val="002B01CE"/>
    <w:rsid w:val="002B1F65"/>
    <w:rsid w:val="002B26DF"/>
    <w:rsid w:val="002B2B76"/>
    <w:rsid w:val="002B3E99"/>
    <w:rsid w:val="002B413F"/>
    <w:rsid w:val="002C1382"/>
    <w:rsid w:val="002C1D0E"/>
    <w:rsid w:val="002C23E2"/>
    <w:rsid w:val="002C24D6"/>
    <w:rsid w:val="002C313D"/>
    <w:rsid w:val="002C4DA1"/>
    <w:rsid w:val="002C6686"/>
    <w:rsid w:val="002D094B"/>
    <w:rsid w:val="002D1019"/>
    <w:rsid w:val="002D4BFD"/>
    <w:rsid w:val="002D5488"/>
    <w:rsid w:val="002D5ED1"/>
    <w:rsid w:val="002D6D38"/>
    <w:rsid w:val="002E0D97"/>
    <w:rsid w:val="002E2389"/>
    <w:rsid w:val="002F1087"/>
    <w:rsid w:val="002F1B72"/>
    <w:rsid w:val="002F45BF"/>
    <w:rsid w:val="002F47E9"/>
    <w:rsid w:val="002F4B1B"/>
    <w:rsid w:val="002F6884"/>
    <w:rsid w:val="002F7785"/>
    <w:rsid w:val="00301D47"/>
    <w:rsid w:val="0030639D"/>
    <w:rsid w:val="0031061F"/>
    <w:rsid w:val="00314CEF"/>
    <w:rsid w:val="003222D8"/>
    <w:rsid w:val="00323286"/>
    <w:rsid w:val="0032655B"/>
    <w:rsid w:val="00332907"/>
    <w:rsid w:val="00332BC8"/>
    <w:rsid w:val="00332F20"/>
    <w:rsid w:val="00333898"/>
    <w:rsid w:val="00334E21"/>
    <w:rsid w:val="003369E2"/>
    <w:rsid w:val="00336F57"/>
    <w:rsid w:val="00341841"/>
    <w:rsid w:val="0034349C"/>
    <w:rsid w:val="00343AB8"/>
    <w:rsid w:val="00344551"/>
    <w:rsid w:val="00344F0F"/>
    <w:rsid w:val="003515FF"/>
    <w:rsid w:val="0035188B"/>
    <w:rsid w:val="0035335D"/>
    <w:rsid w:val="003542D4"/>
    <w:rsid w:val="00354E4A"/>
    <w:rsid w:val="0035598D"/>
    <w:rsid w:val="0035754B"/>
    <w:rsid w:val="00357C4C"/>
    <w:rsid w:val="00360A08"/>
    <w:rsid w:val="0036263B"/>
    <w:rsid w:val="00362760"/>
    <w:rsid w:val="00364C53"/>
    <w:rsid w:val="0036532B"/>
    <w:rsid w:val="003654EF"/>
    <w:rsid w:val="003659AD"/>
    <w:rsid w:val="00367910"/>
    <w:rsid w:val="003718D3"/>
    <w:rsid w:val="00372A3F"/>
    <w:rsid w:val="00373B39"/>
    <w:rsid w:val="0037624F"/>
    <w:rsid w:val="0038003A"/>
    <w:rsid w:val="003816B6"/>
    <w:rsid w:val="003843D9"/>
    <w:rsid w:val="003843DD"/>
    <w:rsid w:val="003902AC"/>
    <w:rsid w:val="00390A05"/>
    <w:rsid w:val="003927C2"/>
    <w:rsid w:val="00392ADB"/>
    <w:rsid w:val="00393225"/>
    <w:rsid w:val="003945BD"/>
    <w:rsid w:val="003951BA"/>
    <w:rsid w:val="00395576"/>
    <w:rsid w:val="0039732D"/>
    <w:rsid w:val="003974C7"/>
    <w:rsid w:val="00397927"/>
    <w:rsid w:val="00397953"/>
    <w:rsid w:val="003A110A"/>
    <w:rsid w:val="003A169D"/>
    <w:rsid w:val="003A29D9"/>
    <w:rsid w:val="003A2C1A"/>
    <w:rsid w:val="003A4C9B"/>
    <w:rsid w:val="003A64FF"/>
    <w:rsid w:val="003A6609"/>
    <w:rsid w:val="003A6BD6"/>
    <w:rsid w:val="003A7BF0"/>
    <w:rsid w:val="003B41D1"/>
    <w:rsid w:val="003B7864"/>
    <w:rsid w:val="003C1749"/>
    <w:rsid w:val="003C1DD9"/>
    <w:rsid w:val="003C397E"/>
    <w:rsid w:val="003C5975"/>
    <w:rsid w:val="003C5BA2"/>
    <w:rsid w:val="003D0EA2"/>
    <w:rsid w:val="003D4969"/>
    <w:rsid w:val="003D5222"/>
    <w:rsid w:val="003E10C3"/>
    <w:rsid w:val="003E13E8"/>
    <w:rsid w:val="003E28E3"/>
    <w:rsid w:val="003E2F1E"/>
    <w:rsid w:val="003E3378"/>
    <w:rsid w:val="003E3785"/>
    <w:rsid w:val="003E3EAD"/>
    <w:rsid w:val="003E4A15"/>
    <w:rsid w:val="003E57CC"/>
    <w:rsid w:val="003E6B32"/>
    <w:rsid w:val="003F0A52"/>
    <w:rsid w:val="003F2174"/>
    <w:rsid w:val="003F518D"/>
    <w:rsid w:val="003F5DBB"/>
    <w:rsid w:val="00400378"/>
    <w:rsid w:val="00404449"/>
    <w:rsid w:val="00407B0D"/>
    <w:rsid w:val="0041011B"/>
    <w:rsid w:val="004123C4"/>
    <w:rsid w:val="00415173"/>
    <w:rsid w:val="004201B8"/>
    <w:rsid w:val="00421732"/>
    <w:rsid w:val="00422041"/>
    <w:rsid w:val="004261AB"/>
    <w:rsid w:val="0043174F"/>
    <w:rsid w:val="00431C42"/>
    <w:rsid w:val="00433607"/>
    <w:rsid w:val="004365F3"/>
    <w:rsid w:val="00436A4A"/>
    <w:rsid w:val="00437895"/>
    <w:rsid w:val="00443CE1"/>
    <w:rsid w:val="00450445"/>
    <w:rsid w:val="00451204"/>
    <w:rsid w:val="0045462E"/>
    <w:rsid w:val="00455412"/>
    <w:rsid w:val="00456BFE"/>
    <w:rsid w:val="00461A92"/>
    <w:rsid w:val="00462668"/>
    <w:rsid w:val="00465AAF"/>
    <w:rsid w:val="00466179"/>
    <w:rsid w:val="00467BD3"/>
    <w:rsid w:val="004732AA"/>
    <w:rsid w:val="004744D0"/>
    <w:rsid w:val="00476D4B"/>
    <w:rsid w:val="004772C8"/>
    <w:rsid w:val="00477650"/>
    <w:rsid w:val="0047798E"/>
    <w:rsid w:val="0048161B"/>
    <w:rsid w:val="00482AD4"/>
    <w:rsid w:val="00482F44"/>
    <w:rsid w:val="0048391E"/>
    <w:rsid w:val="00485C60"/>
    <w:rsid w:val="00486769"/>
    <w:rsid w:val="00490719"/>
    <w:rsid w:val="00490D4F"/>
    <w:rsid w:val="00491257"/>
    <w:rsid w:val="00494AF7"/>
    <w:rsid w:val="00495B13"/>
    <w:rsid w:val="0049606A"/>
    <w:rsid w:val="00496687"/>
    <w:rsid w:val="004970E5"/>
    <w:rsid w:val="00497885"/>
    <w:rsid w:val="004A0B02"/>
    <w:rsid w:val="004A2F29"/>
    <w:rsid w:val="004A31A6"/>
    <w:rsid w:val="004A36C1"/>
    <w:rsid w:val="004A46DE"/>
    <w:rsid w:val="004A4FC7"/>
    <w:rsid w:val="004A620B"/>
    <w:rsid w:val="004B08B0"/>
    <w:rsid w:val="004B0D7B"/>
    <w:rsid w:val="004B35E8"/>
    <w:rsid w:val="004B3F1B"/>
    <w:rsid w:val="004B4178"/>
    <w:rsid w:val="004B4434"/>
    <w:rsid w:val="004C0D4B"/>
    <w:rsid w:val="004C37BD"/>
    <w:rsid w:val="004C416B"/>
    <w:rsid w:val="004C45CE"/>
    <w:rsid w:val="004C64B4"/>
    <w:rsid w:val="004D1D6B"/>
    <w:rsid w:val="004D2611"/>
    <w:rsid w:val="004D56BB"/>
    <w:rsid w:val="004D5E67"/>
    <w:rsid w:val="004E19F5"/>
    <w:rsid w:val="004E1FC2"/>
    <w:rsid w:val="004E52C1"/>
    <w:rsid w:val="004E52E7"/>
    <w:rsid w:val="004E78A4"/>
    <w:rsid w:val="004F022F"/>
    <w:rsid w:val="004F1321"/>
    <w:rsid w:val="004F1DF7"/>
    <w:rsid w:val="004F635B"/>
    <w:rsid w:val="004F6872"/>
    <w:rsid w:val="004F7E9E"/>
    <w:rsid w:val="00502F3F"/>
    <w:rsid w:val="005031FD"/>
    <w:rsid w:val="0050467D"/>
    <w:rsid w:val="00504B52"/>
    <w:rsid w:val="00512C25"/>
    <w:rsid w:val="00515149"/>
    <w:rsid w:val="005163F4"/>
    <w:rsid w:val="00516CF5"/>
    <w:rsid w:val="00517F77"/>
    <w:rsid w:val="005210D0"/>
    <w:rsid w:val="00521346"/>
    <w:rsid w:val="005218FD"/>
    <w:rsid w:val="00521E22"/>
    <w:rsid w:val="005221D5"/>
    <w:rsid w:val="00522742"/>
    <w:rsid w:val="00523797"/>
    <w:rsid w:val="00523F40"/>
    <w:rsid w:val="00526E6E"/>
    <w:rsid w:val="00527662"/>
    <w:rsid w:val="005324DA"/>
    <w:rsid w:val="005325D4"/>
    <w:rsid w:val="005335E6"/>
    <w:rsid w:val="00536584"/>
    <w:rsid w:val="00537F9F"/>
    <w:rsid w:val="00540268"/>
    <w:rsid w:val="00543131"/>
    <w:rsid w:val="0054375E"/>
    <w:rsid w:val="00543BC0"/>
    <w:rsid w:val="00545FB9"/>
    <w:rsid w:val="0054647D"/>
    <w:rsid w:val="005552C7"/>
    <w:rsid w:val="0055550F"/>
    <w:rsid w:val="00555A5B"/>
    <w:rsid w:val="00556210"/>
    <w:rsid w:val="00556C6F"/>
    <w:rsid w:val="005570E0"/>
    <w:rsid w:val="00562F70"/>
    <w:rsid w:val="0056361E"/>
    <w:rsid w:val="005647A5"/>
    <w:rsid w:val="0056564A"/>
    <w:rsid w:val="00566257"/>
    <w:rsid w:val="005703F0"/>
    <w:rsid w:val="00570528"/>
    <w:rsid w:val="00572040"/>
    <w:rsid w:val="00575540"/>
    <w:rsid w:val="00576062"/>
    <w:rsid w:val="00577F6A"/>
    <w:rsid w:val="00580EF4"/>
    <w:rsid w:val="00581A9C"/>
    <w:rsid w:val="00582A94"/>
    <w:rsid w:val="00583BCA"/>
    <w:rsid w:val="005857CB"/>
    <w:rsid w:val="00585DE9"/>
    <w:rsid w:val="00592B8B"/>
    <w:rsid w:val="00593A4F"/>
    <w:rsid w:val="0059479E"/>
    <w:rsid w:val="005956F5"/>
    <w:rsid w:val="00595EE4"/>
    <w:rsid w:val="005A092F"/>
    <w:rsid w:val="005A237E"/>
    <w:rsid w:val="005A2524"/>
    <w:rsid w:val="005A4306"/>
    <w:rsid w:val="005A70E3"/>
    <w:rsid w:val="005A7E52"/>
    <w:rsid w:val="005B3F74"/>
    <w:rsid w:val="005B4EE6"/>
    <w:rsid w:val="005B541C"/>
    <w:rsid w:val="005B54D8"/>
    <w:rsid w:val="005B5D7D"/>
    <w:rsid w:val="005B6095"/>
    <w:rsid w:val="005B6189"/>
    <w:rsid w:val="005B6AA3"/>
    <w:rsid w:val="005C4F7D"/>
    <w:rsid w:val="005C6DE1"/>
    <w:rsid w:val="005C7AEF"/>
    <w:rsid w:val="005D119C"/>
    <w:rsid w:val="005D2BD2"/>
    <w:rsid w:val="005D5DE9"/>
    <w:rsid w:val="005D7C1A"/>
    <w:rsid w:val="005E3960"/>
    <w:rsid w:val="005E50A6"/>
    <w:rsid w:val="005E58B3"/>
    <w:rsid w:val="005E5C0A"/>
    <w:rsid w:val="005F27B8"/>
    <w:rsid w:val="005F5625"/>
    <w:rsid w:val="005F58D1"/>
    <w:rsid w:val="005F672C"/>
    <w:rsid w:val="005F740D"/>
    <w:rsid w:val="005F76B6"/>
    <w:rsid w:val="00600786"/>
    <w:rsid w:val="006021F2"/>
    <w:rsid w:val="00602637"/>
    <w:rsid w:val="006039A7"/>
    <w:rsid w:val="00605A6A"/>
    <w:rsid w:val="00606811"/>
    <w:rsid w:val="00607240"/>
    <w:rsid w:val="00607CD3"/>
    <w:rsid w:val="00610004"/>
    <w:rsid w:val="00610468"/>
    <w:rsid w:val="00611F08"/>
    <w:rsid w:val="006122FD"/>
    <w:rsid w:val="00612BFC"/>
    <w:rsid w:val="00617AF1"/>
    <w:rsid w:val="0062242A"/>
    <w:rsid w:val="006229E4"/>
    <w:rsid w:val="006235D1"/>
    <w:rsid w:val="00632747"/>
    <w:rsid w:val="00633791"/>
    <w:rsid w:val="00636D04"/>
    <w:rsid w:val="00640403"/>
    <w:rsid w:val="00641A6C"/>
    <w:rsid w:val="00642A56"/>
    <w:rsid w:val="00644095"/>
    <w:rsid w:val="00644115"/>
    <w:rsid w:val="00644865"/>
    <w:rsid w:val="00646000"/>
    <w:rsid w:val="006516C9"/>
    <w:rsid w:val="00652488"/>
    <w:rsid w:val="006524BA"/>
    <w:rsid w:val="0065499F"/>
    <w:rsid w:val="00654F44"/>
    <w:rsid w:val="006563EE"/>
    <w:rsid w:val="00657932"/>
    <w:rsid w:val="006603FA"/>
    <w:rsid w:val="00660B6D"/>
    <w:rsid w:val="00664C68"/>
    <w:rsid w:val="00665E56"/>
    <w:rsid w:val="00667042"/>
    <w:rsid w:val="00670E16"/>
    <w:rsid w:val="00671929"/>
    <w:rsid w:val="00671D3F"/>
    <w:rsid w:val="00672233"/>
    <w:rsid w:val="00675076"/>
    <w:rsid w:val="00676BA4"/>
    <w:rsid w:val="0068007C"/>
    <w:rsid w:val="00680311"/>
    <w:rsid w:val="00682010"/>
    <w:rsid w:val="006835A2"/>
    <w:rsid w:val="00684E11"/>
    <w:rsid w:val="006856AC"/>
    <w:rsid w:val="0068776A"/>
    <w:rsid w:val="006879B3"/>
    <w:rsid w:val="006910BA"/>
    <w:rsid w:val="006911B4"/>
    <w:rsid w:val="00694E04"/>
    <w:rsid w:val="00694F86"/>
    <w:rsid w:val="006951FB"/>
    <w:rsid w:val="006971EC"/>
    <w:rsid w:val="00697336"/>
    <w:rsid w:val="006A51A2"/>
    <w:rsid w:val="006B001B"/>
    <w:rsid w:val="006B7886"/>
    <w:rsid w:val="006C005B"/>
    <w:rsid w:val="006C2190"/>
    <w:rsid w:val="006C23A0"/>
    <w:rsid w:val="006C3D0C"/>
    <w:rsid w:val="006C4C21"/>
    <w:rsid w:val="006C522A"/>
    <w:rsid w:val="006C52A3"/>
    <w:rsid w:val="006C5C11"/>
    <w:rsid w:val="006C7FFC"/>
    <w:rsid w:val="006D1E9D"/>
    <w:rsid w:val="006D3289"/>
    <w:rsid w:val="006D37E7"/>
    <w:rsid w:val="006D4542"/>
    <w:rsid w:val="006D4EE7"/>
    <w:rsid w:val="006D60DB"/>
    <w:rsid w:val="006D6EC7"/>
    <w:rsid w:val="006E16B6"/>
    <w:rsid w:val="006E3168"/>
    <w:rsid w:val="006E4051"/>
    <w:rsid w:val="006E4133"/>
    <w:rsid w:val="006F054B"/>
    <w:rsid w:val="006F3AB4"/>
    <w:rsid w:val="006F449F"/>
    <w:rsid w:val="006F5110"/>
    <w:rsid w:val="006F5ADF"/>
    <w:rsid w:val="006F61ED"/>
    <w:rsid w:val="00700C63"/>
    <w:rsid w:val="00701A76"/>
    <w:rsid w:val="00706785"/>
    <w:rsid w:val="007103AE"/>
    <w:rsid w:val="00711C27"/>
    <w:rsid w:val="007132EE"/>
    <w:rsid w:val="00714C24"/>
    <w:rsid w:val="0071538F"/>
    <w:rsid w:val="00716469"/>
    <w:rsid w:val="00720118"/>
    <w:rsid w:val="00720851"/>
    <w:rsid w:val="00721902"/>
    <w:rsid w:val="007222D6"/>
    <w:rsid w:val="00726C32"/>
    <w:rsid w:val="00726FAD"/>
    <w:rsid w:val="00733A85"/>
    <w:rsid w:val="00734702"/>
    <w:rsid w:val="00734D1A"/>
    <w:rsid w:val="00735FED"/>
    <w:rsid w:val="00736054"/>
    <w:rsid w:val="00742993"/>
    <w:rsid w:val="00746B41"/>
    <w:rsid w:val="007514E2"/>
    <w:rsid w:val="00752A80"/>
    <w:rsid w:val="00753419"/>
    <w:rsid w:val="00754C3D"/>
    <w:rsid w:val="00755FFD"/>
    <w:rsid w:val="007625FB"/>
    <w:rsid w:val="0076320F"/>
    <w:rsid w:val="00763D2E"/>
    <w:rsid w:val="0076403F"/>
    <w:rsid w:val="007653C4"/>
    <w:rsid w:val="007668DC"/>
    <w:rsid w:val="00766BDE"/>
    <w:rsid w:val="00767334"/>
    <w:rsid w:val="00771C29"/>
    <w:rsid w:val="00771F25"/>
    <w:rsid w:val="00776DEC"/>
    <w:rsid w:val="007774D1"/>
    <w:rsid w:val="00782971"/>
    <w:rsid w:val="00782DDC"/>
    <w:rsid w:val="007846EA"/>
    <w:rsid w:val="007904B4"/>
    <w:rsid w:val="00792919"/>
    <w:rsid w:val="00794175"/>
    <w:rsid w:val="00795FBC"/>
    <w:rsid w:val="00796A7D"/>
    <w:rsid w:val="007A2A03"/>
    <w:rsid w:val="007A41C8"/>
    <w:rsid w:val="007A459F"/>
    <w:rsid w:val="007A796A"/>
    <w:rsid w:val="007B27F2"/>
    <w:rsid w:val="007B4199"/>
    <w:rsid w:val="007B44C9"/>
    <w:rsid w:val="007B4ABC"/>
    <w:rsid w:val="007B4F35"/>
    <w:rsid w:val="007B5A17"/>
    <w:rsid w:val="007B7A79"/>
    <w:rsid w:val="007C033B"/>
    <w:rsid w:val="007C08EA"/>
    <w:rsid w:val="007C1A71"/>
    <w:rsid w:val="007C1F0F"/>
    <w:rsid w:val="007C26E2"/>
    <w:rsid w:val="007C2D4A"/>
    <w:rsid w:val="007C2D8A"/>
    <w:rsid w:val="007C3211"/>
    <w:rsid w:val="007C3C69"/>
    <w:rsid w:val="007C3CBB"/>
    <w:rsid w:val="007C4465"/>
    <w:rsid w:val="007C4B0D"/>
    <w:rsid w:val="007C58CE"/>
    <w:rsid w:val="007C678F"/>
    <w:rsid w:val="007C7359"/>
    <w:rsid w:val="007C7D80"/>
    <w:rsid w:val="007D0ACB"/>
    <w:rsid w:val="007D2133"/>
    <w:rsid w:val="007D393E"/>
    <w:rsid w:val="007D62AC"/>
    <w:rsid w:val="007D6480"/>
    <w:rsid w:val="007D68AF"/>
    <w:rsid w:val="007D6AA5"/>
    <w:rsid w:val="007D6C5A"/>
    <w:rsid w:val="007E0306"/>
    <w:rsid w:val="007E0E6E"/>
    <w:rsid w:val="007E263D"/>
    <w:rsid w:val="007E42C6"/>
    <w:rsid w:val="007E5A80"/>
    <w:rsid w:val="007E5C6B"/>
    <w:rsid w:val="007F17CC"/>
    <w:rsid w:val="007F284A"/>
    <w:rsid w:val="007F4938"/>
    <w:rsid w:val="007F6822"/>
    <w:rsid w:val="007F696F"/>
    <w:rsid w:val="00803277"/>
    <w:rsid w:val="008063E6"/>
    <w:rsid w:val="00807D40"/>
    <w:rsid w:val="00810E32"/>
    <w:rsid w:val="00810ED0"/>
    <w:rsid w:val="00811080"/>
    <w:rsid w:val="00811D5E"/>
    <w:rsid w:val="00814D69"/>
    <w:rsid w:val="008151F0"/>
    <w:rsid w:val="00817262"/>
    <w:rsid w:val="00820DE4"/>
    <w:rsid w:val="0082127C"/>
    <w:rsid w:val="00821B08"/>
    <w:rsid w:val="00821E0C"/>
    <w:rsid w:val="0082249A"/>
    <w:rsid w:val="00824FF5"/>
    <w:rsid w:val="0082504D"/>
    <w:rsid w:val="00827B3E"/>
    <w:rsid w:val="008304A5"/>
    <w:rsid w:val="00831723"/>
    <w:rsid w:val="00832833"/>
    <w:rsid w:val="00832DE7"/>
    <w:rsid w:val="00834A35"/>
    <w:rsid w:val="00835DAC"/>
    <w:rsid w:val="008373CA"/>
    <w:rsid w:val="0084032D"/>
    <w:rsid w:val="00842FFB"/>
    <w:rsid w:val="00843413"/>
    <w:rsid w:val="00843664"/>
    <w:rsid w:val="0084465D"/>
    <w:rsid w:val="0084496A"/>
    <w:rsid w:val="00845354"/>
    <w:rsid w:val="0084574A"/>
    <w:rsid w:val="00845EA3"/>
    <w:rsid w:val="00846428"/>
    <w:rsid w:val="0084650D"/>
    <w:rsid w:val="00851F27"/>
    <w:rsid w:val="0085270A"/>
    <w:rsid w:val="00855281"/>
    <w:rsid w:val="00862BD9"/>
    <w:rsid w:val="00864B27"/>
    <w:rsid w:val="00865E28"/>
    <w:rsid w:val="00865EA3"/>
    <w:rsid w:val="0087028E"/>
    <w:rsid w:val="0087374C"/>
    <w:rsid w:val="00875445"/>
    <w:rsid w:val="00876515"/>
    <w:rsid w:val="00877D63"/>
    <w:rsid w:val="00877D75"/>
    <w:rsid w:val="00877DC7"/>
    <w:rsid w:val="00880597"/>
    <w:rsid w:val="00880EC4"/>
    <w:rsid w:val="00883158"/>
    <w:rsid w:val="00884F44"/>
    <w:rsid w:val="0088579D"/>
    <w:rsid w:val="00887DC0"/>
    <w:rsid w:val="0089054F"/>
    <w:rsid w:val="008917A1"/>
    <w:rsid w:val="00892037"/>
    <w:rsid w:val="00894E3F"/>
    <w:rsid w:val="00895839"/>
    <w:rsid w:val="00896B21"/>
    <w:rsid w:val="008A0574"/>
    <w:rsid w:val="008A211A"/>
    <w:rsid w:val="008A2989"/>
    <w:rsid w:val="008A5FDC"/>
    <w:rsid w:val="008A6AC5"/>
    <w:rsid w:val="008A714A"/>
    <w:rsid w:val="008B0501"/>
    <w:rsid w:val="008B3EE6"/>
    <w:rsid w:val="008B4E34"/>
    <w:rsid w:val="008B65F3"/>
    <w:rsid w:val="008C0692"/>
    <w:rsid w:val="008C1EBF"/>
    <w:rsid w:val="008C35A5"/>
    <w:rsid w:val="008C36EC"/>
    <w:rsid w:val="008C74DC"/>
    <w:rsid w:val="008C7BA9"/>
    <w:rsid w:val="008D0B34"/>
    <w:rsid w:val="008D0D6E"/>
    <w:rsid w:val="008D2462"/>
    <w:rsid w:val="008D2E32"/>
    <w:rsid w:val="008D3964"/>
    <w:rsid w:val="008D57A0"/>
    <w:rsid w:val="008D6252"/>
    <w:rsid w:val="008D6393"/>
    <w:rsid w:val="008D709A"/>
    <w:rsid w:val="008E47C0"/>
    <w:rsid w:val="008F18F6"/>
    <w:rsid w:val="008F25FE"/>
    <w:rsid w:val="008F2BBA"/>
    <w:rsid w:val="008F3B2C"/>
    <w:rsid w:val="00902417"/>
    <w:rsid w:val="00902524"/>
    <w:rsid w:val="00904E07"/>
    <w:rsid w:val="00911307"/>
    <w:rsid w:val="009119DF"/>
    <w:rsid w:val="00911E29"/>
    <w:rsid w:val="009126C5"/>
    <w:rsid w:val="00913779"/>
    <w:rsid w:val="00917CF4"/>
    <w:rsid w:val="00920969"/>
    <w:rsid w:val="009209C2"/>
    <w:rsid w:val="00923CC4"/>
    <w:rsid w:val="00924A3E"/>
    <w:rsid w:val="00924D7C"/>
    <w:rsid w:val="0092619E"/>
    <w:rsid w:val="009312AD"/>
    <w:rsid w:val="00936B74"/>
    <w:rsid w:val="009476DD"/>
    <w:rsid w:val="00947E59"/>
    <w:rsid w:val="00950EBA"/>
    <w:rsid w:val="009514FF"/>
    <w:rsid w:val="0095258C"/>
    <w:rsid w:val="00952AAC"/>
    <w:rsid w:val="0095354C"/>
    <w:rsid w:val="00954AF1"/>
    <w:rsid w:val="00955A65"/>
    <w:rsid w:val="00962B7F"/>
    <w:rsid w:val="009633E6"/>
    <w:rsid w:val="00967723"/>
    <w:rsid w:val="00971333"/>
    <w:rsid w:val="00973AD7"/>
    <w:rsid w:val="00977D14"/>
    <w:rsid w:val="00982916"/>
    <w:rsid w:val="00985496"/>
    <w:rsid w:val="00986F01"/>
    <w:rsid w:val="0099551D"/>
    <w:rsid w:val="009971B9"/>
    <w:rsid w:val="00997456"/>
    <w:rsid w:val="00997630"/>
    <w:rsid w:val="009A223B"/>
    <w:rsid w:val="009A3308"/>
    <w:rsid w:val="009A5A06"/>
    <w:rsid w:val="009A6CEF"/>
    <w:rsid w:val="009B0905"/>
    <w:rsid w:val="009B7064"/>
    <w:rsid w:val="009B7ECF"/>
    <w:rsid w:val="009C0601"/>
    <w:rsid w:val="009C395F"/>
    <w:rsid w:val="009D0F5C"/>
    <w:rsid w:val="009D30EE"/>
    <w:rsid w:val="009D3849"/>
    <w:rsid w:val="009D4B15"/>
    <w:rsid w:val="009E10F4"/>
    <w:rsid w:val="009E7CB7"/>
    <w:rsid w:val="009F0CAC"/>
    <w:rsid w:val="009F495F"/>
    <w:rsid w:val="009F7C2D"/>
    <w:rsid w:val="00A01C2C"/>
    <w:rsid w:val="00A01E82"/>
    <w:rsid w:val="00A02796"/>
    <w:rsid w:val="00A064A8"/>
    <w:rsid w:val="00A07023"/>
    <w:rsid w:val="00A11835"/>
    <w:rsid w:val="00A1303B"/>
    <w:rsid w:val="00A176B8"/>
    <w:rsid w:val="00A2012A"/>
    <w:rsid w:val="00A20311"/>
    <w:rsid w:val="00A22889"/>
    <w:rsid w:val="00A22AD0"/>
    <w:rsid w:val="00A279B2"/>
    <w:rsid w:val="00A27BC4"/>
    <w:rsid w:val="00A27F10"/>
    <w:rsid w:val="00A3179F"/>
    <w:rsid w:val="00A323FF"/>
    <w:rsid w:val="00A324F8"/>
    <w:rsid w:val="00A32E7C"/>
    <w:rsid w:val="00A3320B"/>
    <w:rsid w:val="00A34D68"/>
    <w:rsid w:val="00A3611F"/>
    <w:rsid w:val="00A3646B"/>
    <w:rsid w:val="00A40D17"/>
    <w:rsid w:val="00A4355C"/>
    <w:rsid w:val="00A45245"/>
    <w:rsid w:val="00A466F0"/>
    <w:rsid w:val="00A50F35"/>
    <w:rsid w:val="00A548AE"/>
    <w:rsid w:val="00A6172C"/>
    <w:rsid w:val="00A62604"/>
    <w:rsid w:val="00A64641"/>
    <w:rsid w:val="00A65163"/>
    <w:rsid w:val="00A66781"/>
    <w:rsid w:val="00A72BBC"/>
    <w:rsid w:val="00A737E8"/>
    <w:rsid w:val="00A73FE8"/>
    <w:rsid w:val="00A742D1"/>
    <w:rsid w:val="00A76DDD"/>
    <w:rsid w:val="00A77021"/>
    <w:rsid w:val="00A77613"/>
    <w:rsid w:val="00A81AEB"/>
    <w:rsid w:val="00A81ECC"/>
    <w:rsid w:val="00A81FF6"/>
    <w:rsid w:val="00A83394"/>
    <w:rsid w:val="00A8553B"/>
    <w:rsid w:val="00A86865"/>
    <w:rsid w:val="00A91769"/>
    <w:rsid w:val="00A91D6E"/>
    <w:rsid w:val="00A92C9C"/>
    <w:rsid w:val="00A943AF"/>
    <w:rsid w:val="00A94D4D"/>
    <w:rsid w:val="00A95386"/>
    <w:rsid w:val="00A97319"/>
    <w:rsid w:val="00AA5F8F"/>
    <w:rsid w:val="00AA601D"/>
    <w:rsid w:val="00AB2B45"/>
    <w:rsid w:val="00AB3871"/>
    <w:rsid w:val="00AB3E81"/>
    <w:rsid w:val="00AC280C"/>
    <w:rsid w:val="00AC32DE"/>
    <w:rsid w:val="00AC5203"/>
    <w:rsid w:val="00AD0BDD"/>
    <w:rsid w:val="00AD1A61"/>
    <w:rsid w:val="00AD336C"/>
    <w:rsid w:val="00AD5F8B"/>
    <w:rsid w:val="00AE2410"/>
    <w:rsid w:val="00AE4E8F"/>
    <w:rsid w:val="00AE6981"/>
    <w:rsid w:val="00AF06A2"/>
    <w:rsid w:val="00AF3A9E"/>
    <w:rsid w:val="00AF476B"/>
    <w:rsid w:val="00AF5E84"/>
    <w:rsid w:val="00B007FC"/>
    <w:rsid w:val="00B03D6E"/>
    <w:rsid w:val="00B04EFA"/>
    <w:rsid w:val="00B06825"/>
    <w:rsid w:val="00B11C82"/>
    <w:rsid w:val="00B1335E"/>
    <w:rsid w:val="00B13AAD"/>
    <w:rsid w:val="00B178C3"/>
    <w:rsid w:val="00B17AC5"/>
    <w:rsid w:val="00B17CCB"/>
    <w:rsid w:val="00B21090"/>
    <w:rsid w:val="00B2226D"/>
    <w:rsid w:val="00B25A45"/>
    <w:rsid w:val="00B25A57"/>
    <w:rsid w:val="00B33C77"/>
    <w:rsid w:val="00B37190"/>
    <w:rsid w:val="00B3771F"/>
    <w:rsid w:val="00B4069A"/>
    <w:rsid w:val="00B41D41"/>
    <w:rsid w:val="00B42DC1"/>
    <w:rsid w:val="00B43410"/>
    <w:rsid w:val="00B44173"/>
    <w:rsid w:val="00B46E7D"/>
    <w:rsid w:val="00B478B5"/>
    <w:rsid w:val="00B52800"/>
    <w:rsid w:val="00B52CE2"/>
    <w:rsid w:val="00B53B8A"/>
    <w:rsid w:val="00B57D4B"/>
    <w:rsid w:val="00B61C2B"/>
    <w:rsid w:val="00B62CC5"/>
    <w:rsid w:val="00B66F05"/>
    <w:rsid w:val="00B721D8"/>
    <w:rsid w:val="00B72941"/>
    <w:rsid w:val="00B73954"/>
    <w:rsid w:val="00B76039"/>
    <w:rsid w:val="00B763A3"/>
    <w:rsid w:val="00B76F90"/>
    <w:rsid w:val="00B77460"/>
    <w:rsid w:val="00B77C9C"/>
    <w:rsid w:val="00B80F95"/>
    <w:rsid w:val="00B85566"/>
    <w:rsid w:val="00B85A8C"/>
    <w:rsid w:val="00B901E7"/>
    <w:rsid w:val="00B93DB3"/>
    <w:rsid w:val="00B94AC1"/>
    <w:rsid w:val="00BA1FF2"/>
    <w:rsid w:val="00BA239D"/>
    <w:rsid w:val="00BA2D7D"/>
    <w:rsid w:val="00BA2DEB"/>
    <w:rsid w:val="00BA34B0"/>
    <w:rsid w:val="00BA39AA"/>
    <w:rsid w:val="00BA4A23"/>
    <w:rsid w:val="00BA51A8"/>
    <w:rsid w:val="00BA556E"/>
    <w:rsid w:val="00BA56D3"/>
    <w:rsid w:val="00BA5BCC"/>
    <w:rsid w:val="00BA6386"/>
    <w:rsid w:val="00BA68DA"/>
    <w:rsid w:val="00BA7B56"/>
    <w:rsid w:val="00BB25D2"/>
    <w:rsid w:val="00BB7341"/>
    <w:rsid w:val="00BB7D15"/>
    <w:rsid w:val="00BB7F05"/>
    <w:rsid w:val="00BC0D25"/>
    <w:rsid w:val="00BC121F"/>
    <w:rsid w:val="00BC3AAE"/>
    <w:rsid w:val="00BC3AD9"/>
    <w:rsid w:val="00BC4A90"/>
    <w:rsid w:val="00BC5076"/>
    <w:rsid w:val="00BD2655"/>
    <w:rsid w:val="00BD37EA"/>
    <w:rsid w:val="00BD4FF4"/>
    <w:rsid w:val="00BD5200"/>
    <w:rsid w:val="00BD6D87"/>
    <w:rsid w:val="00BE0183"/>
    <w:rsid w:val="00BE0363"/>
    <w:rsid w:val="00BE0BC0"/>
    <w:rsid w:val="00BE5C9C"/>
    <w:rsid w:val="00BF023E"/>
    <w:rsid w:val="00BF3507"/>
    <w:rsid w:val="00BF4140"/>
    <w:rsid w:val="00BF727C"/>
    <w:rsid w:val="00BF7728"/>
    <w:rsid w:val="00BF7CD4"/>
    <w:rsid w:val="00C02E74"/>
    <w:rsid w:val="00C04384"/>
    <w:rsid w:val="00C056F6"/>
    <w:rsid w:val="00C146CF"/>
    <w:rsid w:val="00C149E4"/>
    <w:rsid w:val="00C16F9C"/>
    <w:rsid w:val="00C233EA"/>
    <w:rsid w:val="00C25F36"/>
    <w:rsid w:val="00C26869"/>
    <w:rsid w:val="00C278D5"/>
    <w:rsid w:val="00C30864"/>
    <w:rsid w:val="00C3408D"/>
    <w:rsid w:val="00C346D8"/>
    <w:rsid w:val="00C40500"/>
    <w:rsid w:val="00C40BE0"/>
    <w:rsid w:val="00C40C1D"/>
    <w:rsid w:val="00C42524"/>
    <w:rsid w:val="00C43B8F"/>
    <w:rsid w:val="00C455A6"/>
    <w:rsid w:val="00C4721B"/>
    <w:rsid w:val="00C47E54"/>
    <w:rsid w:val="00C51648"/>
    <w:rsid w:val="00C53A7D"/>
    <w:rsid w:val="00C54B7A"/>
    <w:rsid w:val="00C56E4C"/>
    <w:rsid w:val="00C61CFF"/>
    <w:rsid w:val="00C61EC2"/>
    <w:rsid w:val="00C62C21"/>
    <w:rsid w:val="00C651E7"/>
    <w:rsid w:val="00C66F2C"/>
    <w:rsid w:val="00C7081B"/>
    <w:rsid w:val="00C71248"/>
    <w:rsid w:val="00C725E0"/>
    <w:rsid w:val="00C74636"/>
    <w:rsid w:val="00C74BEB"/>
    <w:rsid w:val="00C75DCB"/>
    <w:rsid w:val="00C8314F"/>
    <w:rsid w:val="00C8321F"/>
    <w:rsid w:val="00C86622"/>
    <w:rsid w:val="00CA21A4"/>
    <w:rsid w:val="00CA22A5"/>
    <w:rsid w:val="00CA24C1"/>
    <w:rsid w:val="00CA3317"/>
    <w:rsid w:val="00CA52FD"/>
    <w:rsid w:val="00CA79CE"/>
    <w:rsid w:val="00CA7DA3"/>
    <w:rsid w:val="00CB106E"/>
    <w:rsid w:val="00CB15B6"/>
    <w:rsid w:val="00CB3804"/>
    <w:rsid w:val="00CB3A6B"/>
    <w:rsid w:val="00CC2AFD"/>
    <w:rsid w:val="00CC357C"/>
    <w:rsid w:val="00CC518F"/>
    <w:rsid w:val="00CC5B60"/>
    <w:rsid w:val="00CC6817"/>
    <w:rsid w:val="00CC76BA"/>
    <w:rsid w:val="00CC7BBE"/>
    <w:rsid w:val="00CD529E"/>
    <w:rsid w:val="00CD6FA7"/>
    <w:rsid w:val="00CD74CE"/>
    <w:rsid w:val="00CE0A5F"/>
    <w:rsid w:val="00CE0E64"/>
    <w:rsid w:val="00CE5C16"/>
    <w:rsid w:val="00CE6398"/>
    <w:rsid w:val="00CE6470"/>
    <w:rsid w:val="00CF1081"/>
    <w:rsid w:val="00CF3D9A"/>
    <w:rsid w:val="00D01097"/>
    <w:rsid w:val="00D02541"/>
    <w:rsid w:val="00D04325"/>
    <w:rsid w:val="00D074B7"/>
    <w:rsid w:val="00D07A2E"/>
    <w:rsid w:val="00D20A64"/>
    <w:rsid w:val="00D21B17"/>
    <w:rsid w:val="00D23D5D"/>
    <w:rsid w:val="00D24040"/>
    <w:rsid w:val="00D271A2"/>
    <w:rsid w:val="00D30D32"/>
    <w:rsid w:val="00D36D1A"/>
    <w:rsid w:val="00D41861"/>
    <w:rsid w:val="00D4333A"/>
    <w:rsid w:val="00D4336E"/>
    <w:rsid w:val="00D4400D"/>
    <w:rsid w:val="00D441B4"/>
    <w:rsid w:val="00D50DBD"/>
    <w:rsid w:val="00D5165F"/>
    <w:rsid w:val="00D556D9"/>
    <w:rsid w:val="00D618FA"/>
    <w:rsid w:val="00D62F10"/>
    <w:rsid w:val="00D6429F"/>
    <w:rsid w:val="00D64342"/>
    <w:rsid w:val="00D669F8"/>
    <w:rsid w:val="00D706E5"/>
    <w:rsid w:val="00D72BB4"/>
    <w:rsid w:val="00D72F84"/>
    <w:rsid w:val="00D73AE3"/>
    <w:rsid w:val="00D76421"/>
    <w:rsid w:val="00D80DD4"/>
    <w:rsid w:val="00D81FC1"/>
    <w:rsid w:val="00D85AE9"/>
    <w:rsid w:val="00D86641"/>
    <w:rsid w:val="00D9272D"/>
    <w:rsid w:val="00D95C68"/>
    <w:rsid w:val="00DA121E"/>
    <w:rsid w:val="00DA1BBE"/>
    <w:rsid w:val="00DA4B3B"/>
    <w:rsid w:val="00DA4FF8"/>
    <w:rsid w:val="00DA50D9"/>
    <w:rsid w:val="00DA784F"/>
    <w:rsid w:val="00DA7CBA"/>
    <w:rsid w:val="00DB5633"/>
    <w:rsid w:val="00DB58EB"/>
    <w:rsid w:val="00DC26C3"/>
    <w:rsid w:val="00DC322F"/>
    <w:rsid w:val="00DC37CE"/>
    <w:rsid w:val="00DC3C4C"/>
    <w:rsid w:val="00DC5E06"/>
    <w:rsid w:val="00DC67E3"/>
    <w:rsid w:val="00DC6DD5"/>
    <w:rsid w:val="00DD00AB"/>
    <w:rsid w:val="00DD1FCB"/>
    <w:rsid w:val="00DD4EF4"/>
    <w:rsid w:val="00DD56DC"/>
    <w:rsid w:val="00DD5CBC"/>
    <w:rsid w:val="00DD66BC"/>
    <w:rsid w:val="00DE499E"/>
    <w:rsid w:val="00DE4B44"/>
    <w:rsid w:val="00DE7172"/>
    <w:rsid w:val="00DF15E9"/>
    <w:rsid w:val="00DF2B58"/>
    <w:rsid w:val="00DF3CB9"/>
    <w:rsid w:val="00DF3CEE"/>
    <w:rsid w:val="00DF7C8E"/>
    <w:rsid w:val="00E00250"/>
    <w:rsid w:val="00E00D34"/>
    <w:rsid w:val="00E01913"/>
    <w:rsid w:val="00E0343A"/>
    <w:rsid w:val="00E055D3"/>
    <w:rsid w:val="00E06BC9"/>
    <w:rsid w:val="00E11730"/>
    <w:rsid w:val="00E121F9"/>
    <w:rsid w:val="00E13F02"/>
    <w:rsid w:val="00E140BF"/>
    <w:rsid w:val="00E1482E"/>
    <w:rsid w:val="00E14B53"/>
    <w:rsid w:val="00E153AE"/>
    <w:rsid w:val="00E24211"/>
    <w:rsid w:val="00E25114"/>
    <w:rsid w:val="00E26EB2"/>
    <w:rsid w:val="00E30475"/>
    <w:rsid w:val="00E30C4E"/>
    <w:rsid w:val="00E31401"/>
    <w:rsid w:val="00E328B9"/>
    <w:rsid w:val="00E35796"/>
    <w:rsid w:val="00E375CB"/>
    <w:rsid w:val="00E379E8"/>
    <w:rsid w:val="00E40DDA"/>
    <w:rsid w:val="00E4185C"/>
    <w:rsid w:val="00E41DD9"/>
    <w:rsid w:val="00E43151"/>
    <w:rsid w:val="00E43796"/>
    <w:rsid w:val="00E43C70"/>
    <w:rsid w:val="00E43EA3"/>
    <w:rsid w:val="00E446E3"/>
    <w:rsid w:val="00E501E7"/>
    <w:rsid w:val="00E52BEB"/>
    <w:rsid w:val="00E55FA5"/>
    <w:rsid w:val="00E57E24"/>
    <w:rsid w:val="00E64202"/>
    <w:rsid w:val="00E664BC"/>
    <w:rsid w:val="00E66CF2"/>
    <w:rsid w:val="00E74FC5"/>
    <w:rsid w:val="00E81D4B"/>
    <w:rsid w:val="00E82528"/>
    <w:rsid w:val="00E833B5"/>
    <w:rsid w:val="00E9271A"/>
    <w:rsid w:val="00E92C9E"/>
    <w:rsid w:val="00E932A0"/>
    <w:rsid w:val="00E95200"/>
    <w:rsid w:val="00E95A34"/>
    <w:rsid w:val="00E95EA0"/>
    <w:rsid w:val="00EA50D4"/>
    <w:rsid w:val="00EA6441"/>
    <w:rsid w:val="00EA6625"/>
    <w:rsid w:val="00EB1729"/>
    <w:rsid w:val="00EB5275"/>
    <w:rsid w:val="00EB7374"/>
    <w:rsid w:val="00EC4B3E"/>
    <w:rsid w:val="00EC510E"/>
    <w:rsid w:val="00EC7D75"/>
    <w:rsid w:val="00ED215A"/>
    <w:rsid w:val="00ED41D8"/>
    <w:rsid w:val="00ED4AFD"/>
    <w:rsid w:val="00ED7373"/>
    <w:rsid w:val="00ED782E"/>
    <w:rsid w:val="00ED7B49"/>
    <w:rsid w:val="00EE02E8"/>
    <w:rsid w:val="00EE1086"/>
    <w:rsid w:val="00EE469D"/>
    <w:rsid w:val="00EE513E"/>
    <w:rsid w:val="00EE526E"/>
    <w:rsid w:val="00EF0E5E"/>
    <w:rsid w:val="00EF3065"/>
    <w:rsid w:val="00EF39AC"/>
    <w:rsid w:val="00EF4A52"/>
    <w:rsid w:val="00EF7474"/>
    <w:rsid w:val="00F02E5F"/>
    <w:rsid w:val="00F0390F"/>
    <w:rsid w:val="00F051A6"/>
    <w:rsid w:val="00F06C44"/>
    <w:rsid w:val="00F06F31"/>
    <w:rsid w:val="00F10300"/>
    <w:rsid w:val="00F107D3"/>
    <w:rsid w:val="00F11012"/>
    <w:rsid w:val="00F2114E"/>
    <w:rsid w:val="00F21ACC"/>
    <w:rsid w:val="00F245E7"/>
    <w:rsid w:val="00F25FF9"/>
    <w:rsid w:val="00F325C2"/>
    <w:rsid w:val="00F3358B"/>
    <w:rsid w:val="00F33700"/>
    <w:rsid w:val="00F33B49"/>
    <w:rsid w:val="00F3402C"/>
    <w:rsid w:val="00F3528F"/>
    <w:rsid w:val="00F3672C"/>
    <w:rsid w:val="00F370FB"/>
    <w:rsid w:val="00F40F67"/>
    <w:rsid w:val="00F417F9"/>
    <w:rsid w:val="00F423D8"/>
    <w:rsid w:val="00F44A5F"/>
    <w:rsid w:val="00F455A0"/>
    <w:rsid w:val="00F47A1F"/>
    <w:rsid w:val="00F503E3"/>
    <w:rsid w:val="00F505D4"/>
    <w:rsid w:val="00F52C31"/>
    <w:rsid w:val="00F55526"/>
    <w:rsid w:val="00F567B8"/>
    <w:rsid w:val="00F607F5"/>
    <w:rsid w:val="00F618E4"/>
    <w:rsid w:val="00F63E58"/>
    <w:rsid w:val="00F63F67"/>
    <w:rsid w:val="00F64C38"/>
    <w:rsid w:val="00F66C90"/>
    <w:rsid w:val="00F67F2F"/>
    <w:rsid w:val="00F71244"/>
    <w:rsid w:val="00F75D5B"/>
    <w:rsid w:val="00F84913"/>
    <w:rsid w:val="00F84C8D"/>
    <w:rsid w:val="00F85491"/>
    <w:rsid w:val="00F86BEA"/>
    <w:rsid w:val="00F86EAA"/>
    <w:rsid w:val="00F90BF6"/>
    <w:rsid w:val="00F911DB"/>
    <w:rsid w:val="00F92508"/>
    <w:rsid w:val="00F92944"/>
    <w:rsid w:val="00F9393A"/>
    <w:rsid w:val="00F963B4"/>
    <w:rsid w:val="00F96495"/>
    <w:rsid w:val="00F96AE2"/>
    <w:rsid w:val="00FA3EB3"/>
    <w:rsid w:val="00FA3EEA"/>
    <w:rsid w:val="00FA683E"/>
    <w:rsid w:val="00FA6B89"/>
    <w:rsid w:val="00FA7EE1"/>
    <w:rsid w:val="00FB15ED"/>
    <w:rsid w:val="00FB1ED5"/>
    <w:rsid w:val="00FB2822"/>
    <w:rsid w:val="00FB4945"/>
    <w:rsid w:val="00FB4AB0"/>
    <w:rsid w:val="00FB66BD"/>
    <w:rsid w:val="00FC1403"/>
    <w:rsid w:val="00FC1BDB"/>
    <w:rsid w:val="00FC22B4"/>
    <w:rsid w:val="00FC28C3"/>
    <w:rsid w:val="00FC66DA"/>
    <w:rsid w:val="00FC7B24"/>
    <w:rsid w:val="00FD41AF"/>
    <w:rsid w:val="00FD69CE"/>
    <w:rsid w:val="00FE1FE6"/>
    <w:rsid w:val="00FE2BB6"/>
    <w:rsid w:val="00FE43A4"/>
    <w:rsid w:val="00FE4605"/>
    <w:rsid w:val="00FE4E3A"/>
    <w:rsid w:val="00FE560F"/>
    <w:rsid w:val="00FE5F61"/>
    <w:rsid w:val="00FE70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5C8D"/>
  <w15:docId w15:val="{BFE08E0A-0648-41F2-89EB-44101D4E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CC"/>
  </w:style>
  <w:style w:type="paragraph" w:styleId="Heading1">
    <w:name w:val="heading 1"/>
    <w:basedOn w:val="Normal"/>
    <w:next w:val="Normal"/>
    <w:link w:val="Heading1Char"/>
    <w:uiPriority w:val="1"/>
    <w:qFormat/>
    <w:rsid w:val="005218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218F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CE0E64"/>
    <w:pPr>
      <w:ind w:left="720"/>
      <w:contextualSpacing/>
    </w:pPr>
  </w:style>
  <w:style w:type="character" w:styleId="PlaceholderText">
    <w:name w:val="Placeholder Text"/>
    <w:basedOn w:val="DefaultParagraphFont"/>
    <w:uiPriority w:val="99"/>
    <w:semiHidden/>
    <w:rsid w:val="00CE0E64"/>
    <w:rPr>
      <w:color w:val="808080"/>
    </w:rPr>
  </w:style>
  <w:style w:type="paragraph" w:styleId="BalloonText">
    <w:name w:val="Balloon Text"/>
    <w:basedOn w:val="Normal"/>
    <w:link w:val="BalloonTextChar"/>
    <w:uiPriority w:val="99"/>
    <w:semiHidden/>
    <w:unhideWhenUsed/>
    <w:rsid w:val="005E39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960"/>
    <w:rPr>
      <w:rFonts w:ascii="Segoe UI" w:hAnsi="Segoe UI" w:cs="Segoe UI"/>
      <w:sz w:val="18"/>
      <w:szCs w:val="18"/>
    </w:rPr>
  </w:style>
  <w:style w:type="paragraph" w:styleId="Caption">
    <w:name w:val="caption"/>
    <w:basedOn w:val="Normal"/>
    <w:next w:val="Normal"/>
    <w:uiPriority w:val="35"/>
    <w:semiHidden/>
    <w:unhideWhenUsed/>
    <w:qFormat/>
    <w:rsid w:val="000C38F7"/>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0C38F7"/>
    <w:rPr>
      <w:sz w:val="16"/>
      <w:szCs w:val="16"/>
    </w:rPr>
  </w:style>
  <w:style w:type="paragraph" w:styleId="CommentText">
    <w:name w:val="annotation text"/>
    <w:basedOn w:val="Normal"/>
    <w:link w:val="CommentTextChar"/>
    <w:uiPriority w:val="99"/>
    <w:semiHidden/>
    <w:unhideWhenUsed/>
    <w:rsid w:val="000C38F7"/>
    <w:pPr>
      <w:spacing w:line="240" w:lineRule="auto"/>
    </w:pPr>
    <w:rPr>
      <w:sz w:val="20"/>
      <w:szCs w:val="20"/>
    </w:rPr>
  </w:style>
  <w:style w:type="character" w:customStyle="1" w:styleId="CommentTextChar">
    <w:name w:val="Comment Text Char"/>
    <w:basedOn w:val="DefaultParagraphFont"/>
    <w:link w:val="CommentText"/>
    <w:uiPriority w:val="99"/>
    <w:semiHidden/>
    <w:rsid w:val="000C38F7"/>
    <w:rPr>
      <w:sz w:val="20"/>
      <w:szCs w:val="20"/>
    </w:rPr>
  </w:style>
  <w:style w:type="paragraph" w:styleId="CommentSubject">
    <w:name w:val="annotation subject"/>
    <w:basedOn w:val="CommentText"/>
    <w:next w:val="CommentText"/>
    <w:link w:val="CommentSubjectChar"/>
    <w:uiPriority w:val="99"/>
    <w:semiHidden/>
    <w:unhideWhenUsed/>
    <w:rsid w:val="000C38F7"/>
    <w:rPr>
      <w:b/>
      <w:bCs/>
    </w:rPr>
  </w:style>
  <w:style w:type="character" w:customStyle="1" w:styleId="CommentSubjectChar">
    <w:name w:val="Comment Subject Char"/>
    <w:basedOn w:val="CommentTextChar"/>
    <w:link w:val="CommentSubject"/>
    <w:uiPriority w:val="99"/>
    <w:semiHidden/>
    <w:rsid w:val="000C38F7"/>
    <w:rPr>
      <w:b/>
      <w:bCs/>
      <w:sz w:val="20"/>
      <w:szCs w:val="20"/>
    </w:rPr>
  </w:style>
  <w:style w:type="table" w:styleId="TableGrid">
    <w:name w:val="Table Grid"/>
    <w:basedOn w:val="TableNormal"/>
    <w:uiPriority w:val="59"/>
    <w:rsid w:val="00DA4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4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84"/>
  </w:style>
  <w:style w:type="paragraph" w:styleId="Footer">
    <w:name w:val="footer"/>
    <w:basedOn w:val="Normal"/>
    <w:link w:val="FooterChar"/>
    <w:uiPriority w:val="99"/>
    <w:unhideWhenUsed/>
    <w:rsid w:val="00C04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84"/>
  </w:style>
  <w:style w:type="character" w:styleId="Hyperlink">
    <w:name w:val="Hyperlink"/>
    <w:basedOn w:val="DefaultParagraphFont"/>
    <w:uiPriority w:val="99"/>
    <w:unhideWhenUsed/>
    <w:rsid w:val="00A83394"/>
    <w:rPr>
      <w:color w:val="0000FF" w:themeColor="hyperlink"/>
      <w:u w:val="single"/>
    </w:rPr>
  </w:style>
  <w:style w:type="paragraph" w:styleId="BodyText">
    <w:name w:val="Body Text"/>
    <w:basedOn w:val="Normal"/>
    <w:link w:val="BodyTextChar"/>
    <w:uiPriority w:val="1"/>
    <w:qFormat/>
    <w:rsid w:val="00D72BB4"/>
    <w:pPr>
      <w:widowControl w:val="0"/>
      <w:spacing w:after="0" w:line="240" w:lineRule="auto"/>
      <w:ind w:left="84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D72BB4"/>
    <w:rPr>
      <w:rFonts w:ascii="Times New Roman" w:eastAsia="Times New Roman" w:hAnsi="Times New Roman"/>
      <w:sz w:val="24"/>
      <w:szCs w:val="24"/>
    </w:rPr>
  </w:style>
  <w:style w:type="paragraph" w:customStyle="1" w:styleId="TableParagraph">
    <w:name w:val="Table Paragraph"/>
    <w:basedOn w:val="Normal"/>
    <w:uiPriority w:val="1"/>
    <w:qFormat/>
    <w:rsid w:val="00A81ECC"/>
    <w:pPr>
      <w:widowControl w:val="0"/>
      <w:spacing w:after="0" w:line="240" w:lineRule="auto"/>
    </w:pPr>
  </w:style>
  <w:style w:type="character" w:styleId="HTMLCite">
    <w:name w:val="HTML Cite"/>
    <w:basedOn w:val="DefaultParagraphFont"/>
    <w:uiPriority w:val="99"/>
    <w:semiHidden/>
    <w:unhideWhenUsed/>
    <w:rsid w:val="00522742"/>
    <w:rPr>
      <w:i/>
      <w:iCs/>
    </w:rPr>
  </w:style>
  <w:style w:type="character" w:customStyle="1" w:styleId="c9dxtc">
    <w:name w:val="c9dxtc"/>
    <w:basedOn w:val="DefaultParagraphFont"/>
    <w:rsid w:val="00485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81314">
      <w:bodyDiv w:val="1"/>
      <w:marLeft w:val="0"/>
      <w:marRight w:val="0"/>
      <w:marTop w:val="0"/>
      <w:marBottom w:val="0"/>
      <w:divBdr>
        <w:top w:val="none" w:sz="0" w:space="0" w:color="auto"/>
        <w:left w:val="none" w:sz="0" w:space="0" w:color="auto"/>
        <w:bottom w:val="none" w:sz="0" w:space="0" w:color="auto"/>
        <w:right w:val="none" w:sz="0" w:space="0" w:color="auto"/>
      </w:divBdr>
    </w:div>
    <w:div w:id="1054499154">
      <w:bodyDiv w:val="1"/>
      <w:marLeft w:val="0"/>
      <w:marRight w:val="0"/>
      <w:marTop w:val="0"/>
      <w:marBottom w:val="0"/>
      <w:divBdr>
        <w:top w:val="none" w:sz="0" w:space="0" w:color="auto"/>
        <w:left w:val="none" w:sz="0" w:space="0" w:color="auto"/>
        <w:bottom w:val="none" w:sz="0" w:space="0" w:color="auto"/>
        <w:right w:val="none" w:sz="0" w:space="0" w:color="auto"/>
      </w:divBdr>
      <w:divsChild>
        <w:div w:id="2016836144">
          <w:marLeft w:val="45"/>
          <w:marRight w:val="45"/>
          <w:marTop w:val="0"/>
          <w:marBottom w:val="0"/>
          <w:divBdr>
            <w:top w:val="none" w:sz="0" w:space="0" w:color="auto"/>
            <w:left w:val="none" w:sz="0" w:space="0" w:color="auto"/>
            <w:bottom w:val="none" w:sz="0" w:space="0" w:color="auto"/>
            <w:right w:val="none" w:sz="0" w:space="0" w:color="auto"/>
          </w:divBdr>
          <w:divsChild>
            <w:div w:id="1061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pflueger.github.io/carolinpflueger_repository/jh_bps_2024080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D75C-E9AB-478A-AC1E-BEC60D665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2141</TotalTime>
  <Pages>8</Pages>
  <Words>2709</Words>
  <Characters>15442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uras</dc:creator>
  <cp:lastModifiedBy>Carolin Pflueger</cp:lastModifiedBy>
  <cp:revision>130</cp:revision>
  <cp:lastPrinted>2022-01-31T19:55:00Z</cp:lastPrinted>
  <dcterms:created xsi:type="dcterms:W3CDTF">2022-02-23T11:55:00Z</dcterms:created>
  <dcterms:modified xsi:type="dcterms:W3CDTF">2024-09-17T16:42:00Z</dcterms:modified>
</cp:coreProperties>
</file>