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2FD81" w14:textId="13D8E752" w:rsidR="00CE0A5F" w:rsidRPr="00E81D4B" w:rsidRDefault="001A48D5" w:rsidP="00E81D4B">
      <w:pPr>
        <w:spacing w:after="0" w:line="240" w:lineRule="auto"/>
        <w:jc w:val="both"/>
        <w:rPr>
          <w:rFonts w:ascii="Times New Roman" w:hAnsi="Times New Roman" w:cs="Times New Roman"/>
          <w:color w:val="0000FF"/>
        </w:rPr>
      </w:pPr>
      <w:r>
        <w:rPr>
          <w:rFonts w:ascii="Times New Roman" w:hAnsi="Times New Roman" w:cs="Times New Roman"/>
          <w:color w:val="0000FF"/>
        </w:rPr>
        <w:t>D</w:t>
      </w:r>
      <w:r w:rsidR="00CE0A5F" w:rsidRPr="00E81D4B">
        <w:rPr>
          <w:rFonts w:ascii="Times New Roman" w:hAnsi="Times New Roman" w:cs="Times New Roman"/>
          <w:color w:val="0000FF"/>
        </w:rPr>
        <w:t xml:space="preserve">ear </w:t>
      </w:r>
      <w:r w:rsidR="0037624F" w:rsidRPr="00E81D4B">
        <w:rPr>
          <w:rFonts w:ascii="Times New Roman" w:hAnsi="Times New Roman" w:cs="Times New Roman"/>
          <w:color w:val="0000FF"/>
        </w:rPr>
        <w:t>Professor</w:t>
      </w:r>
      <w:r w:rsidR="007B5A17" w:rsidRPr="00E81D4B">
        <w:rPr>
          <w:rFonts w:ascii="Times New Roman" w:hAnsi="Times New Roman" w:cs="Times New Roman"/>
          <w:color w:val="0000FF"/>
        </w:rPr>
        <w:t xml:space="preserve"> Whited</w:t>
      </w:r>
      <w:r w:rsidR="007C3211" w:rsidRPr="00E81D4B">
        <w:rPr>
          <w:rFonts w:ascii="Times New Roman" w:hAnsi="Times New Roman" w:cs="Times New Roman"/>
          <w:color w:val="0000FF"/>
        </w:rPr>
        <w:t>,</w:t>
      </w:r>
      <w:r w:rsidR="00CE0A5F" w:rsidRPr="00E81D4B">
        <w:rPr>
          <w:rFonts w:ascii="Times New Roman" w:hAnsi="Times New Roman" w:cs="Times New Roman"/>
          <w:color w:val="0000FF"/>
        </w:rPr>
        <w:t xml:space="preserve"> </w:t>
      </w:r>
    </w:p>
    <w:p w14:paraId="5B228463" w14:textId="77777777" w:rsidR="00E81D4B" w:rsidRPr="00E81D4B" w:rsidRDefault="00E81D4B" w:rsidP="00E81D4B">
      <w:pPr>
        <w:spacing w:after="0" w:line="240" w:lineRule="auto"/>
        <w:jc w:val="both"/>
        <w:rPr>
          <w:rFonts w:ascii="Times New Roman" w:hAnsi="Times New Roman" w:cs="Times New Roman"/>
          <w:color w:val="0000FF"/>
        </w:rPr>
      </w:pPr>
    </w:p>
    <w:p w14:paraId="4BDD9029" w14:textId="31F23896" w:rsidR="006235D1" w:rsidRPr="00E81D4B" w:rsidRDefault="008C7BA9"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w:t>
      </w:r>
      <w:r w:rsidR="00CE0A5F" w:rsidRPr="00E81D4B">
        <w:rPr>
          <w:rFonts w:ascii="Times New Roman" w:hAnsi="Times New Roman" w:cs="Times New Roman"/>
          <w:color w:val="0000FF"/>
        </w:rPr>
        <w:t xml:space="preserve">hank you </w:t>
      </w:r>
      <w:r w:rsidR="0037624F" w:rsidRPr="00E81D4B">
        <w:rPr>
          <w:rFonts w:ascii="Times New Roman" w:hAnsi="Times New Roman" w:cs="Times New Roman"/>
          <w:color w:val="0000FF"/>
        </w:rPr>
        <w:t xml:space="preserve">very much </w:t>
      </w:r>
      <w:r w:rsidR="00CE0A5F" w:rsidRPr="00E81D4B">
        <w:rPr>
          <w:rFonts w:ascii="Times New Roman" w:hAnsi="Times New Roman" w:cs="Times New Roman"/>
          <w:color w:val="0000FF"/>
        </w:rPr>
        <w:t xml:space="preserve">for the opportunity to submit a revised version of </w:t>
      </w:r>
      <w:r w:rsidR="008151F0" w:rsidRPr="00E81D4B">
        <w:rPr>
          <w:rFonts w:ascii="Times New Roman" w:hAnsi="Times New Roman" w:cs="Times New Roman"/>
          <w:color w:val="0000FF"/>
        </w:rPr>
        <w:t>my</w:t>
      </w:r>
      <w:r w:rsidR="00CE0A5F" w:rsidRPr="00E81D4B">
        <w:rPr>
          <w:rFonts w:ascii="Times New Roman" w:hAnsi="Times New Roman" w:cs="Times New Roman"/>
          <w:color w:val="0000FF"/>
        </w:rPr>
        <w:t xml:space="preserve"> manuscript</w:t>
      </w:r>
      <w:r w:rsidR="00C64426">
        <w:rPr>
          <w:rFonts w:ascii="Times New Roman" w:hAnsi="Times New Roman" w:cs="Times New Roman"/>
          <w:color w:val="0000FF"/>
        </w:rPr>
        <w:t>,</w:t>
      </w:r>
      <w:r w:rsidR="00BC2B82">
        <w:rPr>
          <w:rFonts w:ascii="Times New Roman" w:hAnsi="Times New Roman" w:cs="Times New Roman"/>
          <w:color w:val="0000FF"/>
        </w:rPr>
        <w:t xml:space="preserve"> and for the clear guidance. </w:t>
      </w:r>
      <w:r w:rsidR="008151F0" w:rsidRPr="00E81D4B">
        <w:rPr>
          <w:rFonts w:ascii="Times New Roman" w:hAnsi="Times New Roman" w:cs="Times New Roman"/>
          <w:color w:val="0000FF"/>
        </w:rPr>
        <w:t>I am</w:t>
      </w:r>
      <w:r w:rsidR="00DE7172" w:rsidRPr="00E81D4B">
        <w:rPr>
          <w:rFonts w:ascii="Times New Roman" w:hAnsi="Times New Roman" w:cs="Times New Roman"/>
          <w:color w:val="0000FF"/>
        </w:rPr>
        <w:t xml:space="preserve"> thrilled to resubmit </w:t>
      </w:r>
      <w:r w:rsidR="00E81D4B" w:rsidRPr="00E81D4B">
        <w:rPr>
          <w:rFonts w:ascii="Times New Roman" w:hAnsi="Times New Roman" w:cs="Times New Roman"/>
          <w:color w:val="0000FF"/>
        </w:rPr>
        <w:t xml:space="preserve">a revised </w:t>
      </w:r>
      <w:r w:rsidR="00147233" w:rsidRPr="00E81D4B">
        <w:rPr>
          <w:rFonts w:ascii="Times New Roman" w:hAnsi="Times New Roman" w:cs="Times New Roman"/>
          <w:color w:val="0000FF"/>
        </w:rPr>
        <w:t>manuscript</w:t>
      </w:r>
      <w:r w:rsidR="00BC2B82">
        <w:rPr>
          <w:rFonts w:ascii="Times New Roman" w:hAnsi="Times New Roman" w:cs="Times New Roman"/>
          <w:color w:val="0000FF"/>
        </w:rPr>
        <w:t xml:space="preserve">. </w:t>
      </w:r>
      <w:r w:rsidR="008151F0" w:rsidRPr="00E81D4B">
        <w:rPr>
          <w:rFonts w:ascii="Times New Roman" w:hAnsi="Times New Roman" w:cs="Times New Roman"/>
          <w:color w:val="0000FF"/>
        </w:rPr>
        <w:t xml:space="preserve">Detailed responses are included below, </w:t>
      </w:r>
      <w:r w:rsidR="00CE0A5F" w:rsidRPr="00E81D4B">
        <w:rPr>
          <w:rFonts w:ascii="Times New Roman" w:hAnsi="Times New Roman" w:cs="Times New Roman"/>
          <w:color w:val="0000FF"/>
        </w:rPr>
        <w:t>but first</w:t>
      </w:r>
      <w:r w:rsidR="0037624F" w:rsidRPr="00E81D4B">
        <w:rPr>
          <w:rFonts w:ascii="Times New Roman" w:hAnsi="Times New Roman" w:cs="Times New Roman"/>
          <w:color w:val="0000FF"/>
        </w:rPr>
        <w:t xml:space="preserve"> </w:t>
      </w:r>
      <w:r w:rsidR="008151F0" w:rsidRPr="00E81D4B">
        <w:rPr>
          <w:rFonts w:ascii="Times New Roman" w:hAnsi="Times New Roman" w:cs="Times New Roman"/>
          <w:color w:val="0000FF"/>
        </w:rPr>
        <w:t>I</w:t>
      </w:r>
      <w:r w:rsidR="0037624F" w:rsidRPr="00E81D4B">
        <w:rPr>
          <w:rFonts w:ascii="Times New Roman" w:hAnsi="Times New Roman" w:cs="Times New Roman"/>
          <w:color w:val="0000FF"/>
        </w:rPr>
        <w:t xml:space="preserve"> would</w:t>
      </w:r>
      <w:r w:rsidR="00CE0A5F" w:rsidRPr="00E81D4B">
        <w:rPr>
          <w:rFonts w:ascii="Times New Roman" w:hAnsi="Times New Roman" w:cs="Times New Roman"/>
          <w:color w:val="0000FF"/>
        </w:rPr>
        <w:t xml:space="preserve"> like to provide an overview of the main changes. </w:t>
      </w:r>
      <w:r w:rsidR="00202AB1" w:rsidRPr="00E81D4B">
        <w:rPr>
          <w:rFonts w:ascii="Times New Roman" w:hAnsi="Times New Roman" w:cs="Times New Roman"/>
          <w:color w:val="0000FF"/>
        </w:rPr>
        <w:t xml:space="preserve"> </w:t>
      </w:r>
    </w:p>
    <w:p w14:paraId="1A3FB3C8" w14:textId="77777777" w:rsidR="00E81D4B" w:rsidRPr="00E81D4B" w:rsidRDefault="00E81D4B" w:rsidP="00E81D4B">
      <w:pPr>
        <w:spacing w:after="0" w:line="240" w:lineRule="auto"/>
        <w:jc w:val="both"/>
        <w:rPr>
          <w:rFonts w:ascii="Times New Roman" w:hAnsi="Times New Roman" w:cs="Times New Roman"/>
          <w:color w:val="0000FF"/>
        </w:rPr>
      </w:pPr>
    </w:p>
    <w:p w14:paraId="70B8BEAD" w14:textId="46965FB5" w:rsidR="00BC2B82" w:rsidRDefault="00BC2B82" w:rsidP="00447767">
      <w:pPr>
        <w:pStyle w:val="ListParagraph"/>
        <w:numPr>
          <w:ilvl w:val="0"/>
          <w:numId w:val="3"/>
        </w:numPr>
        <w:spacing w:after="0" w:line="240" w:lineRule="auto"/>
        <w:jc w:val="both"/>
        <w:rPr>
          <w:rFonts w:ascii="Times New Roman" w:hAnsi="Times New Roman" w:cs="Times New Roman"/>
          <w:color w:val="0000FF"/>
        </w:rPr>
      </w:pPr>
      <w:r w:rsidRPr="000A0CD9">
        <w:rPr>
          <w:rFonts w:ascii="Times New Roman" w:hAnsi="Times New Roman" w:cs="Times New Roman"/>
          <w:color w:val="0000FF"/>
        </w:rPr>
        <w:t xml:space="preserve">The </w:t>
      </w:r>
      <w:r w:rsidR="009C18E9" w:rsidRPr="000A0CD9">
        <w:rPr>
          <w:rFonts w:ascii="Times New Roman" w:hAnsi="Times New Roman" w:cs="Times New Roman"/>
          <w:b/>
          <w:bCs/>
          <w:color w:val="0000FF"/>
        </w:rPr>
        <w:t xml:space="preserve">revised introduction </w:t>
      </w:r>
      <w:r w:rsidR="000A0CD9" w:rsidRPr="000A0CD9">
        <w:rPr>
          <w:rFonts w:ascii="Times New Roman" w:hAnsi="Times New Roman" w:cs="Times New Roman"/>
          <w:b/>
          <w:bCs/>
          <w:color w:val="0000FF"/>
        </w:rPr>
        <w:t xml:space="preserve">states clearly the key </w:t>
      </w:r>
      <w:r w:rsidR="00C64426">
        <w:rPr>
          <w:rFonts w:ascii="Times New Roman" w:hAnsi="Times New Roman" w:cs="Times New Roman"/>
          <w:b/>
          <w:bCs/>
          <w:color w:val="0000FF"/>
        </w:rPr>
        <w:t>contribution</w:t>
      </w:r>
      <w:r w:rsidR="000A0CD9" w:rsidRPr="000A0CD9">
        <w:rPr>
          <w:rFonts w:ascii="Times New Roman" w:hAnsi="Times New Roman" w:cs="Times New Roman"/>
          <w:b/>
          <w:bCs/>
          <w:color w:val="0000FF"/>
        </w:rPr>
        <w:t xml:space="preserve"> that sets this paper apart</w:t>
      </w:r>
      <w:r w:rsidR="000A0CD9" w:rsidRPr="000A0CD9">
        <w:rPr>
          <w:rFonts w:ascii="Times New Roman" w:hAnsi="Times New Roman" w:cs="Times New Roman"/>
          <w:color w:val="0000FF"/>
        </w:rPr>
        <w:t xml:space="preserve"> from my own prior work and the broader literature on changing bond-stock comovements. I</w:t>
      </w:r>
      <w:r w:rsidR="00552C91">
        <w:rPr>
          <w:rFonts w:ascii="Times New Roman" w:hAnsi="Times New Roman" w:cs="Times New Roman"/>
          <w:color w:val="0000FF"/>
        </w:rPr>
        <w:t>n</w:t>
      </w:r>
      <w:r w:rsidR="000A0CD9" w:rsidRPr="000A0CD9">
        <w:rPr>
          <w:rFonts w:ascii="Times New Roman" w:hAnsi="Times New Roman" w:cs="Times New Roman"/>
          <w:color w:val="0000FF"/>
        </w:rPr>
        <w:t xml:space="preserve"> short, m</w:t>
      </w:r>
      <w:r w:rsidR="008151F0" w:rsidRPr="000A0CD9">
        <w:rPr>
          <w:rFonts w:ascii="Times New Roman" w:hAnsi="Times New Roman" w:cs="Times New Roman"/>
          <w:color w:val="0000FF"/>
        </w:rPr>
        <w:t xml:space="preserve">acroeconomic dynamics have changed so much over the past </w:t>
      </w:r>
      <w:r w:rsidR="008F357D">
        <w:rPr>
          <w:rFonts w:ascii="Times New Roman" w:hAnsi="Times New Roman" w:cs="Times New Roman"/>
          <w:color w:val="0000FF"/>
        </w:rPr>
        <w:t>3</w:t>
      </w:r>
      <w:r w:rsidR="008151F0" w:rsidRPr="000A0CD9">
        <w:rPr>
          <w:rFonts w:ascii="Times New Roman" w:hAnsi="Times New Roman" w:cs="Times New Roman"/>
          <w:color w:val="0000FF"/>
        </w:rPr>
        <w:t xml:space="preserve">0 years that changing one set of parameters is insufficient to return bonds to their risky state of the 1980s. Instead, a “perfect storm” consisting of a change towards more volatile supply shocks and a more hawkish monetary policy rule is needed to generate such reversion in bond risks. </w:t>
      </w:r>
    </w:p>
    <w:p w14:paraId="7C8D86E4" w14:textId="77777777" w:rsidR="000A0CD9" w:rsidRPr="000A0CD9" w:rsidRDefault="000A0CD9" w:rsidP="000A0CD9">
      <w:pPr>
        <w:pStyle w:val="ListParagraph"/>
        <w:spacing w:after="0" w:line="240" w:lineRule="auto"/>
        <w:jc w:val="both"/>
        <w:rPr>
          <w:rFonts w:ascii="Times New Roman" w:hAnsi="Times New Roman" w:cs="Times New Roman"/>
          <w:color w:val="0000FF"/>
        </w:rPr>
      </w:pPr>
    </w:p>
    <w:p w14:paraId="6535D6B3" w14:textId="62F912BF" w:rsidR="0050199A" w:rsidRDefault="00045F40" w:rsidP="0050199A">
      <w:pPr>
        <w:pStyle w:val="ListParagraph"/>
        <w:numPr>
          <w:ilvl w:val="0"/>
          <w:numId w:val="3"/>
        </w:numPr>
        <w:spacing w:after="0" w:line="240" w:lineRule="auto"/>
        <w:jc w:val="both"/>
        <w:rPr>
          <w:rFonts w:ascii="Times New Roman" w:hAnsi="Times New Roman" w:cs="Times New Roman"/>
          <w:color w:val="0000FF"/>
        </w:rPr>
      </w:pPr>
      <w:r w:rsidRPr="00980B93">
        <w:rPr>
          <w:rFonts w:ascii="Times New Roman" w:hAnsi="Times New Roman" w:cs="Times New Roman"/>
          <w:color w:val="0000FF"/>
        </w:rPr>
        <w:t xml:space="preserve">The revised paper </w:t>
      </w:r>
      <w:r w:rsidR="00506236" w:rsidRPr="00980B93">
        <w:rPr>
          <w:rFonts w:ascii="Times New Roman" w:hAnsi="Times New Roman" w:cs="Times New Roman"/>
          <w:color w:val="0000FF"/>
        </w:rPr>
        <w:t xml:space="preserve">provides additional </w:t>
      </w:r>
      <w:r w:rsidR="00980B93" w:rsidRPr="00980B93">
        <w:rPr>
          <w:rFonts w:ascii="Times New Roman" w:hAnsi="Times New Roman" w:cs="Times New Roman"/>
          <w:color w:val="0000FF"/>
        </w:rPr>
        <w:t>discussion and results</w:t>
      </w:r>
      <w:r w:rsidR="00506236" w:rsidRPr="00980B93">
        <w:rPr>
          <w:rFonts w:ascii="Times New Roman" w:hAnsi="Times New Roman" w:cs="Times New Roman"/>
          <w:color w:val="0000FF"/>
        </w:rPr>
        <w:t xml:space="preserve"> </w:t>
      </w:r>
      <w:r w:rsidR="002E6C39">
        <w:rPr>
          <w:rFonts w:ascii="Times New Roman" w:hAnsi="Times New Roman" w:cs="Times New Roman"/>
          <w:color w:val="0000FF"/>
        </w:rPr>
        <w:t>supporting</w:t>
      </w:r>
      <w:r w:rsidR="00506236" w:rsidRPr="00980B93">
        <w:rPr>
          <w:rFonts w:ascii="Times New Roman" w:hAnsi="Times New Roman" w:cs="Times New Roman"/>
          <w:color w:val="0000FF"/>
        </w:rPr>
        <w:t xml:space="preserve"> the calibration for the first subperiod.</w:t>
      </w:r>
      <w:r w:rsidR="00596C4F">
        <w:rPr>
          <w:rFonts w:ascii="Times New Roman" w:hAnsi="Times New Roman" w:cs="Times New Roman"/>
          <w:color w:val="0000FF"/>
        </w:rPr>
        <w:t xml:space="preserve"> </w:t>
      </w:r>
      <w:r w:rsidR="00980B93">
        <w:rPr>
          <w:rFonts w:ascii="Times New Roman" w:hAnsi="Times New Roman" w:cs="Times New Roman"/>
          <w:color w:val="0000FF"/>
        </w:rPr>
        <w:t>Following the AE’s suggestion, the paper includes</w:t>
      </w:r>
      <w:r w:rsidR="00461B63">
        <w:rPr>
          <w:rFonts w:ascii="Times New Roman" w:hAnsi="Times New Roman" w:cs="Times New Roman"/>
          <w:color w:val="0000FF"/>
        </w:rPr>
        <w:t xml:space="preserve"> the </w:t>
      </w:r>
      <w:r w:rsidR="00461B63" w:rsidRPr="00461B63">
        <w:rPr>
          <w:rFonts w:ascii="Times New Roman" w:hAnsi="Times New Roman" w:cs="Times New Roman"/>
          <w:b/>
          <w:bCs/>
          <w:color w:val="0000FF"/>
        </w:rPr>
        <w:t>new Figure 8</w:t>
      </w:r>
      <w:r w:rsidR="00461B63">
        <w:rPr>
          <w:rFonts w:ascii="Times New Roman" w:hAnsi="Times New Roman" w:cs="Times New Roman"/>
          <w:color w:val="0000FF"/>
        </w:rPr>
        <w:t xml:space="preserve"> </w:t>
      </w:r>
      <w:r w:rsidR="00980B93" w:rsidRPr="00461B63">
        <w:rPr>
          <w:rFonts w:ascii="Times New Roman" w:hAnsi="Times New Roman" w:cs="Times New Roman"/>
          <w:color w:val="0000FF"/>
        </w:rPr>
        <w:t>showing that a</w:t>
      </w:r>
      <w:r w:rsidR="00980B93" w:rsidRPr="00980B93">
        <w:rPr>
          <w:rFonts w:ascii="Times New Roman" w:hAnsi="Times New Roman" w:cs="Times New Roman"/>
          <w:b/>
          <w:bCs/>
          <w:color w:val="0000FF"/>
        </w:rPr>
        <w:t xml:space="preserve"> high volatility of supply shocks is needed to replicate the bond-stock betas </w:t>
      </w:r>
      <w:r w:rsidR="009164FA">
        <w:rPr>
          <w:rFonts w:ascii="Times New Roman" w:hAnsi="Times New Roman" w:cs="Times New Roman"/>
          <w:b/>
          <w:bCs/>
          <w:color w:val="0000FF"/>
        </w:rPr>
        <w:t>of</w:t>
      </w:r>
      <w:r w:rsidR="00980B93" w:rsidRPr="00980B93">
        <w:rPr>
          <w:rFonts w:ascii="Times New Roman" w:hAnsi="Times New Roman" w:cs="Times New Roman"/>
          <w:b/>
          <w:bCs/>
          <w:color w:val="0000FF"/>
        </w:rPr>
        <w:t xml:space="preserve"> the first subperiod starting from the second subperiod</w:t>
      </w:r>
      <w:r w:rsidR="00980B93">
        <w:rPr>
          <w:rFonts w:ascii="Times New Roman" w:hAnsi="Times New Roman" w:cs="Times New Roman"/>
          <w:color w:val="0000FF"/>
        </w:rPr>
        <w:t xml:space="preserve">. The revised paper also includes new examples and references for supply shocks </w:t>
      </w:r>
      <w:r w:rsidR="00596C4F">
        <w:rPr>
          <w:rFonts w:ascii="Times New Roman" w:hAnsi="Times New Roman" w:cs="Times New Roman"/>
          <w:color w:val="0000FF"/>
        </w:rPr>
        <w:t xml:space="preserve">during the 1980s and 1990s, such as the sudden drop in oil prices </w:t>
      </w:r>
      <w:r w:rsidR="00F14379">
        <w:rPr>
          <w:rFonts w:ascii="Times New Roman" w:hAnsi="Times New Roman" w:cs="Times New Roman"/>
          <w:color w:val="0000FF"/>
        </w:rPr>
        <w:t>in 1986</w:t>
      </w:r>
      <w:r w:rsidR="00980B93">
        <w:rPr>
          <w:rFonts w:ascii="Times New Roman" w:hAnsi="Times New Roman" w:cs="Times New Roman"/>
          <w:color w:val="0000FF"/>
        </w:rPr>
        <w:t xml:space="preserve">. I also added a newspaper count exercise </w:t>
      </w:r>
      <w:r w:rsidR="00C64426">
        <w:rPr>
          <w:rFonts w:ascii="Times New Roman" w:hAnsi="Times New Roman" w:cs="Times New Roman"/>
          <w:color w:val="0000FF"/>
        </w:rPr>
        <w:t xml:space="preserve">in the </w:t>
      </w:r>
      <w:r w:rsidR="00C64426" w:rsidRPr="00C64426">
        <w:rPr>
          <w:rFonts w:ascii="Times New Roman" w:hAnsi="Times New Roman" w:cs="Times New Roman"/>
          <w:b/>
          <w:bCs/>
          <w:color w:val="0000FF"/>
        </w:rPr>
        <w:t>new Appendix Figure A1</w:t>
      </w:r>
      <w:r w:rsidR="00C64426">
        <w:rPr>
          <w:rFonts w:ascii="Times New Roman" w:hAnsi="Times New Roman" w:cs="Times New Roman"/>
          <w:color w:val="0000FF"/>
        </w:rPr>
        <w:t xml:space="preserve"> showing that</w:t>
      </w:r>
      <w:r w:rsidR="00980B93">
        <w:rPr>
          <w:rFonts w:ascii="Times New Roman" w:hAnsi="Times New Roman" w:cs="Times New Roman"/>
          <w:color w:val="0000FF"/>
        </w:rPr>
        <w:t xml:space="preserve"> supply shocks were a substantial concern during the 1980s and 1990s. </w:t>
      </w:r>
    </w:p>
    <w:p w14:paraId="5D7A731C" w14:textId="77777777" w:rsidR="0050199A" w:rsidRPr="0050199A" w:rsidRDefault="0050199A" w:rsidP="0050199A">
      <w:pPr>
        <w:pStyle w:val="ListParagraph"/>
        <w:rPr>
          <w:rFonts w:ascii="Times New Roman" w:hAnsi="Times New Roman" w:cs="Times New Roman"/>
          <w:color w:val="0000FF"/>
        </w:rPr>
      </w:pPr>
    </w:p>
    <w:p w14:paraId="4A051588" w14:textId="385D4672" w:rsidR="00461B63" w:rsidRDefault="00877DC7" w:rsidP="00AB3160">
      <w:pPr>
        <w:pStyle w:val="ListParagraph"/>
        <w:numPr>
          <w:ilvl w:val="0"/>
          <w:numId w:val="3"/>
        </w:numPr>
        <w:spacing w:after="0" w:line="240" w:lineRule="auto"/>
        <w:jc w:val="both"/>
        <w:rPr>
          <w:rFonts w:ascii="Times New Roman" w:hAnsi="Times New Roman" w:cs="Times New Roman"/>
          <w:color w:val="0000FF"/>
        </w:rPr>
      </w:pPr>
      <w:r w:rsidRPr="003E5B73">
        <w:rPr>
          <w:rFonts w:ascii="Times New Roman" w:hAnsi="Times New Roman" w:cs="Times New Roman"/>
          <w:color w:val="0000FF"/>
        </w:rPr>
        <w:t>The revised paper provides a</w:t>
      </w:r>
      <w:r w:rsidR="00FA683E" w:rsidRPr="003E5B73">
        <w:rPr>
          <w:rFonts w:ascii="Times New Roman" w:hAnsi="Times New Roman" w:cs="Times New Roman"/>
          <w:color w:val="0000FF"/>
        </w:rPr>
        <w:t xml:space="preserve">n </w:t>
      </w:r>
      <w:r w:rsidR="00FA683E" w:rsidRPr="003E5B73">
        <w:rPr>
          <w:rFonts w:ascii="Times New Roman" w:hAnsi="Times New Roman" w:cs="Times New Roman"/>
          <w:b/>
          <w:bCs/>
          <w:color w:val="0000FF"/>
        </w:rPr>
        <w:t xml:space="preserve">updated discussion </w:t>
      </w:r>
      <w:r w:rsidR="00257AB3" w:rsidRPr="003E5B73">
        <w:rPr>
          <w:rFonts w:ascii="Times New Roman" w:hAnsi="Times New Roman" w:cs="Times New Roman"/>
          <w:b/>
          <w:bCs/>
          <w:color w:val="0000FF"/>
        </w:rPr>
        <w:t>of recent</w:t>
      </w:r>
      <w:r w:rsidR="0050199A" w:rsidRPr="003E5B73">
        <w:rPr>
          <w:rFonts w:ascii="Times New Roman" w:hAnsi="Times New Roman" w:cs="Times New Roman"/>
          <w:b/>
          <w:bCs/>
          <w:color w:val="0000FF"/>
        </w:rPr>
        <w:t xml:space="preserve"> events</w:t>
      </w:r>
      <w:r w:rsidR="000C4A8D" w:rsidRPr="003E5B73">
        <w:rPr>
          <w:rFonts w:ascii="Times New Roman" w:hAnsi="Times New Roman" w:cs="Times New Roman"/>
          <w:color w:val="0000FF"/>
        </w:rPr>
        <w:t xml:space="preserve">. The </w:t>
      </w:r>
      <w:r w:rsidR="000C4A8D" w:rsidRPr="003E5B73">
        <w:rPr>
          <w:rFonts w:ascii="Times New Roman" w:hAnsi="Times New Roman" w:cs="Times New Roman"/>
          <w:b/>
          <w:bCs/>
          <w:color w:val="0000FF"/>
        </w:rPr>
        <w:t>new Section 5</w:t>
      </w:r>
      <w:r w:rsidR="000C4A8D" w:rsidRPr="003E5B73">
        <w:rPr>
          <w:rFonts w:ascii="Times New Roman" w:hAnsi="Times New Roman" w:cs="Times New Roman"/>
          <w:color w:val="0000FF"/>
        </w:rPr>
        <w:t xml:space="preserve"> emphasizes the difference between an initially weak Fed inflation response </w:t>
      </w:r>
      <w:r w:rsidR="00176021">
        <w:rPr>
          <w:rFonts w:ascii="Times New Roman" w:hAnsi="Times New Roman" w:cs="Times New Roman"/>
          <w:color w:val="0000FF"/>
        </w:rPr>
        <w:t xml:space="preserve">during the early post-pandemic </w:t>
      </w:r>
      <w:r w:rsidR="000C4A8D" w:rsidRPr="003E5B73">
        <w:rPr>
          <w:rFonts w:ascii="Times New Roman" w:hAnsi="Times New Roman" w:cs="Times New Roman"/>
          <w:color w:val="0000FF"/>
        </w:rPr>
        <w:t xml:space="preserve">and a later much stronger Fed inflation response during the </w:t>
      </w:r>
      <w:r w:rsidR="00176021">
        <w:rPr>
          <w:rFonts w:ascii="Times New Roman" w:hAnsi="Times New Roman" w:cs="Times New Roman"/>
          <w:color w:val="0000FF"/>
        </w:rPr>
        <w:t xml:space="preserve">late </w:t>
      </w:r>
      <w:r w:rsidR="000C4A8D" w:rsidRPr="003E5B73">
        <w:rPr>
          <w:rFonts w:ascii="Times New Roman" w:hAnsi="Times New Roman" w:cs="Times New Roman"/>
          <w:color w:val="0000FF"/>
        </w:rPr>
        <w:t>post-pandemic period</w:t>
      </w:r>
      <w:r w:rsidR="003E5B73" w:rsidRPr="003E5B73">
        <w:rPr>
          <w:rFonts w:ascii="Times New Roman" w:hAnsi="Times New Roman" w:cs="Times New Roman"/>
          <w:color w:val="0000FF"/>
        </w:rPr>
        <w:t xml:space="preserve">. I thereby address the </w:t>
      </w:r>
      <w:r w:rsidR="00C66DC8">
        <w:rPr>
          <w:rFonts w:ascii="Times New Roman" w:hAnsi="Times New Roman" w:cs="Times New Roman"/>
          <w:color w:val="0000FF"/>
        </w:rPr>
        <w:t xml:space="preserve">referee’s and AE’s </w:t>
      </w:r>
      <w:r w:rsidR="003E5B73" w:rsidRPr="003E5B73">
        <w:rPr>
          <w:rFonts w:ascii="Times New Roman" w:hAnsi="Times New Roman" w:cs="Times New Roman"/>
          <w:color w:val="0000FF"/>
        </w:rPr>
        <w:t xml:space="preserve">observation that </w:t>
      </w:r>
      <w:r w:rsidR="009672D7">
        <w:rPr>
          <w:rFonts w:ascii="Times New Roman" w:hAnsi="Times New Roman" w:cs="Times New Roman"/>
          <w:color w:val="0000FF"/>
        </w:rPr>
        <w:t xml:space="preserve">the </w:t>
      </w:r>
      <w:r w:rsidR="003E5B73" w:rsidRPr="003E5B73">
        <w:rPr>
          <w:rFonts w:ascii="Times New Roman" w:hAnsi="Times New Roman" w:cs="Times New Roman"/>
          <w:color w:val="0000FF"/>
        </w:rPr>
        <w:t xml:space="preserve">Fed eventually did respond strongly to the </w:t>
      </w:r>
      <w:r w:rsidR="00E84830">
        <w:rPr>
          <w:rFonts w:ascii="Times New Roman" w:hAnsi="Times New Roman" w:cs="Times New Roman"/>
          <w:color w:val="0000FF"/>
        </w:rPr>
        <w:t xml:space="preserve">recent </w:t>
      </w:r>
      <w:r w:rsidR="003E5B73" w:rsidRPr="003E5B73">
        <w:rPr>
          <w:rFonts w:ascii="Times New Roman" w:hAnsi="Times New Roman" w:cs="Times New Roman"/>
          <w:color w:val="0000FF"/>
        </w:rPr>
        <w:t xml:space="preserve">spike in inflation. </w:t>
      </w:r>
    </w:p>
    <w:p w14:paraId="507EA135" w14:textId="77777777" w:rsidR="003E5B73" w:rsidRPr="003E5B73" w:rsidRDefault="003E5B73" w:rsidP="003E5B73">
      <w:pPr>
        <w:spacing w:after="0" w:line="240" w:lineRule="auto"/>
        <w:jc w:val="both"/>
        <w:rPr>
          <w:rFonts w:ascii="Times New Roman" w:hAnsi="Times New Roman" w:cs="Times New Roman"/>
          <w:color w:val="0000FF"/>
        </w:rPr>
      </w:pPr>
    </w:p>
    <w:p w14:paraId="7F61AFBA" w14:textId="53AEDAC2" w:rsidR="00E81D4B" w:rsidRDefault="00E81D4B" w:rsidP="00E81D4B">
      <w:pPr>
        <w:pStyle w:val="Heading1"/>
        <w:spacing w:before="0" w:line="240" w:lineRule="auto"/>
        <w:jc w:val="both"/>
        <w:rPr>
          <w:rFonts w:ascii="Times New Roman" w:hAnsi="Times New Roman" w:cs="Times New Roman"/>
          <w:iCs/>
          <w:color w:val="0000FF"/>
          <w:sz w:val="22"/>
          <w:szCs w:val="22"/>
        </w:rPr>
      </w:pPr>
      <w:r w:rsidRPr="00E81D4B">
        <w:rPr>
          <w:rFonts w:ascii="Times New Roman" w:hAnsi="Times New Roman" w:cs="Times New Roman"/>
          <w:color w:val="0000FF"/>
          <w:sz w:val="22"/>
          <w:szCs w:val="22"/>
        </w:rPr>
        <w:t>Thank you again for</w:t>
      </w:r>
      <w:r w:rsidR="00CE0A5F" w:rsidRPr="00E81D4B">
        <w:rPr>
          <w:rFonts w:ascii="Times New Roman" w:hAnsi="Times New Roman" w:cs="Times New Roman"/>
          <w:color w:val="0000FF"/>
          <w:sz w:val="22"/>
          <w:szCs w:val="22"/>
        </w:rPr>
        <w:t xml:space="preserve"> the opportunity</w:t>
      </w:r>
      <w:r w:rsidR="00771C29" w:rsidRPr="00E81D4B">
        <w:rPr>
          <w:rFonts w:ascii="Times New Roman" w:hAnsi="Times New Roman" w:cs="Times New Roman"/>
          <w:color w:val="0000FF"/>
          <w:sz w:val="22"/>
          <w:szCs w:val="22"/>
        </w:rPr>
        <w:t xml:space="preserve"> </w:t>
      </w:r>
      <w:r w:rsidR="00CE0A5F" w:rsidRPr="00E81D4B">
        <w:rPr>
          <w:rFonts w:ascii="Times New Roman" w:hAnsi="Times New Roman" w:cs="Times New Roman"/>
          <w:color w:val="0000FF"/>
          <w:sz w:val="22"/>
          <w:szCs w:val="22"/>
        </w:rPr>
        <w:t xml:space="preserve">to submit a revised version of </w:t>
      </w:r>
      <w:r w:rsidR="00877DC7" w:rsidRPr="00E81D4B">
        <w:rPr>
          <w:rFonts w:ascii="Times New Roman" w:hAnsi="Times New Roman" w:cs="Times New Roman"/>
          <w:color w:val="0000FF"/>
          <w:sz w:val="22"/>
          <w:szCs w:val="22"/>
        </w:rPr>
        <w:t>this</w:t>
      </w:r>
      <w:r w:rsidR="00CE0A5F" w:rsidRPr="00E81D4B">
        <w:rPr>
          <w:rFonts w:ascii="Times New Roman" w:hAnsi="Times New Roman" w:cs="Times New Roman"/>
          <w:color w:val="0000FF"/>
          <w:sz w:val="22"/>
          <w:szCs w:val="22"/>
        </w:rPr>
        <w:t xml:space="preserve"> manuscript to the </w:t>
      </w:r>
      <w:r w:rsidR="00526E6E" w:rsidRPr="00E81D4B">
        <w:rPr>
          <w:rFonts w:ascii="Times New Roman" w:hAnsi="Times New Roman" w:cs="Times New Roman"/>
          <w:i/>
          <w:color w:val="0000FF"/>
          <w:sz w:val="22"/>
          <w:szCs w:val="22"/>
        </w:rPr>
        <w:t>JFE</w:t>
      </w:r>
      <w:r w:rsidR="00C45B01">
        <w:rPr>
          <w:rFonts w:ascii="Times New Roman" w:hAnsi="Times New Roman" w:cs="Times New Roman"/>
          <w:iCs/>
          <w:color w:val="0000FF"/>
          <w:sz w:val="22"/>
          <w:szCs w:val="22"/>
        </w:rPr>
        <w:t>. My apologies for taking slightly longer for this revision. I had a baby in September 2024</w:t>
      </w:r>
      <w:r w:rsidR="00BB5129">
        <w:rPr>
          <w:rFonts w:ascii="Times New Roman" w:hAnsi="Times New Roman" w:cs="Times New Roman"/>
          <w:iCs/>
          <w:color w:val="0000FF"/>
          <w:sz w:val="22"/>
          <w:szCs w:val="22"/>
        </w:rPr>
        <w:t>,</w:t>
      </w:r>
      <w:r w:rsidR="00C45B01">
        <w:rPr>
          <w:rFonts w:ascii="Times New Roman" w:hAnsi="Times New Roman" w:cs="Times New Roman"/>
          <w:iCs/>
          <w:color w:val="0000FF"/>
          <w:sz w:val="22"/>
          <w:szCs w:val="22"/>
        </w:rPr>
        <w:t xml:space="preserve"> and I believe this timeline enabled me to respond fully to the thoughtful comments by the AE and </w:t>
      </w:r>
      <w:r w:rsidR="009672D7">
        <w:rPr>
          <w:rFonts w:ascii="Times New Roman" w:hAnsi="Times New Roman" w:cs="Times New Roman"/>
          <w:iCs/>
          <w:color w:val="0000FF"/>
          <w:sz w:val="22"/>
          <w:szCs w:val="22"/>
        </w:rPr>
        <w:t xml:space="preserve">the </w:t>
      </w:r>
      <w:r w:rsidR="00C45B01">
        <w:rPr>
          <w:rFonts w:ascii="Times New Roman" w:hAnsi="Times New Roman" w:cs="Times New Roman"/>
          <w:iCs/>
          <w:color w:val="0000FF"/>
          <w:sz w:val="22"/>
          <w:szCs w:val="22"/>
        </w:rPr>
        <w:t>referees</w:t>
      </w:r>
      <w:r w:rsidR="00C64426">
        <w:rPr>
          <w:rFonts w:ascii="Times New Roman" w:hAnsi="Times New Roman" w:cs="Times New Roman"/>
          <w:iCs/>
          <w:color w:val="0000FF"/>
          <w:sz w:val="22"/>
          <w:szCs w:val="22"/>
        </w:rPr>
        <w:t>.</w:t>
      </w:r>
    </w:p>
    <w:p w14:paraId="6713FB78" w14:textId="18E0B3E2" w:rsidR="00E81D4B" w:rsidRPr="00E81D4B" w:rsidRDefault="00877DC7"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 xml:space="preserve"> </w:t>
      </w:r>
    </w:p>
    <w:p w14:paraId="010528A4" w14:textId="7D9F65DE" w:rsidR="00CE0A5F" w:rsidRPr="00E81D4B" w:rsidRDefault="00CE0A5F"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Sincerely,</w:t>
      </w:r>
    </w:p>
    <w:p w14:paraId="0E4FCA71" w14:textId="77777777" w:rsidR="00E81D4B" w:rsidRPr="00E81D4B" w:rsidRDefault="00E81D4B" w:rsidP="00E81D4B">
      <w:pPr>
        <w:pStyle w:val="Heading1"/>
        <w:spacing w:before="0" w:line="240" w:lineRule="auto"/>
        <w:rPr>
          <w:rFonts w:ascii="Times New Roman" w:hAnsi="Times New Roman" w:cs="Times New Roman"/>
          <w:color w:val="0000FF"/>
          <w:sz w:val="22"/>
          <w:szCs w:val="22"/>
        </w:rPr>
      </w:pPr>
    </w:p>
    <w:p w14:paraId="3DF4C936" w14:textId="3F648504" w:rsidR="00CE0A5F" w:rsidRDefault="00A92C9C" w:rsidP="00E81D4B">
      <w:pPr>
        <w:pStyle w:val="Heading1"/>
        <w:spacing w:before="0" w:line="240" w:lineRule="auto"/>
        <w:rPr>
          <w:rFonts w:ascii="Times New Roman" w:hAnsi="Times New Roman" w:cs="Times New Roman"/>
          <w:color w:val="0000FF"/>
          <w:sz w:val="22"/>
          <w:szCs w:val="22"/>
        </w:rPr>
      </w:pPr>
      <w:r w:rsidRPr="00E81D4B">
        <w:rPr>
          <w:rFonts w:ascii="Times New Roman" w:hAnsi="Times New Roman" w:cs="Times New Roman"/>
          <w:color w:val="0000FF"/>
          <w:sz w:val="22"/>
          <w:szCs w:val="22"/>
        </w:rPr>
        <w:t>Carolin</w:t>
      </w:r>
    </w:p>
    <w:p w14:paraId="51E46264" w14:textId="77777777" w:rsidR="00C64426" w:rsidRDefault="00C64426" w:rsidP="00C64426"/>
    <w:p w14:paraId="1C00DA69" w14:textId="77777777" w:rsidR="00C64426" w:rsidRDefault="00C64426" w:rsidP="00C64426"/>
    <w:p w14:paraId="6FF7C949" w14:textId="77777777" w:rsidR="00C64426" w:rsidRDefault="00C64426" w:rsidP="00C64426"/>
    <w:p w14:paraId="16D90FA4" w14:textId="77777777" w:rsidR="003E6610" w:rsidRDefault="003E6610" w:rsidP="00C64426"/>
    <w:p w14:paraId="4E9800F5" w14:textId="77777777" w:rsidR="00C64426" w:rsidRDefault="00C64426" w:rsidP="00C64426"/>
    <w:p w14:paraId="47C37F2A" w14:textId="77777777" w:rsidR="00C64426" w:rsidRPr="00C64426" w:rsidRDefault="00C64426" w:rsidP="00C64426"/>
    <w:p w14:paraId="657F96DC" w14:textId="77777777" w:rsidR="006176DA" w:rsidRDefault="006176DA" w:rsidP="00C10E55">
      <w:pPr>
        <w:autoSpaceDE w:val="0"/>
        <w:autoSpaceDN w:val="0"/>
        <w:adjustRightInd w:val="0"/>
        <w:spacing w:after="0" w:line="240" w:lineRule="auto"/>
        <w:jc w:val="both"/>
      </w:pPr>
    </w:p>
    <w:p w14:paraId="1D385D4F" w14:textId="08DB70B5" w:rsidR="00FC7B24" w:rsidRDefault="00C10E55" w:rsidP="00C10E55">
      <w:pPr>
        <w:autoSpaceDE w:val="0"/>
        <w:autoSpaceDN w:val="0"/>
        <w:adjustRightInd w:val="0"/>
        <w:spacing w:after="0" w:line="240" w:lineRule="auto"/>
        <w:jc w:val="both"/>
        <w:rPr>
          <w:rFonts w:ascii="Times New Roman" w:hAnsi="Times New Roman" w:cs="Times New Roman"/>
          <w:b/>
          <w:bCs/>
          <w:u w:val="single"/>
        </w:rPr>
      </w:pPr>
      <w:r w:rsidRPr="00B84221">
        <w:rPr>
          <w:rFonts w:ascii="Times New Roman" w:hAnsi="Times New Roman" w:cs="Times New Roman"/>
          <w:b/>
          <w:bCs/>
          <w:u w:val="single"/>
        </w:rPr>
        <w:lastRenderedPageBreak/>
        <w:t>Responses to Associate Editor</w:t>
      </w:r>
    </w:p>
    <w:p w14:paraId="026D2786" w14:textId="77777777" w:rsidR="00767D60" w:rsidRDefault="00767D60" w:rsidP="00C10E55">
      <w:pPr>
        <w:autoSpaceDE w:val="0"/>
        <w:autoSpaceDN w:val="0"/>
        <w:adjustRightInd w:val="0"/>
        <w:spacing w:after="0" w:line="240" w:lineRule="auto"/>
        <w:jc w:val="both"/>
        <w:rPr>
          <w:rFonts w:ascii="Times New Roman" w:hAnsi="Times New Roman" w:cs="Times New Roman"/>
          <w:b/>
          <w:bCs/>
          <w:u w:val="single"/>
        </w:rPr>
      </w:pPr>
    </w:p>
    <w:p w14:paraId="6AB13120" w14:textId="15609D43" w:rsidR="00767D60" w:rsidRPr="00B84221" w:rsidRDefault="00767D60" w:rsidP="00C10E55">
      <w:pPr>
        <w:autoSpaceDE w:val="0"/>
        <w:autoSpaceDN w:val="0"/>
        <w:adjustRightInd w:val="0"/>
        <w:spacing w:after="0" w:line="240" w:lineRule="auto"/>
        <w:jc w:val="both"/>
        <w:rPr>
          <w:rFonts w:ascii="Times New Roman" w:hAnsi="Times New Roman" w:cs="Times New Roman"/>
          <w:b/>
          <w:bCs/>
          <w:u w:val="single"/>
        </w:rPr>
      </w:pPr>
      <w:r>
        <w:rPr>
          <w:rFonts w:ascii="Times New Roman" w:hAnsi="Times New Roman" w:cs="Times New Roman"/>
          <w:color w:val="0000FF"/>
        </w:rPr>
        <w:t xml:space="preserve">I would like to thank you for the opportunity to revise and resubmit this manuscript, and especially for your constructive and highly detailed feedback. These comments have enabled me to produce a revised version of the manuscript that I believe makes a much clearer contribution. </w:t>
      </w:r>
      <w:r w:rsidR="00AC103D">
        <w:rPr>
          <w:rFonts w:ascii="Times New Roman" w:hAnsi="Times New Roman" w:cs="Times New Roman"/>
          <w:iCs/>
          <w:color w:val="0000FF"/>
        </w:rPr>
        <w:t xml:space="preserve">My apologies for taking slightly longer for this revision. I had a baby in September 2024, and I believe this timeline enabled me to respond fully and carefully to your and the referees’ thoughtful comments. </w:t>
      </w:r>
    </w:p>
    <w:p w14:paraId="0CC45CAD" w14:textId="77777777" w:rsidR="009E10F4" w:rsidRPr="00C10E55" w:rsidRDefault="009E10F4" w:rsidP="00C10E55">
      <w:pPr>
        <w:autoSpaceDE w:val="0"/>
        <w:autoSpaceDN w:val="0"/>
        <w:adjustRightInd w:val="0"/>
        <w:spacing w:after="0" w:line="240" w:lineRule="auto"/>
        <w:jc w:val="both"/>
        <w:rPr>
          <w:rFonts w:ascii="Times New Roman" w:hAnsi="Times New Roman" w:cs="Times New Roman"/>
        </w:rPr>
      </w:pPr>
    </w:p>
    <w:p w14:paraId="106616A8" w14:textId="77777777"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It’s useful to start with the common threads from both reports. Both referees want to see:</w:t>
      </w:r>
    </w:p>
    <w:p w14:paraId="5D76C2F3" w14:textId="77777777" w:rsidR="00C10E55" w:rsidRPr="00C10E55" w:rsidRDefault="00C10E55" w:rsidP="00C10E55">
      <w:pPr>
        <w:adjustRightInd w:val="0"/>
        <w:spacing w:after="0" w:line="240" w:lineRule="auto"/>
        <w:rPr>
          <w:rFonts w:ascii="Times New Roman" w:hAnsi="Times New Roman" w:cs="Times New Roman"/>
        </w:rPr>
      </w:pPr>
    </w:p>
    <w:p w14:paraId="377FDAE9" w14:textId="77777777" w:rsidR="009E10F4" w:rsidRDefault="009E10F4" w:rsidP="00C10E55">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Better positioning of the manuscript in the literature, both in relation to the author’s earlier publications and other relevant contributions (a few scattered comments across the footnotes won’t suffice).</w:t>
      </w:r>
    </w:p>
    <w:p w14:paraId="55E24DBB"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8469D34" w14:textId="0F5D9945" w:rsidR="00555A5B" w:rsidRDefault="00555A5B"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767D60">
        <w:rPr>
          <w:rFonts w:ascii="Times New Roman" w:hAnsi="Times New Roman" w:cs="Times New Roman"/>
          <w:color w:val="0000FF"/>
        </w:rPr>
        <w:t xml:space="preserve">I substantially re-wrote the introduction. The revised </w:t>
      </w:r>
      <w:r w:rsidRPr="00C10E55">
        <w:rPr>
          <w:rFonts w:ascii="Times New Roman" w:hAnsi="Times New Roman" w:cs="Times New Roman"/>
          <w:color w:val="0000FF"/>
        </w:rPr>
        <w:t xml:space="preserve">introduction now contains an updated discussion of how the manuscript relates to the literature, both in terms of my own prior work and other authors’ contributions. </w:t>
      </w:r>
      <w:r w:rsidR="00767D60">
        <w:rPr>
          <w:rFonts w:ascii="Times New Roman" w:hAnsi="Times New Roman" w:cs="Times New Roman"/>
          <w:color w:val="0000FF"/>
        </w:rPr>
        <w:t xml:space="preserve">See the </w:t>
      </w:r>
      <w:r w:rsidR="00767D60" w:rsidRPr="00767D60">
        <w:rPr>
          <w:rFonts w:ascii="Times New Roman" w:hAnsi="Times New Roman" w:cs="Times New Roman"/>
          <w:b/>
          <w:bCs/>
          <w:color w:val="0000FF"/>
        </w:rPr>
        <w:t>third paragraph on p.1</w:t>
      </w:r>
      <w:r w:rsidR="00767D60">
        <w:rPr>
          <w:rFonts w:ascii="Times New Roman" w:hAnsi="Times New Roman" w:cs="Times New Roman"/>
          <w:color w:val="0000FF"/>
        </w:rPr>
        <w:t xml:space="preserve"> and the broader literature discussion starting at the bottom of </w:t>
      </w:r>
      <w:r w:rsidR="00767D60" w:rsidRPr="00BC01A9">
        <w:rPr>
          <w:rFonts w:ascii="Times New Roman" w:hAnsi="Times New Roman" w:cs="Times New Roman"/>
          <w:b/>
          <w:bCs/>
          <w:color w:val="0000FF"/>
        </w:rPr>
        <w:t>p.4</w:t>
      </w:r>
      <w:r w:rsidR="00767D60">
        <w:rPr>
          <w:rFonts w:ascii="Times New Roman" w:hAnsi="Times New Roman" w:cs="Times New Roman"/>
          <w:color w:val="0000FF"/>
        </w:rPr>
        <w:t xml:space="preserve"> (</w:t>
      </w:r>
      <w:r w:rsidR="00767D60" w:rsidRPr="00767D60">
        <w:rPr>
          <w:rFonts w:ascii="Times New Roman" w:hAnsi="Times New Roman" w:cs="Times New Roman"/>
          <w:b/>
          <w:bCs/>
          <w:color w:val="0000FF"/>
        </w:rPr>
        <w:t>“This paper contains distinct contributions over the literature (…)”</w:t>
      </w:r>
      <w:r w:rsidR="00767D60" w:rsidRPr="00767D60">
        <w:rPr>
          <w:rFonts w:ascii="Times New Roman" w:hAnsi="Times New Roman" w:cs="Times New Roman"/>
          <w:color w:val="0000FF"/>
        </w:rPr>
        <w:t>).</w:t>
      </w:r>
      <w:r w:rsidR="00DD1854">
        <w:rPr>
          <w:rFonts w:ascii="Times New Roman" w:hAnsi="Times New Roman" w:cs="Times New Roman"/>
          <w:color w:val="0000FF"/>
        </w:rPr>
        <w:t xml:space="preserve"> For a more detailed response, see my reply to your comment 1. </w:t>
      </w:r>
      <w:r w:rsidR="008568FD">
        <w:rPr>
          <w:rFonts w:ascii="Times New Roman" w:hAnsi="Times New Roman" w:cs="Times New Roman"/>
          <w:color w:val="0000FF"/>
        </w:rPr>
        <w:t>b</w:t>
      </w:r>
      <w:r w:rsidR="00DD1854">
        <w:rPr>
          <w:rFonts w:ascii="Times New Roman" w:hAnsi="Times New Roman" w:cs="Times New Roman"/>
          <w:color w:val="0000FF"/>
        </w:rPr>
        <w:t xml:space="preserve">elow. </w:t>
      </w:r>
    </w:p>
    <w:p w14:paraId="76814516" w14:textId="77777777" w:rsidR="00555A5B" w:rsidRPr="00C10E55" w:rsidRDefault="00555A5B" w:rsidP="003045B9">
      <w:pPr>
        <w:autoSpaceDE w:val="0"/>
        <w:autoSpaceDN w:val="0"/>
        <w:adjustRightInd w:val="0"/>
        <w:spacing w:after="0" w:line="240" w:lineRule="auto"/>
        <w:rPr>
          <w:rFonts w:ascii="Times New Roman" w:hAnsi="Times New Roman" w:cs="Times New Roman"/>
          <w:color w:val="0000FF"/>
        </w:rPr>
      </w:pPr>
    </w:p>
    <w:p w14:paraId="28B7552D" w14:textId="1791CAB4" w:rsidR="003904DA" w:rsidRDefault="009E10F4" w:rsidP="003904DA">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A more extensive discussion/defense of the calibration of the monetary policy side of the economy across the two sub-periods, especially for the first portion of the sample, which the author uses as an example of a time dominated by supply-side shocks.</w:t>
      </w:r>
    </w:p>
    <w:p w14:paraId="35CA6B8C" w14:textId="77777777" w:rsidR="003904DA" w:rsidRDefault="003904DA" w:rsidP="003904DA">
      <w:pPr>
        <w:widowControl w:val="0"/>
        <w:autoSpaceDE w:val="0"/>
        <w:autoSpaceDN w:val="0"/>
        <w:adjustRightInd w:val="0"/>
        <w:spacing w:after="0" w:line="240" w:lineRule="auto"/>
        <w:rPr>
          <w:rFonts w:ascii="Times New Roman" w:hAnsi="Times New Roman" w:cs="Times New Roman"/>
        </w:rPr>
      </w:pPr>
    </w:p>
    <w:p w14:paraId="5FC9597F" w14:textId="6BB26F94" w:rsidR="003904DA" w:rsidRPr="003904DA" w:rsidRDefault="003904DA" w:rsidP="003904DA">
      <w:pPr>
        <w:widowControl w:val="0"/>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E52FDD">
        <w:rPr>
          <w:rFonts w:ascii="Times New Roman" w:hAnsi="Times New Roman" w:cs="Times New Roman"/>
          <w:color w:val="0000FF"/>
        </w:rPr>
        <w:t xml:space="preserve">Following your suggestion, I added the </w:t>
      </w:r>
      <w:r w:rsidR="00E52FDD" w:rsidRPr="00461B63">
        <w:rPr>
          <w:rFonts w:ascii="Times New Roman" w:hAnsi="Times New Roman" w:cs="Times New Roman"/>
          <w:b/>
          <w:bCs/>
          <w:color w:val="0000FF"/>
        </w:rPr>
        <w:t>new Figure 8</w:t>
      </w:r>
      <w:r w:rsidR="00E52FDD">
        <w:rPr>
          <w:rFonts w:ascii="Times New Roman" w:hAnsi="Times New Roman" w:cs="Times New Roman"/>
          <w:color w:val="0000FF"/>
        </w:rPr>
        <w:t xml:space="preserve"> </w:t>
      </w:r>
      <w:r w:rsidR="00E52FDD" w:rsidRPr="00461B63">
        <w:rPr>
          <w:rFonts w:ascii="Times New Roman" w:hAnsi="Times New Roman" w:cs="Times New Roman"/>
          <w:color w:val="0000FF"/>
        </w:rPr>
        <w:t>showing that a</w:t>
      </w:r>
      <w:r w:rsidR="00E52FDD" w:rsidRPr="00980B93">
        <w:rPr>
          <w:rFonts w:ascii="Times New Roman" w:hAnsi="Times New Roman" w:cs="Times New Roman"/>
          <w:b/>
          <w:bCs/>
          <w:color w:val="0000FF"/>
        </w:rPr>
        <w:t xml:space="preserve"> high volatility of supply shocks is needed to replicate the bond-stock betas </w:t>
      </w:r>
      <w:r w:rsidR="00E52FDD">
        <w:rPr>
          <w:rFonts w:ascii="Times New Roman" w:hAnsi="Times New Roman" w:cs="Times New Roman"/>
          <w:b/>
          <w:bCs/>
          <w:color w:val="0000FF"/>
        </w:rPr>
        <w:t>of</w:t>
      </w:r>
      <w:r w:rsidR="00E52FDD" w:rsidRPr="00980B93">
        <w:rPr>
          <w:rFonts w:ascii="Times New Roman" w:hAnsi="Times New Roman" w:cs="Times New Roman"/>
          <w:b/>
          <w:bCs/>
          <w:color w:val="0000FF"/>
        </w:rPr>
        <w:t xml:space="preserve"> the first subperiod starting from the second subperiod</w:t>
      </w:r>
      <w:r w:rsidR="00E52FDD">
        <w:rPr>
          <w:rFonts w:ascii="Times New Roman" w:hAnsi="Times New Roman" w:cs="Times New Roman"/>
          <w:color w:val="0000FF"/>
        </w:rPr>
        <w:t xml:space="preserve">. The revised paper also includes new examples and references for supply shocks during the 1980s and 1990s, such as the sudden drop in oil prices in 1986. I also added a newspaper count exercise in the </w:t>
      </w:r>
      <w:r w:rsidR="00E52FDD" w:rsidRPr="00C64426">
        <w:rPr>
          <w:rFonts w:ascii="Times New Roman" w:hAnsi="Times New Roman" w:cs="Times New Roman"/>
          <w:b/>
          <w:bCs/>
          <w:color w:val="0000FF"/>
        </w:rPr>
        <w:t>new Appendix Figure A1</w:t>
      </w:r>
      <w:r w:rsidR="00E52FDD">
        <w:rPr>
          <w:rFonts w:ascii="Times New Roman" w:hAnsi="Times New Roman" w:cs="Times New Roman"/>
          <w:color w:val="0000FF"/>
        </w:rPr>
        <w:t xml:space="preserve"> showing that supply shocks were a substantial concern during the 1980s and 1990s. </w:t>
      </w:r>
      <w:r w:rsidR="00AC5099">
        <w:rPr>
          <w:rFonts w:ascii="Times New Roman" w:hAnsi="Times New Roman" w:cs="Times New Roman"/>
          <w:color w:val="0000FF"/>
        </w:rPr>
        <w:t>For a more detailed response, see my reply to your comment 3. below.</w:t>
      </w:r>
    </w:p>
    <w:p w14:paraId="015C964F"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0591A68" w14:textId="2B4745F0"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If you decide to invite a resubmission, it should be made clear that the author must convincingly address these two points to have a chance at eventual publication in this Journal.</w:t>
      </w:r>
      <w:r w:rsidR="001E7523" w:rsidRPr="00C10E55">
        <w:rPr>
          <w:rFonts w:ascii="Times New Roman" w:hAnsi="Times New Roman" w:cs="Times New Roman"/>
        </w:rPr>
        <w:t xml:space="preserve"> </w:t>
      </w:r>
      <w:r w:rsidRPr="00C10E55">
        <w:rPr>
          <w:rFonts w:ascii="Times New Roman" w:hAnsi="Times New Roman" w:cs="Times New Roman"/>
        </w:rPr>
        <w:t>The more negative referee raises several additional relevant points that the author should carefully address:</w:t>
      </w:r>
    </w:p>
    <w:p w14:paraId="6DDDF889" w14:textId="77777777" w:rsidR="00C10E55" w:rsidRPr="00C10E55" w:rsidRDefault="00C10E55" w:rsidP="00C10E55">
      <w:pPr>
        <w:adjustRightInd w:val="0"/>
        <w:spacing w:after="0" w:line="240" w:lineRule="auto"/>
        <w:rPr>
          <w:rFonts w:ascii="Times New Roman" w:hAnsi="Times New Roman" w:cs="Times New Roman"/>
        </w:rPr>
      </w:pPr>
    </w:p>
    <w:p w14:paraId="6556E31E" w14:textId="2467E40E" w:rsidR="009E10F4" w:rsidRPr="00C10E55"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B31974">
        <w:rPr>
          <w:rFonts w:ascii="Times New Roman" w:hAnsi="Times New Roman" w:cs="Times New Roman"/>
        </w:rPr>
        <w:t>The manuscript builds heavily on some of the author’s earlier contributions. While I certainly agree on this point, I do not concur with the conclusion that this diminishes the relevance of the current work to the point of not being worthy of publication in a top finance journal. The paper analyzes an important empirical question: why didn’t the stock-risk exposures of nominal and real bonds change during the recent spike in inflation, despite perceived similarities with the 1970s and 1980s? The</w:t>
      </w:r>
      <w:r w:rsidRPr="00C10E55">
        <w:rPr>
          <w:rFonts w:ascii="Times New Roman" w:hAnsi="Times New Roman" w:cs="Times New Roman"/>
        </w:rPr>
        <w:t xml:space="preserve"> author answers this by estimating an equilibrium model across two subsamples, showing that the real and nominal sides of the economy have changed so much in the last 20 years that altering one set of parameters at a time (to match those of the earlier years) isn’t enough to revert the risk exposures. It takes a “perfect storm” (as the author puts it) to make nominal and real bonds as risky as they used to be. This is a potentially important point in the asset pricing literature, one, in my opinion, not automatically inferred from the author’s earlier papers. However, it’s paramount that the author </w:t>
      </w:r>
      <w:r w:rsidRPr="00C10E55">
        <w:rPr>
          <w:rFonts w:ascii="Times New Roman" w:hAnsi="Times New Roman" w:cs="Times New Roman"/>
        </w:rPr>
        <w:lastRenderedPageBreak/>
        <w:t>provides a compelling argument about why the previous papers aren’t enough to fully examine this empirical fact in both the response and the next draft.</w:t>
      </w:r>
    </w:p>
    <w:p w14:paraId="2EEF60B2" w14:textId="77777777" w:rsidR="001965F2" w:rsidRPr="00C10E55" w:rsidRDefault="001965F2"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69408B6C" w14:textId="62161962" w:rsidR="00EC7692" w:rsidRDefault="000141B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Thank you for th</w:t>
      </w:r>
      <w:r w:rsidR="00825167">
        <w:rPr>
          <w:rFonts w:ascii="Times New Roman" w:hAnsi="Times New Roman" w:cs="Times New Roman"/>
          <w:color w:val="0000FF"/>
        </w:rPr>
        <w:t>ese</w:t>
      </w:r>
      <w:r w:rsidRPr="00C10E55">
        <w:rPr>
          <w:rFonts w:ascii="Times New Roman" w:hAnsi="Times New Roman" w:cs="Times New Roman"/>
          <w:color w:val="0000FF"/>
        </w:rPr>
        <w:t xml:space="preserve"> fantastic suggestion</w:t>
      </w:r>
      <w:r w:rsidR="00825167">
        <w:rPr>
          <w:rFonts w:ascii="Times New Roman" w:hAnsi="Times New Roman" w:cs="Times New Roman"/>
          <w:color w:val="0000FF"/>
        </w:rPr>
        <w:t>s</w:t>
      </w:r>
      <w:r w:rsidRPr="00C10E55">
        <w:rPr>
          <w:rFonts w:ascii="Times New Roman" w:hAnsi="Times New Roman" w:cs="Times New Roman"/>
          <w:color w:val="0000FF"/>
        </w:rPr>
        <w:t xml:space="preserve">. </w:t>
      </w:r>
      <w:r w:rsidR="00B562AD" w:rsidRPr="00C10E55">
        <w:rPr>
          <w:rFonts w:ascii="Times New Roman" w:hAnsi="Times New Roman" w:cs="Times New Roman"/>
          <w:color w:val="0000FF"/>
        </w:rPr>
        <w:t xml:space="preserve">I </w:t>
      </w:r>
      <w:r w:rsidR="00184BF9">
        <w:rPr>
          <w:rFonts w:ascii="Times New Roman" w:hAnsi="Times New Roman" w:cs="Times New Roman"/>
          <w:color w:val="0000FF"/>
        </w:rPr>
        <w:t>substantially re-wrote the introduction to clarify the contribution of this paper relative to my own prior work and the broader literature on bond-stock comovements.</w:t>
      </w:r>
      <w:r w:rsidR="001420AE">
        <w:rPr>
          <w:rFonts w:ascii="Times New Roman" w:hAnsi="Times New Roman" w:cs="Times New Roman"/>
          <w:color w:val="0000FF"/>
        </w:rPr>
        <w:t xml:space="preserve"> </w:t>
      </w:r>
      <w:r w:rsidR="00EC7692">
        <w:rPr>
          <w:rFonts w:ascii="Times New Roman" w:hAnsi="Times New Roman" w:cs="Times New Roman"/>
          <w:color w:val="0000FF"/>
        </w:rPr>
        <w:t xml:space="preserve">The main changes can be found in the following </w:t>
      </w:r>
      <w:r w:rsidR="00C8674B">
        <w:rPr>
          <w:rFonts w:ascii="Times New Roman" w:hAnsi="Times New Roman" w:cs="Times New Roman"/>
          <w:color w:val="0000FF"/>
        </w:rPr>
        <w:t>locations</w:t>
      </w:r>
      <w:r w:rsidR="00EC7692">
        <w:rPr>
          <w:rFonts w:ascii="Times New Roman" w:hAnsi="Times New Roman" w:cs="Times New Roman"/>
          <w:color w:val="0000FF"/>
        </w:rPr>
        <w:t xml:space="preserve">: </w:t>
      </w:r>
    </w:p>
    <w:p w14:paraId="54C66A96" w14:textId="77777777" w:rsidR="006D7E54" w:rsidRDefault="006D7E54"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AEA70B2" w14:textId="77777777" w:rsidR="00B31974" w:rsidRDefault="00B31974" w:rsidP="00B31974">
      <w:pPr>
        <w:pStyle w:val="ListParagraph"/>
        <w:widowControl w:val="0"/>
        <w:numPr>
          <w:ilvl w:val="0"/>
          <w:numId w:val="28"/>
        </w:numPr>
        <w:autoSpaceDE w:val="0"/>
        <w:autoSpaceDN w:val="0"/>
        <w:adjustRightInd w:val="0"/>
        <w:spacing w:before="240" w:after="0" w:line="240" w:lineRule="auto"/>
        <w:jc w:val="both"/>
        <w:rPr>
          <w:rFonts w:ascii="Times New Roman" w:hAnsi="Times New Roman" w:cs="Times New Roman"/>
          <w:color w:val="0000FF"/>
        </w:rPr>
      </w:pPr>
      <w:r w:rsidRPr="00B31974">
        <w:rPr>
          <w:rFonts w:ascii="Times New Roman" w:hAnsi="Times New Roman" w:cs="Times New Roman"/>
          <w:color w:val="0000FF"/>
        </w:rPr>
        <w:t xml:space="preserve">I revised the </w:t>
      </w:r>
      <w:r w:rsidRPr="00B31974">
        <w:rPr>
          <w:rFonts w:ascii="Times New Roman" w:hAnsi="Times New Roman" w:cs="Times New Roman"/>
          <w:b/>
          <w:bCs/>
          <w:color w:val="0000FF"/>
        </w:rPr>
        <w:t>first paragraph of the introduction</w:t>
      </w:r>
      <w:r w:rsidRPr="00B31974">
        <w:rPr>
          <w:rFonts w:ascii="Times New Roman" w:hAnsi="Times New Roman" w:cs="Times New Roman"/>
          <w:color w:val="0000FF"/>
        </w:rPr>
        <w:t xml:space="preserve"> to state the new empirical puzzle up-front, following your suggestion. Here, I say </w:t>
      </w:r>
    </w:p>
    <w:p w14:paraId="59E7D03A" w14:textId="77777777" w:rsidR="006D7E54" w:rsidRDefault="006D7E54" w:rsidP="006D7E54">
      <w:pPr>
        <w:pStyle w:val="ListParagraph"/>
        <w:widowControl w:val="0"/>
        <w:autoSpaceDE w:val="0"/>
        <w:autoSpaceDN w:val="0"/>
        <w:adjustRightInd w:val="0"/>
        <w:spacing w:before="240" w:after="0" w:line="240" w:lineRule="auto"/>
        <w:ind w:left="1080"/>
        <w:jc w:val="both"/>
        <w:rPr>
          <w:rFonts w:ascii="Times New Roman" w:hAnsi="Times New Roman" w:cs="Times New Roman"/>
          <w:color w:val="0000FF"/>
        </w:rPr>
      </w:pPr>
    </w:p>
    <w:p w14:paraId="0F918E42" w14:textId="301F2D84" w:rsidR="00B31974" w:rsidRDefault="00B31974" w:rsidP="00B31974">
      <w:pPr>
        <w:pStyle w:val="ListParagraph"/>
        <w:widowControl w:val="0"/>
        <w:autoSpaceDE w:val="0"/>
        <w:autoSpaceDN w:val="0"/>
        <w:adjustRightInd w:val="0"/>
        <w:spacing w:before="240" w:after="0" w:line="240" w:lineRule="auto"/>
        <w:ind w:left="1800"/>
        <w:jc w:val="both"/>
        <w:rPr>
          <w:rFonts w:ascii="Times New Roman" w:hAnsi="Times New Roman" w:cs="Times New Roman"/>
          <w:color w:val="0000FF"/>
        </w:rPr>
      </w:pPr>
      <w:r w:rsidRPr="00B31974">
        <w:rPr>
          <w:rFonts w:ascii="Times New Roman" w:hAnsi="Times New Roman" w:cs="Times New Roman"/>
          <w:color w:val="0000FF"/>
        </w:rPr>
        <w:t>“</w:t>
      </w:r>
      <w:r w:rsidR="00B2068D">
        <w:rPr>
          <w:rFonts w:ascii="Times New Roman" w:hAnsi="Times New Roman" w:cs="Times New Roman"/>
          <w:color w:val="0000FF"/>
        </w:rPr>
        <w:t xml:space="preserve">Maybe surprisingly, </w:t>
      </w:r>
      <w:r w:rsidRPr="00B31974">
        <w:rPr>
          <w:rFonts w:ascii="Times New Roman" w:hAnsi="Times New Roman" w:cs="Times New Roman"/>
          <w:color w:val="0000FF"/>
        </w:rPr>
        <w:t>Figure 1 newly shows that nominal bond-stock betas remained negative for much of the inflationary post-pandemic period. This raises the question why -- different from the 1980s -- nominal bond-stock betas did not rise during the recent spike in inflation, despite perceived macroeconomic similarities.”</w:t>
      </w:r>
    </w:p>
    <w:p w14:paraId="12BA6FAB" w14:textId="77777777" w:rsidR="006D7E54" w:rsidRPr="00B31974" w:rsidRDefault="006D7E54" w:rsidP="00B31974">
      <w:pPr>
        <w:pStyle w:val="ListParagraph"/>
        <w:widowControl w:val="0"/>
        <w:autoSpaceDE w:val="0"/>
        <w:autoSpaceDN w:val="0"/>
        <w:adjustRightInd w:val="0"/>
        <w:spacing w:before="240" w:after="0" w:line="240" w:lineRule="auto"/>
        <w:ind w:left="1800"/>
        <w:jc w:val="both"/>
        <w:rPr>
          <w:rFonts w:ascii="Times New Roman" w:hAnsi="Times New Roman" w:cs="Times New Roman"/>
          <w:color w:val="0000FF"/>
        </w:rPr>
      </w:pPr>
    </w:p>
    <w:p w14:paraId="0902FC1A" w14:textId="30322A67" w:rsidR="00EC7692" w:rsidRDefault="00184BF9"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The paper’s </w:t>
      </w:r>
      <w:r w:rsidR="00B562AD" w:rsidRPr="00C10E55">
        <w:rPr>
          <w:rFonts w:ascii="Times New Roman" w:hAnsi="Times New Roman" w:cs="Times New Roman"/>
          <w:color w:val="0000FF"/>
        </w:rPr>
        <w:t xml:space="preserve">main </w:t>
      </w:r>
      <w:r w:rsidR="009413BE" w:rsidRPr="00C10E55">
        <w:rPr>
          <w:rFonts w:ascii="Times New Roman" w:hAnsi="Times New Roman" w:cs="Times New Roman"/>
          <w:color w:val="0000FF"/>
        </w:rPr>
        <w:t>conclusion that a “perfect storm” is needed</w:t>
      </w:r>
      <w:r w:rsidR="00B562AD" w:rsidRPr="00C10E55">
        <w:rPr>
          <w:rFonts w:ascii="Times New Roman" w:hAnsi="Times New Roman" w:cs="Times New Roman"/>
          <w:color w:val="0000FF"/>
        </w:rPr>
        <w:t xml:space="preserve"> is now </w:t>
      </w:r>
      <w:r w:rsidR="009413BE" w:rsidRPr="00C10E55">
        <w:rPr>
          <w:rFonts w:ascii="Times New Roman" w:hAnsi="Times New Roman" w:cs="Times New Roman"/>
          <w:color w:val="0000FF"/>
        </w:rPr>
        <w:t xml:space="preserve">stated up-front </w:t>
      </w:r>
      <w:r w:rsidR="00B562AD" w:rsidRPr="00C10E55">
        <w:rPr>
          <w:rFonts w:ascii="Times New Roman" w:hAnsi="Times New Roman" w:cs="Times New Roman"/>
          <w:color w:val="0000FF"/>
        </w:rPr>
        <w:t xml:space="preserve">at the beginning of the introduction </w:t>
      </w:r>
      <w:r w:rsidR="006C7784" w:rsidRPr="001420AE">
        <w:rPr>
          <w:rFonts w:ascii="Times New Roman" w:hAnsi="Times New Roman" w:cs="Times New Roman"/>
          <w:color w:val="0000FF"/>
        </w:rPr>
        <w:t>(</w:t>
      </w:r>
      <w:r w:rsidR="00193958" w:rsidRPr="00193958">
        <w:rPr>
          <w:rFonts w:ascii="Times New Roman" w:hAnsi="Times New Roman" w:cs="Times New Roman"/>
          <w:b/>
          <w:bCs/>
          <w:color w:val="0000FF"/>
        </w:rPr>
        <w:t>see</w:t>
      </w:r>
      <w:r w:rsidR="00193958">
        <w:rPr>
          <w:rFonts w:ascii="Times New Roman" w:hAnsi="Times New Roman" w:cs="Times New Roman"/>
          <w:color w:val="0000FF"/>
        </w:rPr>
        <w:t xml:space="preserve"> </w:t>
      </w:r>
      <w:r w:rsidR="006C7784" w:rsidRPr="00C10E55">
        <w:rPr>
          <w:rFonts w:ascii="Times New Roman" w:hAnsi="Times New Roman" w:cs="Times New Roman"/>
          <w:b/>
          <w:bCs/>
          <w:color w:val="0000FF"/>
        </w:rPr>
        <w:t>p.1, paragraph starting “</w:t>
      </w:r>
      <w:r w:rsidRPr="00184BF9">
        <w:rPr>
          <w:rFonts w:ascii="Times New Roman" w:hAnsi="Times New Roman" w:cs="Times New Roman"/>
          <w:b/>
          <w:bCs/>
          <w:color w:val="0000FF"/>
        </w:rPr>
        <w:t>Calibrating a New Keynesian equilibrium model</w:t>
      </w:r>
      <w:r w:rsidRPr="00C10E55">
        <w:rPr>
          <w:rFonts w:ascii="Times New Roman" w:hAnsi="Times New Roman" w:cs="Times New Roman"/>
          <w:b/>
          <w:bCs/>
          <w:color w:val="0000FF"/>
        </w:rPr>
        <w:t xml:space="preserve"> </w:t>
      </w:r>
      <w:r w:rsidR="006C7784" w:rsidRPr="00C10E55">
        <w:rPr>
          <w:rFonts w:ascii="Times New Roman" w:hAnsi="Times New Roman" w:cs="Times New Roman"/>
          <w:b/>
          <w:bCs/>
          <w:color w:val="0000FF"/>
        </w:rPr>
        <w:t>(…)”</w:t>
      </w:r>
      <w:r w:rsidR="006C7784" w:rsidRPr="00C10E55">
        <w:rPr>
          <w:rFonts w:ascii="Times New Roman" w:hAnsi="Times New Roman" w:cs="Times New Roman"/>
          <w:color w:val="0000FF"/>
        </w:rPr>
        <w:t xml:space="preserve">). </w:t>
      </w:r>
    </w:p>
    <w:p w14:paraId="54C10A35" w14:textId="77777777" w:rsidR="006D7E54" w:rsidRDefault="006D7E54" w:rsidP="006D7E54">
      <w:pPr>
        <w:pStyle w:val="ListParagraph"/>
        <w:widowControl w:val="0"/>
        <w:autoSpaceDE w:val="0"/>
        <w:autoSpaceDN w:val="0"/>
        <w:adjustRightInd w:val="0"/>
        <w:spacing w:after="0" w:line="240" w:lineRule="auto"/>
        <w:ind w:left="1080"/>
        <w:rPr>
          <w:rFonts w:ascii="Times New Roman" w:hAnsi="Times New Roman" w:cs="Times New Roman"/>
          <w:color w:val="0000FF"/>
        </w:rPr>
      </w:pPr>
    </w:p>
    <w:p w14:paraId="35FD33C9" w14:textId="0EE846E1" w:rsidR="00EC7692" w:rsidRDefault="00EC7692"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O</w:t>
      </w:r>
      <w:r w:rsidR="001420AE" w:rsidRPr="00EC7692">
        <w:rPr>
          <w:rFonts w:ascii="Times New Roman" w:hAnsi="Times New Roman" w:cs="Times New Roman"/>
          <w:color w:val="0000FF"/>
        </w:rPr>
        <w:t xml:space="preserve">n </w:t>
      </w:r>
      <w:r w:rsidR="001420AE" w:rsidRPr="00EC7692">
        <w:rPr>
          <w:rFonts w:ascii="Times New Roman" w:hAnsi="Times New Roman" w:cs="Times New Roman"/>
          <w:b/>
          <w:bCs/>
          <w:color w:val="0000FF"/>
        </w:rPr>
        <w:t>p.1</w:t>
      </w:r>
      <w:r w:rsidR="001420AE" w:rsidRPr="00EC7692">
        <w:rPr>
          <w:rFonts w:ascii="Times New Roman" w:hAnsi="Times New Roman" w:cs="Times New Roman"/>
          <w:color w:val="0000FF"/>
        </w:rPr>
        <w:t xml:space="preserve"> of the introduction, I now </w:t>
      </w:r>
      <w:r w:rsidR="00C27D1D" w:rsidRPr="00EC7692">
        <w:rPr>
          <w:rFonts w:ascii="Times New Roman" w:hAnsi="Times New Roman" w:cs="Times New Roman"/>
          <w:color w:val="0000FF"/>
        </w:rPr>
        <w:t xml:space="preserve">state </w:t>
      </w:r>
      <w:r w:rsidR="001420AE" w:rsidRPr="00EC7692">
        <w:rPr>
          <w:rFonts w:ascii="Times New Roman" w:hAnsi="Times New Roman" w:cs="Times New Roman"/>
          <w:color w:val="0000FF"/>
        </w:rPr>
        <w:t>how the model in this paper is different from the literature</w:t>
      </w:r>
      <w:r w:rsidR="00B60F5D">
        <w:rPr>
          <w:rFonts w:ascii="Times New Roman" w:hAnsi="Times New Roman" w:cs="Times New Roman"/>
          <w:color w:val="0000FF"/>
        </w:rPr>
        <w:t>,</w:t>
      </w:r>
      <w:r w:rsidR="001420AE" w:rsidRPr="00EC7692">
        <w:rPr>
          <w:rFonts w:ascii="Times New Roman" w:hAnsi="Times New Roman" w:cs="Times New Roman"/>
          <w:color w:val="0000FF"/>
        </w:rPr>
        <w:t xml:space="preserve"> and in particular my own prior work </w:t>
      </w:r>
      <w:r w:rsidR="006C7784" w:rsidRPr="00EC7692">
        <w:rPr>
          <w:rFonts w:ascii="Times New Roman" w:hAnsi="Times New Roman" w:cs="Times New Roman"/>
          <w:color w:val="0000FF"/>
        </w:rPr>
        <w:t>(</w:t>
      </w:r>
      <w:r w:rsidR="00193958" w:rsidRPr="00EC7692">
        <w:rPr>
          <w:rFonts w:ascii="Times New Roman" w:hAnsi="Times New Roman" w:cs="Times New Roman"/>
          <w:b/>
          <w:bCs/>
          <w:color w:val="0000FF"/>
        </w:rPr>
        <w:t xml:space="preserve">see </w:t>
      </w:r>
      <w:r w:rsidR="006C7784" w:rsidRPr="00EC7692">
        <w:rPr>
          <w:rFonts w:ascii="Times New Roman" w:hAnsi="Times New Roman" w:cs="Times New Roman"/>
          <w:b/>
          <w:bCs/>
          <w:color w:val="0000FF"/>
        </w:rPr>
        <w:t>p.</w:t>
      </w:r>
      <w:r w:rsidR="00B562AD" w:rsidRPr="00EC7692">
        <w:rPr>
          <w:rFonts w:ascii="Times New Roman" w:hAnsi="Times New Roman" w:cs="Times New Roman"/>
          <w:b/>
          <w:bCs/>
          <w:color w:val="0000FF"/>
        </w:rPr>
        <w:t>1</w:t>
      </w:r>
      <w:r w:rsidR="006C7784" w:rsidRPr="00EC7692">
        <w:rPr>
          <w:rFonts w:ascii="Times New Roman" w:hAnsi="Times New Roman" w:cs="Times New Roman"/>
          <w:b/>
          <w:bCs/>
          <w:color w:val="0000FF"/>
        </w:rPr>
        <w:t xml:space="preserve">, paragraph starting </w:t>
      </w:r>
      <w:r w:rsidR="001420AE" w:rsidRPr="00EC7692">
        <w:rPr>
          <w:rFonts w:ascii="Times New Roman" w:hAnsi="Times New Roman" w:cs="Times New Roman"/>
          <w:b/>
          <w:bCs/>
          <w:color w:val="0000FF"/>
        </w:rPr>
        <w:t>“Despite the substantial literature studying historical bond-stock comovements (…)</w:t>
      </w:r>
      <w:r w:rsidR="006C7784" w:rsidRPr="00EC7692">
        <w:rPr>
          <w:rFonts w:ascii="Times New Roman" w:hAnsi="Times New Roman" w:cs="Times New Roman"/>
          <w:b/>
          <w:bCs/>
          <w:color w:val="0000FF"/>
        </w:rPr>
        <w:t>”</w:t>
      </w:r>
      <w:r w:rsidR="006C7784" w:rsidRPr="00EC7692">
        <w:rPr>
          <w:rFonts w:ascii="Times New Roman" w:hAnsi="Times New Roman" w:cs="Times New Roman"/>
          <w:color w:val="0000FF"/>
        </w:rPr>
        <w:t xml:space="preserve">). </w:t>
      </w:r>
      <w:r w:rsidR="00C27D1D" w:rsidRPr="00EC7692">
        <w:rPr>
          <w:rFonts w:ascii="Times New Roman" w:hAnsi="Times New Roman" w:cs="Times New Roman"/>
          <w:color w:val="0000FF"/>
        </w:rPr>
        <w:t xml:space="preserve"> </w:t>
      </w:r>
    </w:p>
    <w:p w14:paraId="0CFDEB8B" w14:textId="77777777" w:rsidR="006D7E54" w:rsidRPr="006D7E54" w:rsidRDefault="006D7E54" w:rsidP="006D7E54">
      <w:pPr>
        <w:widowControl w:val="0"/>
        <w:autoSpaceDE w:val="0"/>
        <w:autoSpaceDN w:val="0"/>
        <w:adjustRightInd w:val="0"/>
        <w:spacing w:after="0" w:line="240" w:lineRule="auto"/>
        <w:rPr>
          <w:rFonts w:ascii="Times New Roman" w:hAnsi="Times New Roman" w:cs="Times New Roman"/>
          <w:color w:val="0000FF"/>
        </w:rPr>
      </w:pPr>
    </w:p>
    <w:p w14:paraId="2820ACFD" w14:textId="1FD1BBC6" w:rsidR="00EC7692" w:rsidRDefault="00EC7692"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A </w:t>
      </w:r>
      <w:r w:rsidR="00C27D1D" w:rsidRPr="00EC7692">
        <w:rPr>
          <w:rFonts w:ascii="Times New Roman" w:hAnsi="Times New Roman" w:cs="Times New Roman"/>
          <w:color w:val="0000FF"/>
        </w:rPr>
        <w:t xml:space="preserve">more detailed discussion of how this </w:t>
      </w:r>
      <w:r w:rsidR="00B60F5D">
        <w:rPr>
          <w:rFonts w:ascii="Times New Roman" w:hAnsi="Times New Roman" w:cs="Times New Roman"/>
          <w:color w:val="0000FF"/>
        </w:rPr>
        <w:t>manuscript</w:t>
      </w:r>
      <w:r w:rsidR="00C27D1D" w:rsidRPr="00EC7692">
        <w:rPr>
          <w:rFonts w:ascii="Times New Roman" w:hAnsi="Times New Roman" w:cs="Times New Roman"/>
          <w:color w:val="0000FF"/>
        </w:rPr>
        <w:t xml:space="preserve"> contributes over the existing literature follows on </w:t>
      </w:r>
      <w:r w:rsidR="00C27D1D" w:rsidRPr="00EC7692">
        <w:rPr>
          <w:rFonts w:ascii="Times New Roman" w:hAnsi="Times New Roman" w:cs="Times New Roman"/>
          <w:b/>
          <w:bCs/>
          <w:color w:val="0000FF"/>
        </w:rPr>
        <w:t>pp.4-6</w:t>
      </w:r>
      <w:r w:rsidR="00C27D1D" w:rsidRPr="00EC7692">
        <w:rPr>
          <w:rFonts w:ascii="Times New Roman" w:hAnsi="Times New Roman" w:cs="Times New Roman"/>
          <w:color w:val="0000FF"/>
        </w:rPr>
        <w:t xml:space="preserve"> of the re-written introduction (</w:t>
      </w:r>
      <w:r w:rsidR="00C27D1D" w:rsidRPr="00EC7692">
        <w:rPr>
          <w:rFonts w:ascii="Times New Roman" w:hAnsi="Times New Roman" w:cs="Times New Roman"/>
          <w:b/>
          <w:bCs/>
          <w:color w:val="0000FF"/>
        </w:rPr>
        <w:t>starting on p.4 “This paper contains distinct contributions (…)</w:t>
      </w:r>
      <w:r w:rsidR="00C27D1D" w:rsidRPr="00EC7692">
        <w:rPr>
          <w:rFonts w:ascii="Times New Roman" w:hAnsi="Times New Roman" w:cs="Times New Roman"/>
          <w:color w:val="0000FF"/>
        </w:rPr>
        <w:t xml:space="preserve">).  </w:t>
      </w:r>
    </w:p>
    <w:p w14:paraId="785AEF80" w14:textId="77777777" w:rsidR="00EC7692" w:rsidRDefault="00EC7692" w:rsidP="00EC7692">
      <w:pPr>
        <w:pStyle w:val="ListParagraph"/>
        <w:widowControl w:val="0"/>
        <w:autoSpaceDE w:val="0"/>
        <w:autoSpaceDN w:val="0"/>
        <w:adjustRightInd w:val="0"/>
        <w:spacing w:after="0" w:line="240" w:lineRule="auto"/>
        <w:ind w:left="1080"/>
        <w:rPr>
          <w:rFonts w:ascii="Times New Roman" w:hAnsi="Times New Roman" w:cs="Times New Roman"/>
          <w:color w:val="0000FF"/>
        </w:rPr>
      </w:pPr>
    </w:p>
    <w:p w14:paraId="452CD829" w14:textId="1A5EE1D1" w:rsidR="00CB106E" w:rsidRPr="00EC7692" w:rsidRDefault="006C7784" w:rsidP="00C163DA">
      <w:pPr>
        <w:widowControl w:val="0"/>
        <w:autoSpaceDE w:val="0"/>
        <w:autoSpaceDN w:val="0"/>
        <w:adjustRightInd w:val="0"/>
        <w:spacing w:after="0" w:line="240" w:lineRule="auto"/>
        <w:ind w:left="360"/>
        <w:rPr>
          <w:rFonts w:ascii="Times New Roman" w:hAnsi="Times New Roman" w:cs="Times New Roman"/>
          <w:color w:val="0000FF"/>
        </w:rPr>
      </w:pPr>
      <w:r w:rsidRPr="00EC7692">
        <w:rPr>
          <w:rFonts w:ascii="Times New Roman" w:hAnsi="Times New Roman" w:cs="Times New Roman"/>
          <w:color w:val="0000FF"/>
        </w:rPr>
        <w:t>In summary, while this paper builds on the previous literature, it</w:t>
      </w:r>
      <w:r w:rsidR="006D181A">
        <w:rPr>
          <w:rFonts w:ascii="Times New Roman" w:hAnsi="Times New Roman" w:cs="Times New Roman"/>
          <w:color w:val="0000FF"/>
        </w:rPr>
        <w:t>s model</w:t>
      </w:r>
      <w:r w:rsidRPr="00EC7692">
        <w:rPr>
          <w:rFonts w:ascii="Times New Roman" w:hAnsi="Times New Roman" w:cs="Times New Roman"/>
          <w:color w:val="0000FF"/>
        </w:rPr>
        <w:t xml:space="preserve"> contains several changes giving it a unique ability to conduct counterfactual exercises with respect to the composition of macroeconomic shocks and the Taylor rule coefficients on bond-stock betas. One important predecessor paper, </w:t>
      </w:r>
      <w:r w:rsidR="001302C0" w:rsidRPr="00EC7692">
        <w:rPr>
          <w:rFonts w:ascii="Times New Roman" w:hAnsi="Times New Roman" w:cs="Times New Roman"/>
          <w:color w:val="0000FF"/>
        </w:rPr>
        <w:t>Campbell, Pflueger, and Viceira (2020</w:t>
      </w:r>
      <w:r w:rsidR="00CB106E" w:rsidRPr="00EC7692">
        <w:rPr>
          <w:rFonts w:ascii="Times New Roman" w:hAnsi="Times New Roman" w:cs="Times New Roman"/>
          <w:color w:val="0000FF"/>
        </w:rPr>
        <w:t>, CPV</w:t>
      </w:r>
      <w:r w:rsidR="001302C0" w:rsidRPr="00EC7692">
        <w:rPr>
          <w:rFonts w:ascii="Times New Roman" w:hAnsi="Times New Roman" w:cs="Times New Roman"/>
          <w:color w:val="0000FF"/>
        </w:rPr>
        <w:t>)</w:t>
      </w:r>
      <w:r w:rsidRPr="00EC7692">
        <w:rPr>
          <w:rFonts w:ascii="Times New Roman" w:hAnsi="Times New Roman" w:cs="Times New Roman"/>
          <w:color w:val="0000FF"/>
        </w:rPr>
        <w:t>,</w:t>
      </w:r>
      <w:r w:rsidR="001302C0" w:rsidRPr="00EC7692">
        <w:rPr>
          <w:rFonts w:ascii="Times New Roman" w:hAnsi="Times New Roman" w:cs="Times New Roman"/>
          <w:color w:val="0000FF"/>
        </w:rPr>
        <w:t xml:space="preserve"> </w:t>
      </w:r>
      <w:r w:rsidR="004D5E67" w:rsidRPr="00EC7692">
        <w:rPr>
          <w:rFonts w:ascii="Times New Roman" w:hAnsi="Times New Roman" w:cs="Times New Roman"/>
          <w:color w:val="0000FF"/>
        </w:rPr>
        <w:t>contains</w:t>
      </w:r>
      <w:r w:rsidR="001302C0" w:rsidRPr="00EC7692">
        <w:rPr>
          <w:rFonts w:ascii="Times New Roman" w:hAnsi="Times New Roman" w:cs="Times New Roman"/>
          <w:color w:val="0000FF"/>
        </w:rPr>
        <w:t xml:space="preserve"> the same Euler equation, and </w:t>
      </w:r>
      <w:r w:rsidR="00172FE9" w:rsidRPr="00EC7692">
        <w:rPr>
          <w:rFonts w:ascii="Times New Roman" w:hAnsi="Times New Roman" w:cs="Times New Roman"/>
          <w:color w:val="0000FF"/>
        </w:rPr>
        <w:t xml:space="preserve"> </w:t>
      </w:r>
      <w:r w:rsidR="001302C0" w:rsidRPr="00EC7692">
        <w:rPr>
          <w:rFonts w:ascii="Times New Roman" w:hAnsi="Times New Roman" w:cs="Times New Roman"/>
          <w:color w:val="0000FF"/>
        </w:rPr>
        <w:t>price</w:t>
      </w:r>
      <w:r w:rsidR="0054647D" w:rsidRPr="00EC7692">
        <w:rPr>
          <w:rFonts w:ascii="Times New Roman" w:hAnsi="Times New Roman" w:cs="Times New Roman"/>
          <w:color w:val="0000FF"/>
        </w:rPr>
        <w:t>s</w:t>
      </w:r>
      <w:r w:rsidR="001302C0" w:rsidRPr="00EC7692">
        <w:rPr>
          <w:rFonts w:ascii="Times New Roman" w:hAnsi="Times New Roman" w:cs="Times New Roman"/>
          <w:color w:val="0000FF"/>
        </w:rPr>
        <w:t xml:space="preserve"> bonds and stocks using the </w:t>
      </w:r>
      <w:r w:rsidR="00172FE9" w:rsidRPr="00EC7692">
        <w:rPr>
          <w:rFonts w:ascii="Times New Roman" w:hAnsi="Times New Roman" w:cs="Times New Roman"/>
          <w:color w:val="0000FF"/>
        </w:rPr>
        <w:t xml:space="preserve">same </w:t>
      </w:r>
      <w:r w:rsidR="001302C0" w:rsidRPr="00EC7692">
        <w:rPr>
          <w:rFonts w:ascii="Times New Roman" w:hAnsi="Times New Roman" w:cs="Times New Roman"/>
          <w:color w:val="0000FF"/>
        </w:rPr>
        <w:t>habit-formation preferences with countercyclical risk premia.</w:t>
      </w:r>
      <w:r w:rsidR="00CB106E" w:rsidRPr="00EC7692">
        <w:rPr>
          <w:rFonts w:ascii="Times New Roman" w:hAnsi="Times New Roman" w:cs="Times New Roman"/>
          <w:color w:val="0000FF"/>
        </w:rPr>
        <w:t xml:space="preserve"> However, CPV is not as microfounded as the current manuscript</w:t>
      </w:r>
      <w:r w:rsidR="00172FE9" w:rsidRPr="00EC7692">
        <w:rPr>
          <w:rFonts w:ascii="Times New Roman" w:hAnsi="Times New Roman" w:cs="Times New Roman"/>
          <w:color w:val="0000FF"/>
        </w:rPr>
        <w:t>, limiting its ability to conduct counterfactual exercises</w:t>
      </w:r>
      <w:r w:rsidR="00CB106E" w:rsidRPr="00EC7692">
        <w:rPr>
          <w:rFonts w:ascii="Times New Roman" w:hAnsi="Times New Roman" w:cs="Times New Roman"/>
          <w:color w:val="0000FF"/>
        </w:rPr>
        <w:t xml:space="preserve">. While CPV contains reduced-form equations </w:t>
      </w:r>
      <w:r w:rsidR="004D5E67" w:rsidRPr="00EC7692">
        <w:rPr>
          <w:rFonts w:ascii="Times New Roman" w:hAnsi="Times New Roman" w:cs="Times New Roman"/>
          <w:color w:val="0000FF"/>
        </w:rPr>
        <w:t>describing inflation and interest rate dynamics that bear some resemblance to a Phillips curve and Taylor rule</w:t>
      </w:r>
      <w:r w:rsidR="00CB106E" w:rsidRPr="00EC7692">
        <w:rPr>
          <w:rFonts w:ascii="Times New Roman" w:hAnsi="Times New Roman" w:cs="Times New Roman"/>
          <w:color w:val="0000FF"/>
        </w:rPr>
        <w:t xml:space="preserve">, in CPV </w:t>
      </w:r>
      <w:r w:rsidR="004D5E67" w:rsidRPr="00EC7692">
        <w:rPr>
          <w:rFonts w:ascii="Times New Roman" w:hAnsi="Times New Roman" w:cs="Times New Roman"/>
          <w:color w:val="0000FF"/>
        </w:rPr>
        <w:t xml:space="preserve">these are equilibrium dynamics and not structural equations. Concretely, </w:t>
      </w:r>
      <w:r w:rsidR="00CB106E" w:rsidRPr="00EC7692">
        <w:rPr>
          <w:rFonts w:ascii="Times New Roman" w:hAnsi="Times New Roman" w:cs="Times New Roman"/>
          <w:color w:val="0000FF"/>
        </w:rPr>
        <w:t xml:space="preserve">the coefficients in </w:t>
      </w:r>
      <w:r w:rsidR="004D5E67" w:rsidRPr="00EC7692">
        <w:rPr>
          <w:rFonts w:ascii="Times New Roman" w:hAnsi="Times New Roman" w:cs="Times New Roman"/>
          <w:color w:val="0000FF"/>
        </w:rPr>
        <w:t>CPV’s</w:t>
      </w:r>
      <w:r w:rsidR="00CB106E" w:rsidRPr="00EC7692">
        <w:rPr>
          <w:rFonts w:ascii="Times New Roman" w:hAnsi="Times New Roman" w:cs="Times New Roman"/>
          <w:color w:val="0000FF"/>
        </w:rPr>
        <w:t xml:space="preserve"> reduced-form </w:t>
      </w:r>
      <w:r w:rsidR="0054647D" w:rsidRPr="00EC7692">
        <w:rPr>
          <w:rFonts w:ascii="Times New Roman" w:hAnsi="Times New Roman" w:cs="Times New Roman"/>
          <w:color w:val="0000FF"/>
        </w:rPr>
        <w:t xml:space="preserve">inflation and interest rate dynamics </w:t>
      </w:r>
      <w:r w:rsidR="00C163DA">
        <w:rPr>
          <w:rFonts w:ascii="Times New Roman" w:hAnsi="Times New Roman" w:cs="Times New Roman"/>
          <w:color w:val="0000FF"/>
        </w:rPr>
        <w:t>do not even have the signs that one would expect in structural equations</w:t>
      </w:r>
      <w:r w:rsidR="00BF4140" w:rsidRPr="00EC7692">
        <w:rPr>
          <w:rFonts w:ascii="Times New Roman" w:hAnsi="Times New Roman" w:cs="Times New Roman"/>
          <w:color w:val="0000FF"/>
        </w:rPr>
        <w:t xml:space="preserve"> and their shocks are correlated</w:t>
      </w:r>
      <w:r w:rsidR="0054647D" w:rsidRPr="00EC7692">
        <w:rPr>
          <w:rFonts w:ascii="Times New Roman" w:hAnsi="Times New Roman" w:cs="Times New Roman"/>
          <w:color w:val="0000FF"/>
        </w:rPr>
        <w:t xml:space="preserve">, so any change </w:t>
      </w:r>
      <w:r w:rsidR="004D5E67" w:rsidRPr="00EC7692">
        <w:rPr>
          <w:rFonts w:ascii="Times New Roman" w:hAnsi="Times New Roman" w:cs="Times New Roman"/>
          <w:color w:val="0000FF"/>
        </w:rPr>
        <w:t xml:space="preserve">in these </w:t>
      </w:r>
      <w:r w:rsidR="0054647D" w:rsidRPr="00EC7692">
        <w:rPr>
          <w:rFonts w:ascii="Times New Roman" w:hAnsi="Times New Roman" w:cs="Times New Roman"/>
          <w:color w:val="0000FF"/>
        </w:rPr>
        <w:t xml:space="preserve">reduced-form dynamics </w:t>
      </w:r>
      <w:r w:rsidR="00BA7B56" w:rsidRPr="00EC7692">
        <w:rPr>
          <w:rFonts w:ascii="Times New Roman" w:hAnsi="Times New Roman" w:cs="Times New Roman"/>
          <w:color w:val="0000FF"/>
        </w:rPr>
        <w:t xml:space="preserve">in CPV </w:t>
      </w:r>
      <w:r w:rsidR="004D5E67" w:rsidRPr="00EC7692">
        <w:rPr>
          <w:rFonts w:ascii="Times New Roman" w:hAnsi="Times New Roman" w:cs="Times New Roman"/>
          <w:color w:val="0000FF"/>
        </w:rPr>
        <w:t xml:space="preserve">must be interpreted as a combination of changes </w:t>
      </w:r>
      <w:r w:rsidR="0054647D" w:rsidRPr="00EC7692">
        <w:rPr>
          <w:rFonts w:ascii="Times New Roman" w:hAnsi="Times New Roman" w:cs="Times New Roman"/>
          <w:color w:val="0000FF"/>
        </w:rPr>
        <w:t xml:space="preserve">to </w:t>
      </w:r>
      <w:r w:rsidR="004D5E67" w:rsidRPr="00EC7692">
        <w:rPr>
          <w:rFonts w:ascii="Times New Roman" w:hAnsi="Times New Roman" w:cs="Times New Roman"/>
          <w:color w:val="0000FF"/>
        </w:rPr>
        <w:t>monetary policy and the macroeconomic environment</w:t>
      </w:r>
      <w:r w:rsidR="00CB106E" w:rsidRPr="00EC7692">
        <w:rPr>
          <w:rFonts w:ascii="Times New Roman" w:hAnsi="Times New Roman" w:cs="Times New Roman"/>
          <w:color w:val="0000FF"/>
        </w:rPr>
        <w:t xml:space="preserve">. By contrast, the current manuscript </w:t>
      </w:r>
      <w:r w:rsidR="00515149" w:rsidRPr="00EC7692">
        <w:rPr>
          <w:rFonts w:ascii="Times New Roman" w:hAnsi="Times New Roman" w:cs="Times New Roman"/>
          <w:color w:val="0000FF"/>
        </w:rPr>
        <w:t xml:space="preserve">requires that the </w:t>
      </w:r>
      <w:r w:rsidR="00CB106E" w:rsidRPr="00EC7692">
        <w:rPr>
          <w:rFonts w:ascii="Times New Roman" w:hAnsi="Times New Roman" w:cs="Times New Roman"/>
          <w:color w:val="0000FF"/>
        </w:rPr>
        <w:t xml:space="preserve">Phillips curve (20) and Taylor rule (24) have coefficients in line with the prior </w:t>
      </w:r>
      <w:r w:rsidR="004D5E67" w:rsidRPr="00EC7692">
        <w:rPr>
          <w:rFonts w:ascii="Times New Roman" w:hAnsi="Times New Roman" w:cs="Times New Roman"/>
          <w:color w:val="0000FF"/>
        </w:rPr>
        <w:t xml:space="preserve">structural </w:t>
      </w:r>
      <w:r w:rsidR="00CB106E" w:rsidRPr="00EC7692">
        <w:rPr>
          <w:rFonts w:ascii="Times New Roman" w:hAnsi="Times New Roman" w:cs="Times New Roman"/>
          <w:color w:val="0000FF"/>
        </w:rPr>
        <w:t xml:space="preserve">literature, and </w:t>
      </w:r>
      <w:r w:rsidR="00172FE9" w:rsidRPr="00EC7692">
        <w:rPr>
          <w:rFonts w:ascii="Times New Roman" w:hAnsi="Times New Roman" w:cs="Times New Roman"/>
          <w:color w:val="0000FF"/>
        </w:rPr>
        <w:t>their</w:t>
      </w:r>
      <w:r w:rsidR="004D5E67" w:rsidRPr="00EC7692">
        <w:rPr>
          <w:rFonts w:ascii="Times New Roman" w:hAnsi="Times New Roman" w:cs="Times New Roman"/>
          <w:color w:val="0000FF"/>
        </w:rPr>
        <w:t xml:space="preserve"> shocks </w:t>
      </w:r>
      <w:r w:rsidR="00CB106E" w:rsidRPr="00EC7692">
        <w:rPr>
          <w:rFonts w:ascii="Times New Roman" w:hAnsi="Times New Roman" w:cs="Times New Roman"/>
          <w:color w:val="0000FF"/>
        </w:rPr>
        <w:t>are uncorrelated</w:t>
      </w:r>
      <w:r w:rsidRPr="00EC7692">
        <w:rPr>
          <w:rFonts w:ascii="Times New Roman" w:hAnsi="Times New Roman" w:cs="Times New Roman"/>
          <w:color w:val="0000FF"/>
        </w:rPr>
        <w:t>,</w:t>
      </w:r>
      <w:r w:rsidR="00172FE9" w:rsidRPr="00EC7692">
        <w:rPr>
          <w:rFonts w:ascii="Times New Roman" w:hAnsi="Times New Roman" w:cs="Times New Roman"/>
          <w:color w:val="0000FF"/>
        </w:rPr>
        <w:t xml:space="preserve"> as is standard for structural shocks</w:t>
      </w:r>
      <w:r w:rsidR="00CB106E" w:rsidRPr="00EC7692">
        <w:rPr>
          <w:rFonts w:ascii="Times New Roman" w:hAnsi="Times New Roman" w:cs="Times New Roman"/>
          <w:color w:val="0000FF"/>
        </w:rPr>
        <w:t xml:space="preserve">. </w:t>
      </w:r>
      <w:r w:rsidR="00172FE9" w:rsidRPr="00EC7692">
        <w:rPr>
          <w:rFonts w:ascii="Times New Roman" w:hAnsi="Times New Roman" w:cs="Times New Roman"/>
          <w:color w:val="0000FF"/>
        </w:rPr>
        <w:t>The model</w:t>
      </w:r>
      <w:r w:rsidR="0054647D" w:rsidRPr="00EC7692">
        <w:rPr>
          <w:rFonts w:ascii="Times New Roman" w:hAnsi="Times New Roman" w:cs="Times New Roman"/>
          <w:color w:val="0000FF"/>
        </w:rPr>
        <w:t xml:space="preserve"> in CPV </w:t>
      </w:r>
      <w:r w:rsidR="00172FE9" w:rsidRPr="00EC7692">
        <w:rPr>
          <w:rFonts w:ascii="Times New Roman" w:hAnsi="Times New Roman" w:cs="Times New Roman"/>
          <w:color w:val="0000FF"/>
        </w:rPr>
        <w:t xml:space="preserve">is therefore not sufficient to understand how counterfactual changes in </w:t>
      </w:r>
      <w:r w:rsidR="00BA7B56" w:rsidRPr="00EC7692">
        <w:rPr>
          <w:rFonts w:ascii="Times New Roman" w:hAnsi="Times New Roman" w:cs="Times New Roman"/>
          <w:color w:val="0000FF"/>
        </w:rPr>
        <w:t xml:space="preserve">macroeconomic volatilities </w:t>
      </w:r>
      <w:r w:rsidR="00172FE9" w:rsidRPr="00EC7692">
        <w:rPr>
          <w:rFonts w:ascii="Times New Roman" w:hAnsi="Times New Roman" w:cs="Times New Roman"/>
          <w:color w:val="0000FF"/>
        </w:rPr>
        <w:t>and</w:t>
      </w:r>
      <w:r w:rsidR="00BA7B56" w:rsidRPr="00EC7692">
        <w:rPr>
          <w:rFonts w:ascii="Times New Roman" w:hAnsi="Times New Roman" w:cs="Times New Roman"/>
          <w:color w:val="0000FF"/>
        </w:rPr>
        <w:t xml:space="preserve"> Taylor rule coefficients </w:t>
      </w:r>
      <w:r w:rsidR="00172FE9" w:rsidRPr="00EC7692">
        <w:rPr>
          <w:rFonts w:ascii="Times New Roman" w:hAnsi="Times New Roman" w:cs="Times New Roman"/>
          <w:color w:val="0000FF"/>
        </w:rPr>
        <w:t xml:space="preserve">impact bond-stock betas. </w:t>
      </w:r>
      <w:r w:rsidR="00515149" w:rsidRPr="00EC7692">
        <w:rPr>
          <w:rFonts w:ascii="Times New Roman" w:hAnsi="Times New Roman" w:cs="Times New Roman"/>
          <w:color w:val="0000FF"/>
        </w:rPr>
        <w:t xml:space="preserve"> </w:t>
      </w:r>
    </w:p>
    <w:p w14:paraId="4959E729" w14:textId="77777777"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0A8DFC0" w14:textId="5359B90C"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The model in Pflueger and Rinaldi (2022, PR) is more similar to the current one, containing a structural Phillips curve and a Taylor-type monetary policy rule</w:t>
      </w:r>
      <w:r w:rsidR="006C7784" w:rsidRPr="00C10E55">
        <w:rPr>
          <w:rFonts w:ascii="Times New Roman" w:hAnsi="Times New Roman" w:cs="Times New Roman"/>
          <w:color w:val="0000FF"/>
        </w:rPr>
        <w:t xml:space="preserve">. However, </w:t>
      </w:r>
      <w:r w:rsidR="00172FE9" w:rsidRPr="00C10E55">
        <w:rPr>
          <w:rFonts w:ascii="Times New Roman" w:hAnsi="Times New Roman" w:cs="Times New Roman"/>
          <w:color w:val="0000FF"/>
        </w:rPr>
        <w:t xml:space="preserve">PR do not </w:t>
      </w:r>
      <w:r w:rsidR="006C7784" w:rsidRPr="00C10E55">
        <w:rPr>
          <w:rFonts w:ascii="Times New Roman" w:hAnsi="Times New Roman" w:cs="Times New Roman"/>
          <w:color w:val="0000FF"/>
        </w:rPr>
        <w:t xml:space="preserve">study the </w:t>
      </w:r>
      <w:r w:rsidR="006C7784" w:rsidRPr="00C10E55">
        <w:rPr>
          <w:rFonts w:ascii="Times New Roman" w:hAnsi="Times New Roman" w:cs="Times New Roman"/>
          <w:color w:val="0000FF"/>
        </w:rPr>
        <w:lastRenderedPageBreak/>
        <w:t xml:space="preserve">implications for bond-stock betas </w:t>
      </w:r>
      <w:r w:rsidR="00490D4F" w:rsidRPr="00C10E55">
        <w:rPr>
          <w:rFonts w:ascii="Times New Roman" w:hAnsi="Times New Roman" w:cs="Times New Roman"/>
          <w:color w:val="0000FF"/>
        </w:rPr>
        <w:t xml:space="preserve">and </w:t>
      </w:r>
      <w:r w:rsidR="006C7784" w:rsidRPr="00C10E55">
        <w:rPr>
          <w:rFonts w:ascii="Times New Roman" w:hAnsi="Times New Roman" w:cs="Times New Roman"/>
          <w:color w:val="0000FF"/>
        </w:rPr>
        <w:t>the PR</w:t>
      </w:r>
      <w:r w:rsidR="00490D4F" w:rsidRPr="00C10E55">
        <w:rPr>
          <w:rFonts w:ascii="Times New Roman" w:hAnsi="Times New Roman" w:cs="Times New Roman"/>
          <w:color w:val="0000FF"/>
        </w:rPr>
        <w:t xml:space="preserve"> model </w:t>
      </w:r>
      <w:r w:rsidR="005325D4" w:rsidRPr="00C10E55">
        <w:rPr>
          <w:rFonts w:ascii="Times New Roman" w:hAnsi="Times New Roman" w:cs="Times New Roman"/>
          <w:color w:val="0000FF"/>
        </w:rPr>
        <w:t>is</w:t>
      </w:r>
      <w:r w:rsidR="00490D4F" w:rsidRPr="00C10E55">
        <w:rPr>
          <w:rFonts w:ascii="Times New Roman" w:hAnsi="Times New Roman" w:cs="Times New Roman"/>
          <w:color w:val="0000FF"/>
        </w:rPr>
        <w:t xml:space="preserve"> insufficient to reach the central conclusion of this manuscript. </w:t>
      </w:r>
      <w:r w:rsidR="00172FE9" w:rsidRPr="00C10E55">
        <w:rPr>
          <w:rFonts w:ascii="Times New Roman" w:hAnsi="Times New Roman" w:cs="Times New Roman"/>
          <w:color w:val="0000FF"/>
        </w:rPr>
        <w:t>The</w:t>
      </w:r>
      <w:r w:rsidRPr="00C10E55">
        <w:rPr>
          <w:rFonts w:ascii="Times New Roman" w:hAnsi="Times New Roman" w:cs="Times New Roman"/>
          <w:color w:val="0000FF"/>
        </w:rPr>
        <w:t xml:space="preserve"> current model contains some important changes compared to PR, in particular both demand and supply shocks (PR </w:t>
      </w:r>
      <w:r w:rsidR="006C7784" w:rsidRPr="00C10E55">
        <w:rPr>
          <w:rFonts w:ascii="Times New Roman" w:hAnsi="Times New Roman" w:cs="Times New Roman"/>
          <w:color w:val="0000FF"/>
        </w:rPr>
        <w:t>has neither</w:t>
      </w:r>
      <w:r w:rsidRPr="00C10E55">
        <w:rPr>
          <w:rFonts w:ascii="Times New Roman" w:hAnsi="Times New Roman" w:cs="Times New Roman"/>
          <w:color w:val="0000FF"/>
        </w:rPr>
        <w:t xml:space="preserve">), and adaptive inflation expectations. </w:t>
      </w:r>
      <w:r w:rsidR="000C4316" w:rsidRPr="00C10E55">
        <w:rPr>
          <w:rFonts w:ascii="Times New Roman" w:hAnsi="Times New Roman" w:cs="Times New Roman"/>
          <w:color w:val="0000FF"/>
        </w:rPr>
        <w:t xml:space="preserve">The ability to perform counterfactual exercises to assess the </w:t>
      </w:r>
      <w:r w:rsidR="00477650" w:rsidRPr="00C10E55">
        <w:rPr>
          <w:rFonts w:ascii="Times New Roman" w:hAnsi="Times New Roman" w:cs="Times New Roman"/>
          <w:color w:val="0000FF"/>
        </w:rPr>
        <w:t>impact</w:t>
      </w:r>
      <w:r w:rsidR="000C4316" w:rsidRPr="00C10E55">
        <w:rPr>
          <w:rFonts w:ascii="Times New Roman" w:hAnsi="Times New Roman" w:cs="Times New Roman"/>
          <w:color w:val="0000FF"/>
        </w:rPr>
        <w:t xml:space="preserve"> of changes in the macroeconomic shock volatilities </w:t>
      </w:r>
      <w:r w:rsidR="00477650" w:rsidRPr="00C10E55">
        <w:rPr>
          <w:rFonts w:ascii="Times New Roman" w:hAnsi="Times New Roman" w:cs="Times New Roman"/>
          <w:color w:val="0000FF"/>
        </w:rPr>
        <w:t xml:space="preserve">and Taylor rule coefficients on bond-stock betas </w:t>
      </w:r>
      <w:r w:rsidR="000C4316" w:rsidRPr="00C10E55">
        <w:rPr>
          <w:rFonts w:ascii="Times New Roman" w:hAnsi="Times New Roman" w:cs="Times New Roman"/>
          <w:color w:val="0000FF"/>
        </w:rPr>
        <w:t xml:space="preserve">therefore sets this paper apart from </w:t>
      </w:r>
      <w:r w:rsidR="00490D4F" w:rsidRPr="00C10E55">
        <w:rPr>
          <w:rFonts w:ascii="Times New Roman" w:hAnsi="Times New Roman" w:cs="Times New Roman"/>
          <w:color w:val="0000FF"/>
        </w:rPr>
        <w:t xml:space="preserve">CPV and </w:t>
      </w:r>
      <w:r w:rsidR="000C4316" w:rsidRPr="00C10E55">
        <w:rPr>
          <w:rFonts w:ascii="Times New Roman" w:hAnsi="Times New Roman" w:cs="Times New Roman"/>
          <w:color w:val="0000FF"/>
        </w:rPr>
        <w:t xml:space="preserve">PR. </w:t>
      </w:r>
    </w:p>
    <w:p w14:paraId="2539DC6E" w14:textId="77777777" w:rsidR="000077A2" w:rsidRPr="00C10E55" w:rsidRDefault="000077A2"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2A5566DE" w14:textId="5C44ECBC" w:rsidR="002F1B72" w:rsidRPr="00C10E55" w:rsidRDefault="000077A2"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Regarding the broader literature on changing bond-stock comovements, there are several features that set the current manuscript apart.</w:t>
      </w:r>
      <w:r w:rsidR="002F1B72" w:rsidRPr="00C10E55">
        <w:rPr>
          <w:rFonts w:ascii="Times New Roman" w:hAnsi="Times New Roman" w:cs="Times New Roman"/>
          <w:color w:val="0000FF"/>
        </w:rPr>
        <w:t xml:space="preserve"> As discussed by </w:t>
      </w:r>
      <w:r w:rsidR="00F771D3">
        <w:rPr>
          <w:rFonts w:ascii="Times New Roman" w:hAnsi="Times New Roman" w:cs="Times New Roman"/>
          <w:color w:val="0000FF"/>
        </w:rPr>
        <w:t>r</w:t>
      </w:r>
      <w:r w:rsidR="002F1B72" w:rsidRPr="00C10E55">
        <w:rPr>
          <w:rFonts w:ascii="Times New Roman" w:hAnsi="Times New Roman" w:cs="Times New Roman"/>
          <w:color w:val="0000FF"/>
        </w:rPr>
        <w:t>eferee 2, various channels have been proposed in the literature to explain the changes in bond-stock betas over the past four decades, including changing inflation risks (</w:t>
      </w:r>
      <w:r w:rsidR="006D4542" w:rsidRPr="00C10E55">
        <w:rPr>
          <w:rFonts w:ascii="Times New Roman" w:hAnsi="Times New Roman" w:cs="Times New Roman"/>
          <w:color w:val="0000FF"/>
        </w:rPr>
        <w:t xml:space="preserve">Piazzesi and Schneider (2006), </w:t>
      </w:r>
      <w:r w:rsidR="002F1B72" w:rsidRPr="00C10E55">
        <w:rPr>
          <w:rFonts w:ascii="Times New Roman" w:hAnsi="Times New Roman" w:cs="Times New Roman"/>
          <w:color w:val="0000FF"/>
        </w:rPr>
        <w:t xml:space="preserve">David and Veronesi (2013), Song (2017), </w:t>
      </w:r>
      <w:r w:rsidR="00A6172C" w:rsidRPr="00C10E55">
        <w:rPr>
          <w:rFonts w:ascii="Times New Roman" w:hAnsi="Times New Roman" w:cs="Times New Roman"/>
          <w:color w:val="0000FF"/>
        </w:rPr>
        <w:t xml:space="preserve">Bekaert and Engstrom (2017), </w:t>
      </w:r>
      <w:r w:rsidR="002F1B72" w:rsidRPr="00C10E55">
        <w:rPr>
          <w:rFonts w:ascii="Times New Roman" w:hAnsi="Times New Roman" w:cs="Times New Roman"/>
          <w:color w:val="0000FF"/>
        </w:rPr>
        <w:t xml:space="preserve">Campbell, Pflueger, and Viceira (2020), Gourio and Ngo (2020), and Fang, Liu, and Roussanov (2022)); liquidity, flight-to-safety, and time-varying risk aversion  (Baele, Bekaert, and Inghelbrecht (2010), Kozak (2022), and Laarits (2022)); permanent-transitory compositional changes of consumption growth (Chernov, Lochstoer, and Song (2021)); and changes in the monetary-fiscal mix regimes (Li, Zha, Zhang, and Zhou (2022)).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t>
      </w:r>
    </w:p>
    <w:p w14:paraId="351FFB0F" w14:textId="77777777" w:rsidR="002F1B72" w:rsidRPr="00C10E55" w:rsidRDefault="002F1B72" w:rsidP="00C10E55">
      <w:pPr>
        <w:autoSpaceDE w:val="0"/>
        <w:autoSpaceDN w:val="0"/>
        <w:adjustRightInd w:val="0"/>
        <w:spacing w:after="0" w:line="240" w:lineRule="auto"/>
        <w:ind w:left="360"/>
        <w:rPr>
          <w:rFonts w:ascii="Times New Roman" w:hAnsi="Times New Roman" w:cs="Times New Roman"/>
          <w:color w:val="0000FF"/>
        </w:rPr>
      </w:pPr>
    </w:p>
    <w:p w14:paraId="262171E6" w14:textId="1CCD6C5A" w:rsidR="00FC1403"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One </w:t>
      </w:r>
      <w:r w:rsidR="00FC1403" w:rsidRPr="00C10E55">
        <w:rPr>
          <w:rFonts w:ascii="Times New Roman" w:hAnsi="Times New Roman" w:cs="Times New Roman"/>
          <w:color w:val="0000FF"/>
        </w:rPr>
        <w:t xml:space="preserve">particularly </w:t>
      </w:r>
      <w:r w:rsidRPr="00C10E55">
        <w:rPr>
          <w:rFonts w:ascii="Times New Roman" w:hAnsi="Times New Roman" w:cs="Times New Roman"/>
          <w:color w:val="0000FF"/>
        </w:rPr>
        <w:t xml:space="preserve">closely related paper is </w:t>
      </w:r>
      <w:r w:rsidR="002F1B72" w:rsidRPr="00C10E55">
        <w:rPr>
          <w:rFonts w:ascii="Times New Roman" w:hAnsi="Times New Roman" w:cs="Times New Roman"/>
          <w:color w:val="0000FF"/>
        </w:rPr>
        <w:t>Song (2017)</w:t>
      </w:r>
      <w:r w:rsidR="00FC1403" w:rsidRPr="00C10E55">
        <w:rPr>
          <w:rFonts w:ascii="Times New Roman" w:hAnsi="Times New Roman" w:cs="Times New Roman"/>
          <w:color w:val="0000FF"/>
        </w:rPr>
        <w:t xml:space="preserve">, which however </w:t>
      </w:r>
      <w:r w:rsidR="00C163DA">
        <w:rPr>
          <w:rFonts w:ascii="Times New Roman" w:hAnsi="Times New Roman" w:cs="Times New Roman"/>
          <w:color w:val="0000FF"/>
        </w:rPr>
        <w:t>uses</w:t>
      </w:r>
      <w:r w:rsidRPr="00C10E55">
        <w:rPr>
          <w:rFonts w:ascii="Times New Roman" w:hAnsi="Times New Roman" w:cs="Times New Roman"/>
          <w:color w:val="0000FF"/>
        </w:rPr>
        <w:t xml:space="preserve"> a more reduced-form setup featuring an endowment economy</w:t>
      </w:r>
      <w:r w:rsidR="00C163DA">
        <w:rPr>
          <w:rFonts w:ascii="Times New Roman" w:hAnsi="Times New Roman" w:cs="Times New Roman"/>
          <w:color w:val="0000FF"/>
        </w:rPr>
        <w:t xml:space="preserve">, limiting its ability to speak to </w:t>
      </w:r>
      <w:r w:rsidR="00974AFC">
        <w:rPr>
          <w:rFonts w:ascii="Times New Roman" w:hAnsi="Times New Roman" w:cs="Times New Roman"/>
          <w:color w:val="0000FF"/>
        </w:rPr>
        <w:t xml:space="preserve">the role of macroeconomic shocks vs. monetary policy for bond-stock betas. </w:t>
      </w:r>
    </w:p>
    <w:p w14:paraId="3363E768" w14:textId="33142021" w:rsidR="00AB2B45"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 </w:t>
      </w:r>
    </w:p>
    <w:p w14:paraId="5739D2D1" w14:textId="636E6BA1" w:rsidR="000077A2" w:rsidRPr="00C10E55" w:rsidRDefault="00FF12BE" w:rsidP="00C10E55">
      <w:pPr>
        <w:autoSpaceDE w:val="0"/>
        <w:autoSpaceDN w:val="0"/>
        <w:adjustRightInd w:val="0"/>
        <w:spacing w:after="0" w:line="240" w:lineRule="auto"/>
        <w:ind w:left="360"/>
        <w:rPr>
          <w:rFonts w:ascii="Times New Roman" w:hAnsi="Times New Roman" w:cs="Times New Roman"/>
          <w:color w:val="0000FF"/>
        </w:rPr>
      </w:pPr>
      <w:r w:rsidRPr="00FF12BE">
        <w:rPr>
          <w:rFonts w:ascii="Times New Roman" w:hAnsi="Times New Roman" w:cs="Times New Roman"/>
          <w:color w:val="0000FF"/>
        </w:rPr>
        <w:t xml:space="preserve">The model in this paper is also distinct from prior work that models the impact of changes to the volatilities of macroeconomic shocks or to monetary policy separately, whereas it is central to the conclusion in this paper to model these changes jointly. </w:t>
      </w:r>
      <w:r w:rsidR="005950B5" w:rsidRPr="00C10E55">
        <w:rPr>
          <w:rFonts w:ascii="Times New Roman" w:hAnsi="Times New Roman" w:cs="Times New Roman"/>
          <w:color w:val="0000FF"/>
        </w:rPr>
        <w:t>Different from the current paper, t</w:t>
      </w:r>
      <w:r w:rsidR="003C397E" w:rsidRPr="00C10E55">
        <w:rPr>
          <w:rFonts w:ascii="Times New Roman" w:hAnsi="Times New Roman" w:cs="Times New Roman"/>
          <w:color w:val="0000FF"/>
        </w:rPr>
        <w:t>he production-based models of</w:t>
      </w:r>
      <w:r w:rsidR="00AB2B45" w:rsidRPr="00C10E55">
        <w:rPr>
          <w:rFonts w:ascii="Times New Roman" w:hAnsi="Times New Roman" w:cs="Times New Roman"/>
          <w:color w:val="0000FF"/>
        </w:rPr>
        <w:t xml:space="preserve"> Fang, Liu, and Roussanov (2022), and Kozak (2022) do not </w:t>
      </w:r>
      <w:r w:rsidR="006B4B24" w:rsidRPr="00C10E55">
        <w:rPr>
          <w:rFonts w:ascii="Times New Roman" w:hAnsi="Times New Roman" w:cs="Times New Roman"/>
          <w:color w:val="0000FF"/>
        </w:rPr>
        <w:t xml:space="preserve">incorporate </w:t>
      </w:r>
      <w:r w:rsidR="00AB2B45" w:rsidRPr="00C10E55">
        <w:rPr>
          <w:rFonts w:ascii="Times New Roman" w:hAnsi="Times New Roman" w:cs="Times New Roman"/>
          <w:color w:val="0000FF"/>
        </w:rPr>
        <w:t xml:space="preserve">changes in monetary policy. </w:t>
      </w:r>
      <w:r w:rsidR="00AB0CFA" w:rsidRPr="00C10E55">
        <w:rPr>
          <w:rFonts w:ascii="Times New Roman" w:hAnsi="Times New Roman" w:cs="Times New Roman"/>
          <w:color w:val="0000FF"/>
        </w:rPr>
        <w:t xml:space="preserve">Conversely, </w:t>
      </w:r>
      <w:r w:rsidR="00EF7188" w:rsidRPr="00C10E55">
        <w:rPr>
          <w:rFonts w:ascii="Times New Roman" w:hAnsi="Times New Roman" w:cs="Times New Roman"/>
          <w:color w:val="0000FF"/>
        </w:rPr>
        <w:t xml:space="preserve">Gourio and Ngo (2020) and Li et al. (2022) </w:t>
      </w:r>
      <w:r w:rsidR="00340704" w:rsidRPr="00C10E55">
        <w:rPr>
          <w:rFonts w:ascii="Times New Roman" w:hAnsi="Times New Roman" w:cs="Times New Roman"/>
          <w:color w:val="0000FF"/>
        </w:rPr>
        <w:t xml:space="preserve">model changes in monetary </w:t>
      </w:r>
      <w:r w:rsidR="00AB0CFA" w:rsidRPr="00C10E55">
        <w:rPr>
          <w:rFonts w:ascii="Times New Roman" w:hAnsi="Times New Roman" w:cs="Times New Roman"/>
          <w:color w:val="0000FF"/>
        </w:rPr>
        <w:t xml:space="preserve">and/or fiscal </w:t>
      </w:r>
      <w:r w:rsidR="00340704" w:rsidRPr="00C10E55">
        <w:rPr>
          <w:rFonts w:ascii="Times New Roman" w:hAnsi="Times New Roman" w:cs="Times New Roman"/>
          <w:color w:val="0000FF"/>
        </w:rPr>
        <w:t xml:space="preserve">policy but do not </w:t>
      </w:r>
      <w:r w:rsidR="006B4B24" w:rsidRPr="00C10E55">
        <w:rPr>
          <w:rFonts w:ascii="Times New Roman" w:hAnsi="Times New Roman" w:cs="Times New Roman"/>
          <w:color w:val="0000FF"/>
        </w:rPr>
        <w:t>incorporate</w:t>
      </w:r>
      <w:r w:rsidR="00340704" w:rsidRPr="00C10E55">
        <w:rPr>
          <w:rFonts w:ascii="Times New Roman" w:hAnsi="Times New Roman" w:cs="Times New Roman"/>
          <w:color w:val="0000FF"/>
        </w:rPr>
        <w:t xml:space="preserve"> changes in the composition of macroeconomic shocks. </w:t>
      </w:r>
      <w:r w:rsidR="00AA4EDE" w:rsidRPr="00C10E55">
        <w:rPr>
          <w:rFonts w:ascii="Times New Roman" w:hAnsi="Times New Roman" w:cs="Times New Roman"/>
          <w:color w:val="0000FF"/>
        </w:rPr>
        <w:t>Those</w:t>
      </w:r>
      <w:r w:rsidR="00340704" w:rsidRPr="00C10E55">
        <w:rPr>
          <w:rFonts w:ascii="Times New Roman" w:hAnsi="Times New Roman" w:cs="Times New Roman"/>
          <w:color w:val="0000FF"/>
        </w:rPr>
        <w:t xml:space="preserve"> latter two </w:t>
      </w:r>
      <w:r w:rsidR="00AB0CFA" w:rsidRPr="00C10E55">
        <w:rPr>
          <w:rFonts w:ascii="Times New Roman" w:hAnsi="Times New Roman" w:cs="Times New Roman"/>
          <w:color w:val="0000FF"/>
        </w:rPr>
        <w:t>models</w:t>
      </w:r>
      <w:r w:rsidR="00340704"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also </w:t>
      </w:r>
      <w:r w:rsidR="00EF7188" w:rsidRPr="00C10E55">
        <w:rPr>
          <w:rFonts w:ascii="Times New Roman" w:hAnsi="Times New Roman" w:cs="Times New Roman"/>
          <w:color w:val="0000FF"/>
        </w:rPr>
        <w:t xml:space="preserve">acknowledge their limitations as models of asset prices, </w:t>
      </w:r>
      <w:r w:rsidR="006C7784" w:rsidRPr="00C10E55">
        <w:rPr>
          <w:rFonts w:ascii="Times New Roman" w:hAnsi="Times New Roman" w:cs="Times New Roman"/>
          <w:color w:val="0000FF"/>
        </w:rPr>
        <w:t>with</w:t>
      </w:r>
      <w:r w:rsidR="00EF7188" w:rsidRPr="00C10E55">
        <w:rPr>
          <w:rFonts w:ascii="Times New Roman" w:hAnsi="Times New Roman" w:cs="Times New Roman"/>
          <w:color w:val="0000FF"/>
        </w:rPr>
        <w:t xml:space="preserve"> basic moments such as the equity premium and equity return volatility either not reported or deviat</w:t>
      </w:r>
      <w:r w:rsidR="006C7784" w:rsidRPr="00C10E55">
        <w:rPr>
          <w:rFonts w:ascii="Times New Roman" w:hAnsi="Times New Roman" w:cs="Times New Roman"/>
          <w:color w:val="0000FF"/>
        </w:rPr>
        <w:t>ing</w:t>
      </w:r>
      <w:r w:rsidR="00EF7188" w:rsidRPr="00C10E55">
        <w:rPr>
          <w:rFonts w:ascii="Times New Roman" w:hAnsi="Times New Roman" w:cs="Times New Roman"/>
          <w:color w:val="0000FF"/>
        </w:rPr>
        <w:t xml:space="preserve"> substantially from the data. </w:t>
      </w:r>
      <w:r w:rsidR="00AB0CFA" w:rsidRPr="00C10E55">
        <w:rPr>
          <w:rFonts w:ascii="Times New Roman" w:hAnsi="Times New Roman" w:cs="Times New Roman"/>
          <w:color w:val="0000FF"/>
        </w:rPr>
        <w:t xml:space="preserve">Finally, Gourio and Ngo (2022) consider a model where bond-stock comovements are closely linked to </w:t>
      </w:r>
      <w:r w:rsidR="00B3630A" w:rsidRPr="00C10E55">
        <w:rPr>
          <w:rFonts w:ascii="Times New Roman" w:hAnsi="Times New Roman" w:cs="Times New Roman"/>
          <w:color w:val="0000FF"/>
        </w:rPr>
        <w:t xml:space="preserve">the level of </w:t>
      </w:r>
      <w:r w:rsidR="00AB0CFA" w:rsidRPr="00C10E55">
        <w:rPr>
          <w:rFonts w:ascii="Times New Roman" w:hAnsi="Times New Roman" w:cs="Times New Roman"/>
          <w:color w:val="0000FF"/>
        </w:rPr>
        <w:t xml:space="preserve">inflation, </w:t>
      </w:r>
      <w:r w:rsidR="00B3630A" w:rsidRPr="00C10E55">
        <w:rPr>
          <w:rFonts w:ascii="Times New Roman" w:hAnsi="Times New Roman" w:cs="Times New Roman"/>
          <w:color w:val="0000FF"/>
        </w:rPr>
        <w:t xml:space="preserve">assuming </w:t>
      </w:r>
      <w:r w:rsidR="00AA4EDE" w:rsidRPr="00C10E55">
        <w:rPr>
          <w:rFonts w:ascii="Times New Roman" w:hAnsi="Times New Roman" w:cs="Times New Roman"/>
          <w:color w:val="0000FF"/>
        </w:rPr>
        <w:t xml:space="preserve">a constant volatility of technology shocks and no other shocks. Because of the close link between the level of inflation and bond-stock comovements in </w:t>
      </w:r>
      <w:r w:rsidR="00B3630A" w:rsidRPr="00C10E55">
        <w:rPr>
          <w:rFonts w:ascii="Times New Roman" w:hAnsi="Times New Roman" w:cs="Times New Roman"/>
          <w:color w:val="0000FF"/>
        </w:rPr>
        <w:t>Gourio and Ngo (2022)</w:t>
      </w:r>
      <w:r w:rsidR="00AA4EDE" w:rsidRPr="00C10E55">
        <w:rPr>
          <w:rFonts w:ascii="Times New Roman" w:hAnsi="Times New Roman" w:cs="Times New Roman"/>
          <w:color w:val="0000FF"/>
        </w:rPr>
        <w:t xml:space="preserve">, </w:t>
      </w:r>
      <w:r w:rsidR="00B3630A" w:rsidRPr="00C10E55">
        <w:rPr>
          <w:rFonts w:ascii="Times New Roman" w:hAnsi="Times New Roman" w:cs="Times New Roman"/>
          <w:color w:val="0000FF"/>
        </w:rPr>
        <w:t xml:space="preserve">their model </w:t>
      </w:r>
      <w:r w:rsidR="00AA4EDE" w:rsidRPr="00C10E55">
        <w:rPr>
          <w:rFonts w:ascii="Times New Roman" w:hAnsi="Times New Roman" w:cs="Times New Roman"/>
          <w:color w:val="0000FF"/>
        </w:rPr>
        <w:t>is</w:t>
      </w:r>
      <w:r w:rsidR="00AB0CFA" w:rsidRPr="00C10E55">
        <w:rPr>
          <w:rFonts w:ascii="Times New Roman" w:hAnsi="Times New Roman" w:cs="Times New Roman"/>
          <w:color w:val="0000FF"/>
        </w:rPr>
        <w:t xml:space="preserve"> not suited to understanding the key empirical finding in this paper, namely </w:t>
      </w:r>
      <w:r w:rsidR="00AA4EDE" w:rsidRPr="00C10E55">
        <w:rPr>
          <w:rFonts w:ascii="Times New Roman" w:hAnsi="Times New Roman" w:cs="Times New Roman"/>
          <w:color w:val="0000FF"/>
        </w:rPr>
        <w:t>that</w:t>
      </w:r>
      <w:r w:rsidR="00AB0CFA"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during 2021 </w:t>
      </w:r>
      <w:r w:rsidR="00AB0CFA" w:rsidRPr="00C10E55">
        <w:rPr>
          <w:rFonts w:ascii="Times New Roman" w:hAnsi="Times New Roman" w:cs="Times New Roman"/>
          <w:color w:val="0000FF"/>
        </w:rPr>
        <w:t xml:space="preserve">bond-stock betas remained negative even as inflation rose </w:t>
      </w:r>
      <w:r w:rsidR="00AA4EDE" w:rsidRPr="00C10E55">
        <w:rPr>
          <w:rFonts w:ascii="Times New Roman" w:hAnsi="Times New Roman" w:cs="Times New Roman"/>
          <w:color w:val="0000FF"/>
        </w:rPr>
        <w:t xml:space="preserve">to levels not seen in 40 years. </w:t>
      </w:r>
      <w:r w:rsidR="000528D6" w:rsidRPr="00C10E55">
        <w:rPr>
          <w:rFonts w:ascii="Times New Roman" w:hAnsi="Times New Roman" w:cs="Times New Roman"/>
          <w:color w:val="0000FF"/>
        </w:rPr>
        <w:t xml:space="preserve">Hence, different from the current manuscript, none of these previous papers </w:t>
      </w:r>
      <w:r>
        <w:rPr>
          <w:rFonts w:ascii="Times New Roman" w:hAnsi="Times New Roman" w:cs="Times New Roman"/>
          <w:color w:val="0000FF"/>
        </w:rPr>
        <w:t>are sufficient to reach</w:t>
      </w:r>
      <w:r w:rsidR="00F05343">
        <w:rPr>
          <w:rFonts w:ascii="Times New Roman" w:hAnsi="Times New Roman" w:cs="Times New Roman"/>
          <w:color w:val="0000FF"/>
        </w:rPr>
        <w:t xml:space="preserve"> th</w:t>
      </w:r>
      <w:r>
        <w:rPr>
          <w:rFonts w:ascii="Times New Roman" w:hAnsi="Times New Roman" w:cs="Times New Roman"/>
          <w:color w:val="0000FF"/>
        </w:rPr>
        <w:t xml:space="preserve">e conclusion in this paper, </w:t>
      </w:r>
      <w:r w:rsidR="00F05343">
        <w:rPr>
          <w:rFonts w:ascii="Times New Roman" w:hAnsi="Times New Roman" w:cs="Times New Roman"/>
          <w:color w:val="0000FF"/>
        </w:rPr>
        <w:t xml:space="preserve">namely </w:t>
      </w:r>
      <w:r>
        <w:rPr>
          <w:rFonts w:ascii="Times New Roman" w:hAnsi="Times New Roman" w:cs="Times New Roman"/>
          <w:color w:val="0000FF"/>
        </w:rPr>
        <w:t xml:space="preserve">that supply shocks and an inflation-centric monetary policy rule interact </w:t>
      </w:r>
      <w:r w:rsidR="00F05343">
        <w:rPr>
          <w:rFonts w:ascii="Times New Roman" w:hAnsi="Times New Roman" w:cs="Times New Roman"/>
          <w:color w:val="0000FF"/>
        </w:rPr>
        <w:t xml:space="preserve">and are both necessary to </w:t>
      </w:r>
      <w:r>
        <w:rPr>
          <w:rFonts w:ascii="Times New Roman" w:hAnsi="Times New Roman" w:cs="Times New Roman"/>
          <w:color w:val="0000FF"/>
        </w:rPr>
        <w:t xml:space="preserve">make nominal bonds risky. </w:t>
      </w:r>
    </w:p>
    <w:p w14:paraId="344BD82C" w14:textId="77777777" w:rsidR="00F761D5" w:rsidRPr="00C9732B" w:rsidRDefault="00F761D5" w:rsidP="00C9732B">
      <w:pPr>
        <w:widowControl w:val="0"/>
        <w:autoSpaceDE w:val="0"/>
        <w:autoSpaceDN w:val="0"/>
        <w:adjustRightInd w:val="0"/>
        <w:spacing w:after="0" w:line="240" w:lineRule="auto"/>
        <w:rPr>
          <w:rFonts w:ascii="Times New Roman" w:hAnsi="Times New Roman" w:cs="Times New Roman"/>
          <w:color w:val="0000FF"/>
        </w:rPr>
      </w:pPr>
    </w:p>
    <w:p w14:paraId="5153DFD9" w14:textId="190E78BB" w:rsidR="009E10F4"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F761D5">
        <w:rPr>
          <w:rFonts w:ascii="Times New Roman" w:hAnsi="Times New Roman" w:cs="Times New Roman"/>
        </w:rPr>
        <w:t>This referee doesn’t like some of the modeling assumptions. I’m not convinced by the “Taylor rule” comment (the author does include a shock in her MP rule that we could interpret as the discretionary component) and would like to see richer wage-price inflation dynamics. The author can address the latter (e.g., by introducing an additional shock to break the connection between the two inflation processes) and acknowledge some limitations in the modeling approaches.</w:t>
      </w:r>
    </w:p>
    <w:p w14:paraId="5553FD52" w14:textId="4CF9723D" w:rsidR="007B31A8" w:rsidRDefault="00F761D5"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C10E55">
        <w:rPr>
          <w:rFonts w:ascii="Times New Roman" w:hAnsi="Times New Roman" w:cs="Times New Roman"/>
          <w:b/>
          <w:color w:val="0000FF"/>
        </w:rPr>
        <w:lastRenderedPageBreak/>
        <w:t>Reply:</w:t>
      </w:r>
      <w:r w:rsidR="007B31A8">
        <w:rPr>
          <w:rFonts w:ascii="Times New Roman" w:hAnsi="Times New Roman" w:cs="Times New Roman"/>
          <w:b/>
          <w:color w:val="0000FF"/>
        </w:rPr>
        <w:t xml:space="preserve"> </w:t>
      </w:r>
      <w:r w:rsidR="007B31A8">
        <w:rPr>
          <w:rFonts w:ascii="Times New Roman" w:hAnsi="Times New Roman" w:cs="Times New Roman"/>
          <w:bCs/>
          <w:color w:val="0000FF"/>
        </w:rPr>
        <w:t>T</w:t>
      </w:r>
      <w:r w:rsidR="007B31A8">
        <w:rPr>
          <w:rFonts w:ascii="Times New Roman" w:hAnsi="Times New Roman" w:cs="Times New Roman"/>
          <w:color w:val="0000FF"/>
        </w:rPr>
        <w:t xml:space="preserve">he revised manuscript now clearly acknowledges the limitations of the Taylor rule as a model of monetary policy. While a monetary policy rule is a standard feature of many models of monetary policy, in practice monetary policy clearly also contains a discretionary component as captured by the monetary policy shock in equation (24) of the revised manuscript. This is now discussed at the </w:t>
      </w:r>
      <w:r w:rsidR="007B31A8" w:rsidRPr="00552B46">
        <w:rPr>
          <w:rFonts w:ascii="Times New Roman" w:hAnsi="Times New Roman" w:cs="Times New Roman"/>
          <w:b/>
          <w:bCs/>
          <w:color w:val="0000FF"/>
        </w:rPr>
        <w:t>top of p.1</w:t>
      </w:r>
      <w:r w:rsidR="005F3896">
        <w:rPr>
          <w:rFonts w:ascii="Times New Roman" w:hAnsi="Times New Roman" w:cs="Times New Roman"/>
          <w:b/>
          <w:bCs/>
          <w:color w:val="0000FF"/>
        </w:rPr>
        <w:t>3</w:t>
      </w:r>
      <w:r w:rsidR="007B31A8" w:rsidRPr="00552B46">
        <w:rPr>
          <w:rFonts w:ascii="Times New Roman" w:hAnsi="Times New Roman" w:cs="Times New Roman"/>
          <w:b/>
          <w:bCs/>
          <w:color w:val="0000FF"/>
        </w:rPr>
        <w:t xml:space="preserve"> in the paragraph starting “While there is an active debate to what extent monetary policy can be described by rules versus discretion </w:t>
      </w:r>
      <w:r w:rsidR="00B10852">
        <w:rPr>
          <w:rFonts w:ascii="Times New Roman" w:hAnsi="Times New Roman" w:cs="Times New Roman"/>
          <w:b/>
          <w:bCs/>
          <w:color w:val="0000FF"/>
        </w:rPr>
        <w:t>(</w:t>
      </w:r>
      <w:r w:rsidR="007B31A8" w:rsidRPr="00552B46">
        <w:rPr>
          <w:rFonts w:ascii="Times New Roman" w:hAnsi="Times New Roman" w:cs="Times New Roman"/>
          <w:b/>
          <w:bCs/>
          <w:color w:val="0000FF"/>
        </w:rPr>
        <w:t>…</w:t>
      </w:r>
      <w:r w:rsidR="00B10852">
        <w:rPr>
          <w:rFonts w:ascii="Times New Roman" w:hAnsi="Times New Roman" w:cs="Times New Roman"/>
          <w:b/>
          <w:bCs/>
          <w:color w:val="0000FF"/>
        </w:rPr>
        <w:t>)</w:t>
      </w:r>
      <w:r w:rsidR="007B31A8" w:rsidRPr="00552B46">
        <w:rPr>
          <w:rFonts w:ascii="Times New Roman" w:hAnsi="Times New Roman" w:cs="Times New Roman"/>
          <w:b/>
          <w:bCs/>
          <w:color w:val="0000FF"/>
        </w:rPr>
        <w:t>”</w:t>
      </w:r>
      <w:r w:rsidR="007B31A8">
        <w:rPr>
          <w:rFonts w:ascii="Times New Roman" w:hAnsi="Times New Roman" w:cs="Times New Roman"/>
          <w:color w:val="0000FF"/>
        </w:rPr>
        <w:t>.</w:t>
      </w:r>
    </w:p>
    <w:p w14:paraId="75D7AB9E" w14:textId="138FF782" w:rsidR="00A7749E" w:rsidRDefault="00C37257"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To address the issue of richer wage-price inflation dynamics</w:t>
      </w:r>
      <w:r w:rsidR="007E23C9">
        <w:rPr>
          <w:rFonts w:ascii="Times New Roman" w:hAnsi="Times New Roman" w:cs="Times New Roman"/>
          <w:color w:val="0000FF"/>
        </w:rPr>
        <w:t xml:space="preserve">, the </w:t>
      </w:r>
      <w:r w:rsidR="007E23C9" w:rsidRPr="007E23C9">
        <w:rPr>
          <w:rFonts w:ascii="Times New Roman" w:hAnsi="Times New Roman" w:cs="Times New Roman"/>
          <w:b/>
          <w:bCs/>
          <w:color w:val="0000FF"/>
        </w:rPr>
        <w:t xml:space="preserve">new Appendix Section </w:t>
      </w:r>
      <w:r w:rsidR="00725556">
        <w:rPr>
          <w:rFonts w:ascii="Times New Roman" w:hAnsi="Times New Roman" w:cs="Times New Roman"/>
          <w:b/>
          <w:bCs/>
          <w:color w:val="0000FF"/>
        </w:rPr>
        <w:t>G</w:t>
      </w:r>
      <w:r w:rsidR="007E23C9">
        <w:rPr>
          <w:rFonts w:ascii="Times New Roman" w:hAnsi="Times New Roman" w:cs="Times New Roman"/>
          <w:color w:val="0000FF"/>
        </w:rPr>
        <w:t xml:space="preserve"> </w:t>
      </w:r>
      <w:r w:rsidRPr="00C37257">
        <w:rPr>
          <w:rFonts w:ascii="Times New Roman" w:hAnsi="Times New Roman" w:cs="Times New Roman"/>
          <w:b/>
          <w:bCs/>
          <w:color w:val="0000FF"/>
        </w:rPr>
        <w:t>(online Appendix pp. 4</w:t>
      </w:r>
      <w:r w:rsidR="00BC01A9">
        <w:rPr>
          <w:rFonts w:ascii="Times New Roman" w:hAnsi="Times New Roman" w:cs="Times New Roman"/>
          <w:b/>
          <w:bCs/>
          <w:color w:val="0000FF"/>
        </w:rPr>
        <w:t>4</w:t>
      </w:r>
      <w:r w:rsidRPr="00C37257">
        <w:rPr>
          <w:rFonts w:ascii="Times New Roman" w:hAnsi="Times New Roman" w:cs="Times New Roman"/>
          <w:b/>
          <w:bCs/>
          <w:color w:val="0000FF"/>
        </w:rPr>
        <w:t>-</w:t>
      </w:r>
      <w:r w:rsidR="00BC01A9">
        <w:rPr>
          <w:rFonts w:ascii="Times New Roman" w:hAnsi="Times New Roman" w:cs="Times New Roman"/>
          <w:b/>
          <w:bCs/>
          <w:color w:val="0000FF"/>
        </w:rPr>
        <w:t>48</w:t>
      </w:r>
      <w:r w:rsidRPr="00C37257">
        <w:rPr>
          <w:rFonts w:ascii="Times New Roman" w:hAnsi="Times New Roman" w:cs="Times New Roman"/>
          <w:b/>
          <w:bCs/>
          <w:color w:val="0000FF"/>
        </w:rPr>
        <w:t>)</w:t>
      </w:r>
      <w:r>
        <w:rPr>
          <w:rFonts w:ascii="Times New Roman" w:hAnsi="Times New Roman" w:cs="Times New Roman"/>
          <w:color w:val="0000FF"/>
        </w:rPr>
        <w:t xml:space="preserve"> </w:t>
      </w:r>
      <w:r w:rsidR="0038483C">
        <w:rPr>
          <w:rFonts w:ascii="Times New Roman" w:hAnsi="Times New Roman" w:cs="Times New Roman"/>
          <w:color w:val="0000FF"/>
        </w:rPr>
        <w:t>shows</w:t>
      </w:r>
      <w:r w:rsidR="00AA73BC">
        <w:rPr>
          <w:rFonts w:ascii="Times New Roman" w:hAnsi="Times New Roman" w:cs="Times New Roman"/>
          <w:color w:val="0000FF"/>
        </w:rPr>
        <w:t xml:space="preserve"> results for </w:t>
      </w:r>
      <w:r>
        <w:rPr>
          <w:rFonts w:ascii="Times New Roman" w:hAnsi="Times New Roman" w:cs="Times New Roman"/>
          <w:color w:val="0000FF"/>
        </w:rPr>
        <w:t>a model extension</w:t>
      </w:r>
      <w:r w:rsidR="007E23C9">
        <w:rPr>
          <w:rFonts w:ascii="Times New Roman" w:hAnsi="Times New Roman" w:cs="Times New Roman"/>
          <w:color w:val="0000FF"/>
        </w:rPr>
        <w:t xml:space="preserve"> with richer price-wage dynamics</w:t>
      </w:r>
      <w:r w:rsidR="0038483C">
        <w:rPr>
          <w:rFonts w:ascii="Times New Roman" w:hAnsi="Times New Roman" w:cs="Times New Roman"/>
          <w:color w:val="0000FF"/>
        </w:rPr>
        <w:t>.</w:t>
      </w:r>
      <w:r w:rsidR="007E23C9">
        <w:rPr>
          <w:rFonts w:ascii="Times New Roman" w:hAnsi="Times New Roman" w:cs="Times New Roman"/>
          <w:color w:val="0000FF"/>
        </w:rPr>
        <w:t xml:space="preserve"> </w:t>
      </w:r>
      <w:r w:rsidR="00725556">
        <w:rPr>
          <w:rFonts w:ascii="Times New Roman" w:hAnsi="Times New Roman" w:cs="Times New Roman"/>
          <w:color w:val="0000FF"/>
        </w:rPr>
        <w:t xml:space="preserve">This new appendix section first solves the model with richer price-wage dynamics and then </w:t>
      </w:r>
      <w:r w:rsidR="00487ADA">
        <w:rPr>
          <w:rFonts w:ascii="Times New Roman" w:hAnsi="Times New Roman" w:cs="Times New Roman"/>
          <w:color w:val="0000FF"/>
        </w:rPr>
        <w:t>re-</w:t>
      </w:r>
      <w:r w:rsidR="00AA73BC">
        <w:rPr>
          <w:rFonts w:ascii="Times New Roman" w:hAnsi="Times New Roman" w:cs="Times New Roman"/>
          <w:color w:val="0000FF"/>
        </w:rPr>
        <w:t xml:space="preserve">produces </w:t>
      </w:r>
      <w:r w:rsidR="00487ADA">
        <w:rPr>
          <w:rFonts w:ascii="Times New Roman" w:hAnsi="Times New Roman" w:cs="Times New Roman"/>
          <w:color w:val="0000FF"/>
        </w:rPr>
        <w:t xml:space="preserve">the paper’s main </w:t>
      </w:r>
      <w:r w:rsidR="00AA73BC">
        <w:rPr>
          <w:rFonts w:ascii="Times New Roman" w:hAnsi="Times New Roman" w:cs="Times New Roman"/>
          <w:color w:val="0000FF"/>
        </w:rPr>
        <w:t xml:space="preserve">results analogous to </w:t>
      </w:r>
      <w:r w:rsidR="00725556">
        <w:rPr>
          <w:rFonts w:ascii="Times New Roman" w:hAnsi="Times New Roman" w:cs="Times New Roman"/>
          <w:color w:val="0000FF"/>
        </w:rPr>
        <w:t>Table 2 and Figure 4</w:t>
      </w:r>
      <w:r w:rsidR="00487ADA">
        <w:rPr>
          <w:rFonts w:ascii="Times New Roman" w:hAnsi="Times New Roman" w:cs="Times New Roman"/>
          <w:color w:val="0000FF"/>
        </w:rPr>
        <w:t xml:space="preserve">. </w:t>
      </w:r>
      <w:r w:rsidR="00A7749E">
        <w:rPr>
          <w:rFonts w:ascii="Times New Roman" w:hAnsi="Times New Roman" w:cs="Times New Roman"/>
          <w:color w:val="0000FF"/>
        </w:rPr>
        <w:t xml:space="preserve">The version of Figure 4 with a richer price-wage dynamics is reproduced below for your convenience </w:t>
      </w:r>
      <w:r w:rsidR="00A7749E" w:rsidRPr="00A7749E">
        <w:rPr>
          <w:rFonts w:ascii="Times New Roman" w:hAnsi="Times New Roman" w:cs="Times New Roman"/>
          <w:b/>
          <w:bCs/>
          <w:color w:val="0000FF"/>
        </w:rPr>
        <w:t>(Appendix Figure A</w:t>
      </w:r>
      <w:r w:rsidR="00BC01A9">
        <w:rPr>
          <w:rFonts w:ascii="Times New Roman" w:hAnsi="Times New Roman" w:cs="Times New Roman"/>
          <w:b/>
          <w:bCs/>
          <w:color w:val="0000FF"/>
        </w:rPr>
        <w:t>7</w:t>
      </w:r>
      <w:r w:rsidR="00A7749E" w:rsidRPr="00A7749E">
        <w:rPr>
          <w:rFonts w:ascii="Times New Roman" w:hAnsi="Times New Roman" w:cs="Times New Roman"/>
          <w:b/>
          <w:bCs/>
          <w:color w:val="0000FF"/>
        </w:rPr>
        <w:t>)</w:t>
      </w:r>
      <w:r w:rsidR="00A7749E">
        <w:rPr>
          <w:rFonts w:ascii="Times New Roman" w:hAnsi="Times New Roman" w:cs="Times New Roman"/>
          <w:color w:val="0000FF"/>
        </w:rPr>
        <w:t xml:space="preserve">. </w:t>
      </w:r>
    </w:p>
    <w:p w14:paraId="44076965" w14:textId="2C3882BE" w:rsidR="00487ADA" w:rsidRDefault="00487ADA"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The new </w:t>
      </w:r>
      <w:r w:rsidRPr="00A7749E">
        <w:rPr>
          <w:rFonts w:ascii="Times New Roman" w:hAnsi="Times New Roman" w:cs="Times New Roman"/>
          <w:b/>
          <w:bCs/>
          <w:color w:val="0000FF"/>
        </w:rPr>
        <w:t>Appendix Figure A</w:t>
      </w:r>
      <w:r w:rsidR="00BC01A9">
        <w:rPr>
          <w:rFonts w:ascii="Times New Roman" w:hAnsi="Times New Roman" w:cs="Times New Roman"/>
          <w:b/>
          <w:bCs/>
          <w:color w:val="0000FF"/>
        </w:rPr>
        <w:t>7</w:t>
      </w:r>
      <w:r>
        <w:rPr>
          <w:rFonts w:ascii="Times New Roman" w:hAnsi="Times New Roman" w:cs="Times New Roman"/>
          <w:color w:val="0000FF"/>
        </w:rPr>
        <w:t xml:space="preserve"> shows that the asset pricing moments and key counterfactuals are robust and indeed quantitatively indistinguishable even when the volatility of the price-wage inflation shock is set to a plausible upper bound (</w:t>
      </w:r>
      <m:oMath>
        <m:sSub>
          <m:sSubPr>
            <m:ctrlPr>
              <w:rPr>
                <w:rFonts w:ascii="Cambria Math" w:hAnsi="Cambria Math" w:cs="Times New Roman"/>
                <w:i/>
                <w:color w:val="0000FF"/>
              </w:rPr>
            </m:ctrlPr>
          </m:sSubPr>
          <m:e>
            <m:r>
              <w:rPr>
                <w:rFonts w:ascii="Cambria Math" w:hAnsi="Cambria Math" w:cs="Times New Roman"/>
                <w:color w:val="0000FF"/>
              </w:rPr>
              <m:t>σ</m:t>
            </m:r>
          </m:e>
          <m:sub>
            <m:r>
              <w:rPr>
                <w:rFonts w:ascii="Cambria Math" w:hAnsi="Cambria Math" w:cs="Times New Roman"/>
                <w:color w:val="0000FF"/>
              </w:rPr>
              <m:t>p</m:t>
            </m:r>
          </m:sub>
        </m:sSub>
        <m:r>
          <w:rPr>
            <w:rFonts w:ascii="Cambria Math" w:hAnsi="Cambria Math" w:cs="Times New Roman"/>
            <w:color w:val="0000FF"/>
          </w:rPr>
          <m:t>=0.55</m:t>
        </m:r>
      </m:oMath>
      <w:r>
        <w:rPr>
          <w:rFonts w:ascii="Times New Roman" w:eastAsiaTheme="minorEastAsia" w:hAnsi="Times New Roman" w:cs="Times New Roman"/>
          <w:color w:val="0000FF"/>
        </w:rPr>
        <w:t>)</w:t>
      </w:r>
      <w:r>
        <w:rPr>
          <w:rFonts w:ascii="Times New Roman" w:hAnsi="Times New Roman" w:cs="Times New Roman"/>
          <w:color w:val="0000FF"/>
        </w:rPr>
        <w:t xml:space="preserve">. To keep the model exposition as simple as possible, I therefore abstract from richer price-wage inflation dynamics in the main paper. Following your suggestion, the revised manuscript newly acknowledges the limitations of the simple wage-price inflation dynamics and notes that the results are robust to relaxing the tight link between wage and price inflation dynamics. For this discussion, see the </w:t>
      </w:r>
      <w:r w:rsidRPr="00C37257">
        <w:rPr>
          <w:rFonts w:ascii="Times New Roman" w:hAnsi="Times New Roman" w:cs="Times New Roman"/>
          <w:b/>
          <w:bCs/>
          <w:color w:val="0000FF"/>
        </w:rPr>
        <w:t>new footnote 9 on p. 1</w:t>
      </w:r>
      <w:r w:rsidR="003C5071">
        <w:rPr>
          <w:rFonts w:ascii="Times New Roman" w:hAnsi="Times New Roman" w:cs="Times New Roman"/>
          <w:b/>
          <w:bCs/>
          <w:color w:val="0000FF"/>
        </w:rPr>
        <w:t>2</w:t>
      </w:r>
      <w:r>
        <w:rPr>
          <w:rFonts w:ascii="Times New Roman" w:hAnsi="Times New Roman" w:cs="Times New Roman"/>
          <w:color w:val="0000FF"/>
        </w:rPr>
        <w:t xml:space="preserve"> in the paper.</w:t>
      </w:r>
    </w:p>
    <w:p w14:paraId="4E9C8377"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60DEF1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50062ED1"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1E0516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9E9B10A"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7866DF"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63CC9A5"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47513D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248879D9"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DE2CFE"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16EA848E" w14:textId="77777777" w:rsidR="006176DA" w:rsidRDefault="006176DA"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2FEB869"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73D9808"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5580867B"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28A47BC" w14:textId="0944B101" w:rsidR="00A7749E" w:rsidRDefault="00A7749E" w:rsidP="00A7749E">
      <w:pPr>
        <w:widowControl w:val="0"/>
        <w:autoSpaceDE w:val="0"/>
        <w:autoSpaceDN w:val="0"/>
        <w:adjustRightInd w:val="0"/>
        <w:spacing w:before="240" w:after="0" w:line="240" w:lineRule="auto"/>
        <w:ind w:left="360"/>
        <w:jc w:val="center"/>
        <w:rPr>
          <w:rFonts w:ascii="Times New Roman" w:hAnsi="Times New Roman" w:cs="Times New Roman"/>
          <w:color w:val="0000FF"/>
        </w:rPr>
      </w:pPr>
      <w:r w:rsidRPr="00A7749E">
        <w:rPr>
          <w:rFonts w:ascii="Times New Roman" w:hAnsi="Times New Roman" w:cs="Times New Roman"/>
          <w:b/>
          <w:bCs/>
        </w:rPr>
        <w:lastRenderedPageBreak/>
        <w:t>Figure A</w:t>
      </w:r>
      <w:r w:rsidR="00BC01A9">
        <w:rPr>
          <w:rFonts w:ascii="Times New Roman" w:hAnsi="Times New Roman" w:cs="Times New Roman"/>
          <w:b/>
          <w:bCs/>
        </w:rPr>
        <w:t>7</w:t>
      </w:r>
      <w:r w:rsidRPr="00A7749E">
        <w:rPr>
          <w:rFonts w:ascii="Times New Roman" w:hAnsi="Times New Roman" w:cs="Times New Roman"/>
          <w:b/>
          <w:bCs/>
        </w:rPr>
        <w:t>: Counterfactual Bond-Stock Betas with Richer Price-Wage Dynamics</w:t>
      </w:r>
      <w:r w:rsidR="00997C36" w:rsidRPr="00997C36">
        <w:t xml:space="preserve"> </w:t>
      </w:r>
      <w:r w:rsidR="00997C36">
        <w:rPr>
          <w:noProof/>
        </w:rPr>
        <w:drawing>
          <wp:inline distT="0" distB="0" distL="0" distR="0" wp14:anchorId="0A8BA471" wp14:editId="6A6FEB16">
            <wp:extent cx="5241102" cy="7106285"/>
            <wp:effectExtent l="0" t="0" r="0" b="0"/>
            <wp:docPr id="1873840590"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40590" name="Picture 2"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5063" cy="7111656"/>
                    </a:xfrm>
                    <a:prstGeom prst="rect">
                      <a:avLst/>
                    </a:prstGeom>
                    <a:noFill/>
                    <a:ln>
                      <a:noFill/>
                    </a:ln>
                  </pic:spPr>
                </pic:pic>
              </a:graphicData>
            </a:graphic>
          </wp:inline>
        </w:drawing>
      </w:r>
    </w:p>
    <w:p w14:paraId="77524682" w14:textId="77777777" w:rsidR="00F761D5" w:rsidRPr="001E20F4" w:rsidRDefault="00F761D5" w:rsidP="001E20F4">
      <w:pPr>
        <w:widowControl w:val="0"/>
        <w:autoSpaceDE w:val="0"/>
        <w:autoSpaceDN w:val="0"/>
        <w:adjustRightInd w:val="0"/>
        <w:spacing w:after="0" w:line="240" w:lineRule="auto"/>
        <w:rPr>
          <w:rFonts w:ascii="Times New Roman" w:hAnsi="Times New Roman" w:cs="Times New Roman"/>
        </w:rPr>
      </w:pPr>
    </w:p>
    <w:p w14:paraId="4A46929D"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365C4A9C"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5CBBD941"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05C10617" w14:textId="77777777" w:rsidR="003C5071" w:rsidRDefault="003C5071" w:rsidP="003C5071">
      <w:pPr>
        <w:widowControl w:val="0"/>
        <w:autoSpaceDE w:val="0"/>
        <w:autoSpaceDN w:val="0"/>
        <w:adjustRightInd w:val="0"/>
        <w:spacing w:after="0" w:line="240" w:lineRule="auto"/>
        <w:jc w:val="both"/>
        <w:rPr>
          <w:rFonts w:ascii="Times New Roman" w:hAnsi="Times New Roman" w:cs="Times New Roman"/>
        </w:rPr>
      </w:pPr>
    </w:p>
    <w:p w14:paraId="11EA64F8" w14:textId="77777777" w:rsidR="003C5071" w:rsidRPr="003C5071" w:rsidRDefault="003C5071" w:rsidP="003C5071">
      <w:pPr>
        <w:widowControl w:val="0"/>
        <w:autoSpaceDE w:val="0"/>
        <w:autoSpaceDN w:val="0"/>
        <w:adjustRightInd w:val="0"/>
        <w:spacing w:after="0" w:line="240" w:lineRule="auto"/>
        <w:jc w:val="both"/>
        <w:rPr>
          <w:rFonts w:ascii="Times New Roman" w:hAnsi="Times New Roman" w:cs="Times New Roman"/>
        </w:rPr>
      </w:pPr>
    </w:p>
    <w:p w14:paraId="19BF5B88" w14:textId="591361FE" w:rsidR="009E10F4" w:rsidRPr="003C5071" w:rsidRDefault="009E10F4" w:rsidP="003C5071">
      <w:pPr>
        <w:pStyle w:val="ListParagraph"/>
        <w:widowControl w:val="0"/>
        <w:numPr>
          <w:ilvl w:val="0"/>
          <w:numId w:val="18"/>
        </w:numPr>
        <w:autoSpaceDE w:val="0"/>
        <w:autoSpaceDN w:val="0"/>
        <w:adjustRightInd w:val="0"/>
        <w:spacing w:after="0" w:line="240" w:lineRule="auto"/>
        <w:ind w:left="360" w:hanging="720"/>
        <w:jc w:val="both"/>
        <w:rPr>
          <w:rFonts w:ascii="Times New Roman" w:hAnsi="Times New Roman" w:cs="Times New Roman"/>
        </w:rPr>
      </w:pPr>
      <w:r w:rsidRPr="003C5071">
        <w:rPr>
          <w:rFonts w:ascii="Times New Roman" w:hAnsi="Times New Roman" w:cs="Times New Roman"/>
        </w:rPr>
        <w:t>This referee is concerned that viewing the 1980s as a prototypical example of supply-side shocks is incorrect. I’m sympathetic to this, as the 1970s are typically the more natural benchmark (although, in fairness, the JEP article by Goodfriend that this referee mentions in footnote 1 does say at the bottom of page 51 that “In January and February 1980 [. . . ], the spike in underlying inflation in connection with the ongoing oil price shock, the run-up in the dollar price of gold to $850 per ounce [. . . ]”, which one could argue as manifestations of supply shocks). Two potential avenues to address this issue are:</w:t>
      </w:r>
    </w:p>
    <w:p w14:paraId="5D271FC2" w14:textId="77777777" w:rsidR="009E10F4" w:rsidRPr="00C10E55"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Extend the estimation of the first sample period to include the 1970s, though finding inflation expectations data may be challenging (I am not sure that Blue Chip forecasts go back that far in time). The author could use parametric forecasts of inflation in the spirit of Stock and Watson instead.</w:t>
      </w:r>
    </w:p>
    <w:p w14:paraId="40FA4DE3" w14:textId="77777777" w:rsidR="009E10F4"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 xml:space="preserve">Calculate the necessary changes in parameters to replicate the stock betas from the </w:t>
      </w:r>
      <w:r w:rsidRPr="002A387A">
        <w:rPr>
          <w:rFonts w:ascii="Times New Roman" w:hAnsi="Times New Roman" w:cs="Times New Roman"/>
        </w:rPr>
        <w:t>first half of the sample in the second half. For example, is there a degree of MP inertia that would make the betas as big as they were in the first half of the sample? How much bigger should the volatilities of the shocks be to engineer the same betas?</w:t>
      </w:r>
    </w:p>
    <w:p w14:paraId="549167FC" w14:textId="77777777" w:rsidR="00F761D5" w:rsidRPr="00C10E55" w:rsidRDefault="00F761D5" w:rsidP="00F761D5">
      <w:pPr>
        <w:pStyle w:val="ListParagraph"/>
        <w:widowControl w:val="0"/>
        <w:autoSpaceDE w:val="0"/>
        <w:autoSpaceDN w:val="0"/>
        <w:adjustRightInd w:val="0"/>
        <w:spacing w:after="0" w:line="240" w:lineRule="auto"/>
        <w:ind w:left="2040"/>
        <w:jc w:val="both"/>
        <w:rPr>
          <w:rFonts w:ascii="Times New Roman" w:hAnsi="Times New Roman" w:cs="Times New Roman"/>
        </w:rPr>
      </w:pPr>
    </w:p>
    <w:p w14:paraId="2CF33843" w14:textId="01E056BA" w:rsidR="00F5180B" w:rsidRDefault="001302C0" w:rsidP="00F5180B">
      <w:pPr>
        <w:autoSpaceDE w:val="0"/>
        <w:autoSpaceDN w:val="0"/>
        <w:adjustRightInd w:val="0"/>
        <w:spacing w:after="0" w:line="240" w:lineRule="auto"/>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3C5071">
        <w:rPr>
          <w:rFonts w:ascii="Times New Roman" w:hAnsi="Times New Roman" w:cs="Times New Roman"/>
          <w:color w:val="0000FF"/>
        </w:rPr>
        <w:t xml:space="preserve">I have addressed the issue twofold. First, I followed your suggestion to calculate the necessary changes in parameters to explain the nominal bond-stock betas during the 1980s from the second subperiod calibration (see the </w:t>
      </w:r>
      <w:r w:rsidR="003C5071" w:rsidRPr="003C5071">
        <w:rPr>
          <w:rFonts w:ascii="Times New Roman" w:hAnsi="Times New Roman" w:cs="Times New Roman"/>
          <w:b/>
          <w:bCs/>
          <w:color w:val="0000FF"/>
        </w:rPr>
        <w:t>new Figure 8</w:t>
      </w:r>
      <w:r w:rsidR="003C5071">
        <w:rPr>
          <w:rFonts w:ascii="Times New Roman" w:hAnsi="Times New Roman" w:cs="Times New Roman"/>
          <w:color w:val="0000FF"/>
        </w:rPr>
        <w:t xml:space="preserve">). This new figure clearly shows that volatile supply shocks are required to explain risky nominal Treasury bonds observed during the 1980s. </w:t>
      </w:r>
      <w:r w:rsidR="00F5180B">
        <w:rPr>
          <w:rFonts w:ascii="Times New Roman" w:hAnsi="Times New Roman" w:cs="Times New Roman"/>
          <w:color w:val="0000FF"/>
        </w:rPr>
        <w:t xml:space="preserve">Panel A of that figure is reproduced below for your convenience. The nominal bond-stock beta during the first subperiod is depicted with an orange plane, while blue circles depict model bond-stock betas. All parameters not explicitly mentioned are set to their values in the 2000s calibration listed in Table 1. The new Figure 8 shows that a high volatility of supply shocks is necessary to reverse-engineer the bond-stock betas observed during the first subperiod, further supporting a high supply shock volatility for the first calibration period. </w:t>
      </w:r>
      <w:r w:rsidR="00E540E3">
        <w:rPr>
          <w:rFonts w:ascii="Times New Roman" w:hAnsi="Times New Roman" w:cs="Times New Roman"/>
          <w:color w:val="0000FF"/>
        </w:rPr>
        <w:t>These new results are described in the revised introduction (</w:t>
      </w:r>
      <w:r w:rsidR="00E540E3" w:rsidRPr="00E540E3">
        <w:rPr>
          <w:rFonts w:ascii="Times New Roman" w:hAnsi="Times New Roman" w:cs="Times New Roman"/>
          <w:b/>
          <w:bCs/>
          <w:color w:val="0000FF"/>
        </w:rPr>
        <w:t>p.4, “The third counterfactual (…)”</w:t>
      </w:r>
      <w:r w:rsidR="00E540E3">
        <w:rPr>
          <w:rFonts w:ascii="Times New Roman" w:hAnsi="Times New Roman" w:cs="Times New Roman"/>
          <w:color w:val="0000FF"/>
        </w:rPr>
        <w:t xml:space="preserve">). </w:t>
      </w:r>
      <w:r w:rsidR="00F5180B">
        <w:rPr>
          <w:rFonts w:ascii="Times New Roman" w:hAnsi="Times New Roman" w:cs="Times New Roman"/>
          <w:color w:val="0000FF"/>
        </w:rPr>
        <w:t>For a detailed discussion</w:t>
      </w:r>
      <w:r w:rsidR="00E540E3">
        <w:rPr>
          <w:rFonts w:ascii="Times New Roman" w:hAnsi="Times New Roman" w:cs="Times New Roman"/>
          <w:color w:val="0000FF"/>
        </w:rPr>
        <w:t xml:space="preserve">, </w:t>
      </w:r>
      <w:r w:rsidR="00F5180B">
        <w:rPr>
          <w:rFonts w:ascii="Times New Roman" w:hAnsi="Times New Roman" w:cs="Times New Roman"/>
          <w:color w:val="0000FF"/>
        </w:rPr>
        <w:t xml:space="preserve">see the </w:t>
      </w:r>
      <w:r w:rsidR="00F5180B" w:rsidRPr="00C2376C">
        <w:rPr>
          <w:rFonts w:ascii="Times New Roman" w:hAnsi="Times New Roman" w:cs="Times New Roman"/>
          <w:b/>
          <w:bCs/>
          <w:color w:val="0000FF"/>
        </w:rPr>
        <w:t>new Section 4.4</w:t>
      </w:r>
      <w:r w:rsidR="00F5180B">
        <w:rPr>
          <w:rFonts w:ascii="Times New Roman" w:hAnsi="Times New Roman" w:cs="Times New Roman"/>
          <w:color w:val="0000FF"/>
        </w:rPr>
        <w:t xml:space="preserve"> </w:t>
      </w:r>
      <w:r w:rsidR="00F5180B" w:rsidRPr="00C2376C">
        <w:rPr>
          <w:rFonts w:ascii="Times New Roman" w:hAnsi="Times New Roman" w:cs="Times New Roman"/>
          <w:b/>
          <w:bCs/>
          <w:color w:val="0000FF"/>
        </w:rPr>
        <w:t>(pp.3</w:t>
      </w:r>
      <w:r w:rsidR="00E540E3">
        <w:rPr>
          <w:rFonts w:ascii="Times New Roman" w:hAnsi="Times New Roman" w:cs="Times New Roman"/>
          <w:b/>
          <w:bCs/>
          <w:color w:val="0000FF"/>
        </w:rPr>
        <w:t>1</w:t>
      </w:r>
      <w:r w:rsidR="00F5180B" w:rsidRPr="00C2376C">
        <w:rPr>
          <w:rFonts w:ascii="Times New Roman" w:hAnsi="Times New Roman" w:cs="Times New Roman"/>
          <w:b/>
          <w:bCs/>
          <w:color w:val="0000FF"/>
        </w:rPr>
        <w:t>-3</w:t>
      </w:r>
      <w:r w:rsidR="00F5180B">
        <w:rPr>
          <w:rFonts w:ascii="Times New Roman" w:hAnsi="Times New Roman" w:cs="Times New Roman"/>
          <w:b/>
          <w:bCs/>
          <w:color w:val="0000FF"/>
        </w:rPr>
        <w:t>3</w:t>
      </w:r>
      <w:r w:rsidR="00F5180B" w:rsidRPr="00C2376C">
        <w:rPr>
          <w:rFonts w:ascii="Times New Roman" w:hAnsi="Times New Roman" w:cs="Times New Roman"/>
          <w:b/>
          <w:bCs/>
          <w:color w:val="0000FF"/>
        </w:rPr>
        <w:t>)</w:t>
      </w:r>
      <w:r w:rsidR="00F5180B">
        <w:rPr>
          <w:rFonts w:ascii="Times New Roman" w:hAnsi="Times New Roman" w:cs="Times New Roman"/>
          <w:color w:val="0000FF"/>
        </w:rPr>
        <w:t xml:space="preserve"> in the </w:t>
      </w:r>
      <w:r w:rsidR="00E540E3">
        <w:rPr>
          <w:rFonts w:ascii="Times New Roman" w:hAnsi="Times New Roman" w:cs="Times New Roman"/>
          <w:color w:val="0000FF"/>
        </w:rPr>
        <w:t xml:space="preserve">revised </w:t>
      </w:r>
      <w:r w:rsidR="00F5180B">
        <w:rPr>
          <w:rFonts w:ascii="Times New Roman" w:hAnsi="Times New Roman" w:cs="Times New Roman"/>
          <w:color w:val="0000FF"/>
        </w:rPr>
        <w:t>manuscript.</w:t>
      </w:r>
    </w:p>
    <w:p w14:paraId="09C23A4F"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7B43A59D" w14:textId="71488B1E" w:rsidR="00F5180B" w:rsidRDefault="00F5180B" w:rsidP="00F5180B">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I refrained from calibrating the model to the 1970s period. While I agree that this was plausibly a period of substantial supply shock volatility, monetary policy during the 1970s was more complicated, which would complicate the analysis. In particular, it has been argued that </w:t>
      </w:r>
      <w:r w:rsidR="0080068B">
        <w:rPr>
          <w:rFonts w:ascii="Times New Roman" w:hAnsi="Times New Roman" w:cs="Times New Roman"/>
          <w:color w:val="0000FF"/>
        </w:rPr>
        <w:t xml:space="preserve">during this period </w:t>
      </w:r>
      <w:r>
        <w:rPr>
          <w:rFonts w:ascii="Times New Roman" w:hAnsi="Times New Roman" w:cs="Times New Roman"/>
          <w:color w:val="0000FF"/>
        </w:rPr>
        <w:t xml:space="preserve">monetary policy opened up the </w:t>
      </w:r>
      <w:r w:rsidRPr="00337A40">
        <w:rPr>
          <w:rFonts w:ascii="Times New Roman" w:hAnsi="Times New Roman" w:cs="Times New Roman"/>
          <w:color w:val="0000FF"/>
        </w:rPr>
        <w:t>economy to self-fulfilling sunspots</w:t>
      </w:r>
      <w:r>
        <w:rPr>
          <w:rFonts w:ascii="Times New Roman" w:hAnsi="Times New Roman" w:cs="Times New Roman"/>
          <w:color w:val="0000FF"/>
        </w:rPr>
        <w:t xml:space="preserve"> or “inflation scares” </w:t>
      </w:r>
      <w:r w:rsidRPr="00337A40">
        <w:rPr>
          <w:rFonts w:ascii="Times New Roman" w:hAnsi="Times New Roman" w:cs="Times New Roman"/>
          <w:color w:val="0000FF"/>
        </w:rPr>
        <w:t>(Clarida, Gali, and Gertler (1999), Goodfriend (2007))</w:t>
      </w:r>
      <w:r>
        <w:rPr>
          <w:rFonts w:ascii="Times New Roman" w:hAnsi="Times New Roman" w:cs="Times New Roman"/>
          <w:color w:val="0000FF"/>
        </w:rPr>
        <w:t xml:space="preserve">. While important, these issues are beyond the scope of this paper. The 1980s hence provide an ideal calibration period for this paper, as this period featured substantial supply shock uncertainty and a sufficiently inflation-responsive monetary policy rule, thereby sidestepping the issue of sunspots and self-fulfilling inflation expectations.  </w:t>
      </w:r>
      <w:r w:rsidR="00781C70">
        <w:rPr>
          <w:rFonts w:ascii="Times New Roman" w:hAnsi="Times New Roman" w:cs="Times New Roman"/>
          <w:color w:val="0000FF"/>
        </w:rPr>
        <w:t xml:space="preserve">I added a brief discussion to the introduction explaining </w:t>
      </w:r>
      <w:r w:rsidR="005C3C2D">
        <w:rPr>
          <w:rFonts w:ascii="Times New Roman" w:hAnsi="Times New Roman" w:cs="Times New Roman"/>
          <w:color w:val="0000FF"/>
        </w:rPr>
        <w:t xml:space="preserve">why I calibrate the model to the 1980s rather than the 1970s </w:t>
      </w:r>
      <w:r w:rsidR="005C3C2D" w:rsidRPr="005C3C2D">
        <w:rPr>
          <w:rFonts w:ascii="Times New Roman" w:hAnsi="Times New Roman" w:cs="Times New Roman"/>
          <w:color w:val="0000FF"/>
        </w:rPr>
        <w:t>(</w:t>
      </w:r>
      <w:r w:rsidR="005C3C2D">
        <w:rPr>
          <w:rFonts w:ascii="Times New Roman" w:hAnsi="Times New Roman" w:cs="Times New Roman"/>
          <w:b/>
          <w:bCs/>
          <w:color w:val="0000FF"/>
        </w:rPr>
        <w:t xml:space="preserve">p3, </w:t>
      </w:r>
      <w:r w:rsidR="005C3C2D" w:rsidRPr="005C3C2D">
        <w:rPr>
          <w:rFonts w:ascii="Times New Roman" w:hAnsi="Times New Roman" w:cs="Times New Roman"/>
          <w:b/>
          <w:bCs/>
          <w:color w:val="0000FF"/>
        </w:rPr>
        <w:t>paragraph starting “The calibrated changes…”</w:t>
      </w:r>
      <w:r w:rsidR="005C3C2D">
        <w:rPr>
          <w:rFonts w:ascii="Times New Roman" w:hAnsi="Times New Roman" w:cs="Times New Roman"/>
          <w:color w:val="0000FF"/>
        </w:rPr>
        <w:t>).</w:t>
      </w:r>
    </w:p>
    <w:p w14:paraId="6D356BB9"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7383316F"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7647C969"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0D76622F"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751F92C8"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3572836E"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0528EA1B" w14:textId="7298E7D8" w:rsidR="00F5180B" w:rsidRPr="00911C0D" w:rsidRDefault="00F5180B" w:rsidP="00F5180B">
      <w:pPr>
        <w:autoSpaceDE w:val="0"/>
        <w:autoSpaceDN w:val="0"/>
        <w:adjustRightInd w:val="0"/>
        <w:spacing w:after="0" w:line="240" w:lineRule="auto"/>
        <w:jc w:val="center"/>
        <w:rPr>
          <w:b/>
          <w:bCs/>
        </w:rPr>
      </w:pPr>
      <w:r w:rsidRPr="00911C0D">
        <w:rPr>
          <w:rFonts w:ascii="Times New Roman" w:hAnsi="Times New Roman" w:cs="Times New Roman"/>
          <w:b/>
          <w:bCs/>
        </w:rPr>
        <w:t xml:space="preserve">Figure 8: </w:t>
      </w:r>
      <w:r w:rsidRPr="00911C0D">
        <w:rPr>
          <w:b/>
          <w:bCs/>
        </w:rPr>
        <w:t>Model</w:t>
      </w:r>
      <w:r w:rsidR="00B832DF">
        <w:rPr>
          <w:b/>
          <w:bCs/>
        </w:rPr>
        <w:t>-Implied</w:t>
      </w:r>
      <w:r w:rsidRPr="00911C0D">
        <w:rPr>
          <w:b/>
          <w:bCs/>
        </w:rPr>
        <w:t xml:space="preserve"> Nominal Bond-Stock Beta vs. 1980s Bond-Stock Beta</w:t>
      </w:r>
    </w:p>
    <w:p w14:paraId="0DA9CACE" w14:textId="77777777" w:rsidR="00F5180B" w:rsidRPr="00911C0D" w:rsidRDefault="00F5180B" w:rsidP="00F5180B">
      <w:pPr>
        <w:autoSpaceDE w:val="0"/>
        <w:autoSpaceDN w:val="0"/>
        <w:adjustRightInd w:val="0"/>
        <w:spacing w:after="0" w:line="240" w:lineRule="auto"/>
        <w:jc w:val="center"/>
        <w:rPr>
          <w:rFonts w:ascii="Times New Roman" w:hAnsi="Times New Roman" w:cs="Times New Roman"/>
          <w:b/>
          <w:bCs/>
        </w:rPr>
      </w:pPr>
      <w:r w:rsidRPr="00911C0D">
        <w:rPr>
          <w:b/>
          <w:bCs/>
        </w:rPr>
        <w:t xml:space="preserve">Panel A: </w:t>
      </w:r>
      <w:r w:rsidRPr="00911C0D">
        <w:t xml:space="preserve">MP Inertia </w:t>
      </w:r>
      <m:oMath>
        <m:sSup>
          <m:sSupPr>
            <m:ctrlPr>
              <w:rPr>
                <w:rFonts w:ascii="Cambria Math" w:hAnsi="Cambria Math"/>
                <w:i/>
              </w:rPr>
            </m:ctrlPr>
          </m:sSupPr>
          <m:e>
            <m:r>
              <w:rPr>
                <w:rFonts w:ascii="Cambria Math" w:hAnsi="Cambria Math"/>
              </w:rPr>
              <m:t>ρ</m:t>
            </m:r>
          </m:e>
          <m:sup>
            <m:r>
              <w:rPr>
                <w:rFonts w:ascii="Cambria Math" w:hAnsi="Cambria Math"/>
              </w:rPr>
              <m:t>i</m:t>
            </m:r>
          </m:sup>
        </m:sSup>
        <m:r>
          <w:rPr>
            <w:rFonts w:ascii="Cambria Math" w:hAnsi="Cambria Math"/>
          </w:rPr>
          <m:t>=0.54</m:t>
        </m:r>
      </m:oMath>
    </w:p>
    <w:p w14:paraId="45D5EEC4"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3B35BC4E" w14:textId="77777777" w:rsidR="00F5180B" w:rsidRDefault="00F5180B" w:rsidP="00F5180B">
      <w:pPr>
        <w:autoSpaceDE w:val="0"/>
        <w:autoSpaceDN w:val="0"/>
        <w:adjustRightInd w:val="0"/>
        <w:spacing w:after="0" w:line="240" w:lineRule="auto"/>
        <w:rPr>
          <w:rFonts w:ascii="Segoe UI" w:hAnsi="Segoe UI" w:cs="Segoe UI"/>
          <w:color w:val="000000"/>
          <w:sz w:val="21"/>
          <w:szCs w:val="21"/>
        </w:rPr>
      </w:pPr>
      <w:r>
        <w:rPr>
          <w:noProof/>
        </w:rPr>
        <w:drawing>
          <wp:inline distT="0" distB="0" distL="0" distR="0" wp14:anchorId="041A5229" wp14:editId="00CEB2B5">
            <wp:extent cx="5334000" cy="4000500"/>
            <wp:effectExtent l="0" t="0" r="0" b="0"/>
            <wp:docPr id="731501127"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1127" name="Picture 4" descr="A diagram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2D13E042" w14:textId="1785D3C8" w:rsidR="003C5071"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037D6C58" w14:textId="77777777" w:rsidR="003C5071"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56D61383" w14:textId="661D323F" w:rsidR="00713C40"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Second</w:t>
      </w:r>
      <w:r w:rsidR="00AD3567">
        <w:rPr>
          <w:rFonts w:ascii="Times New Roman" w:hAnsi="Times New Roman" w:cs="Times New Roman"/>
          <w:color w:val="0000FF"/>
        </w:rPr>
        <w:t>,</w:t>
      </w:r>
      <w:r w:rsidR="002348CC">
        <w:rPr>
          <w:rFonts w:ascii="Times New Roman" w:hAnsi="Times New Roman" w:cs="Times New Roman"/>
          <w:color w:val="0000FF"/>
        </w:rPr>
        <w:t xml:space="preserve"> the revised manuscript includes </w:t>
      </w:r>
      <w:r w:rsidR="00805549">
        <w:rPr>
          <w:rFonts w:ascii="Times New Roman" w:hAnsi="Times New Roman" w:cs="Times New Roman"/>
          <w:color w:val="0000FF"/>
        </w:rPr>
        <w:t xml:space="preserve">new anecdotes and references for examples of supply shocks during the 1980s and 1990s. It is important to keep in mind that in my model bond-stock betas depend on the volatility of supply shocks, but the sign of these shocks can be either positive or negative. </w:t>
      </w:r>
      <w:r w:rsidR="00713C40">
        <w:rPr>
          <w:rFonts w:ascii="Times New Roman" w:hAnsi="Times New Roman" w:cs="Times New Roman"/>
          <w:color w:val="0000FF"/>
        </w:rPr>
        <w:t>While the 1970s were a period of dramatic adverse supply shocks, the 1980s and 1990s featured substantial supply shocks that tended to be positive, such as in 1986 when Saudi Arabia more than doubled its own oil output leading to</w:t>
      </w:r>
      <w:r w:rsidR="00BB0E92">
        <w:rPr>
          <w:rFonts w:ascii="Times New Roman" w:hAnsi="Times New Roman" w:cs="Times New Roman"/>
          <w:color w:val="0000FF"/>
        </w:rPr>
        <w:t xml:space="preserve"> </w:t>
      </w:r>
      <w:r w:rsidR="00713C40">
        <w:rPr>
          <w:rFonts w:ascii="Times New Roman" w:hAnsi="Times New Roman" w:cs="Times New Roman"/>
          <w:color w:val="0000FF"/>
        </w:rPr>
        <w:t xml:space="preserve">a </w:t>
      </w:r>
      <w:r w:rsidR="00417DAB">
        <w:rPr>
          <w:rFonts w:ascii="Times New Roman" w:hAnsi="Times New Roman" w:cs="Times New Roman"/>
          <w:color w:val="0000FF"/>
        </w:rPr>
        <w:t>dramatic</w:t>
      </w:r>
      <w:r w:rsidR="00713C40">
        <w:rPr>
          <w:rFonts w:ascii="Times New Roman" w:hAnsi="Times New Roman" w:cs="Times New Roman"/>
          <w:color w:val="0000FF"/>
        </w:rPr>
        <w:t xml:space="preserve"> drop in oil prices</w:t>
      </w:r>
      <w:r w:rsidR="00915876">
        <w:rPr>
          <w:rFonts w:ascii="Times New Roman" w:hAnsi="Times New Roman" w:cs="Times New Roman"/>
          <w:color w:val="0000FF"/>
        </w:rPr>
        <w:t xml:space="preserve"> (Gately, 1986)</w:t>
      </w:r>
      <w:r w:rsidR="00713C40">
        <w:rPr>
          <w:rFonts w:ascii="Times New Roman" w:hAnsi="Times New Roman" w:cs="Times New Roman"/>
          <w:color w:val="0000FF"/>
        </w:rPr>
        <w:t xml:space="preserve">. These shocks were viewed as highly relevant for monetary policy during </w:t>
      </w:r>
      <w:r w:rsidR="00417DAB">
        <w:rPr>
          <w:rFonts w:ascii="Times New Roman" w:hAnsi="Times New Roman" w:cs="Times New Roman"/>
          <w:color w:val="0000FF"/>
        </w:rPr>
        <w:t>1980s and 1990s</w:t>
      </w:r>
      <w:r w:rsidR="00713C40">
        <w:rPr>
          <w:rFonts w:ascii="Times New Roman" w:hAnsi="Times New Roman" w:cs="Times New Roman"/>
          <w:color w:val="0000FF"/>
        </w:rPr>
        <w:t xml:space="preserve">, as illustrated by the following quote from Greg Mankiw in a </w:t>
      </w:r>
      <w:r w:rsidR="00713C40" w:rsidRPr="00A4499C">
        <w:rPr>
          <w:rFonts w:ascii="Times New Roman" w:hAnsi="Times New Roman" w:cs="Times New Roman"/>
          <w:color w:val="0000FF"/>
        </w:rPr>
        <w:t>Fortune</w:t>
      </w:r>
      <w:r w:rsidR="00713C40">
        <w:rPr>
          <w:rFonts w:ascii="Times New Roman" w:hAnsi="Times New Roman" w:cs="Times New Roman"/>
          <w:color w:val="0000FF"/>
        </w:rPr>
        <w:t xml:space="preserve"> article from December 1997: </w:t>
      </w:r>
    </w:p>
    <w:p w14:paraId="3324BB25" w14:textId="77777777" w:rsidR="00713C40" w:rsidRDefault="00713C40"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76FC039B" w14:textId="77777777" w:rsidR="00713C40" w:rsidRPr="00A4499C" w:rsidRDefault="00713C40" w:rsidP="00713C40">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w:t>
      </w:r>
      <w:r w:rsidRPr="00713C40">
        <w:rPr>
          <w:rFonts w:ascii="Times New Roman" w:hAnsi="Times New Roman" w:cs="Times New Roman"/>
          <w:color w:val="0000FF"/>
          <w:sz w:val="22"/>
          <w:szCs w:val="22"/>
        </w:rPr>
        <w:lastRenderedPageBreak/>
        <w:t>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to 120 yen per dollar has put downward 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4F75F130" w14:textId="6BFA28CC" w:rsidR="00AD3567" w:rsidRPr="00A4499C" w:rsidRDefault="00713C40" w:rsidP="00713C40">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3BD6A436" w14:textId="77777777" w:rsidR="003623A0" w:rsidRPr="00A4499C" w:rsidRDefault="003623A0" w:rsidP="00713C40">
      <w:pPr>
        <w:pStyle w:val="Default"/>
        <w:ind w:left="720" w:firstLine="720"/>
        <w:rPr>
          <w:rFonts w:ascii="Times New Roman" w:hAnsi="Times New Roman" w:cs="Times New Roman"/>
          <w:color w:val="0000FF"/>
          <w:sz w:val="22"/>
          <w:szCs w:val="22"/>
        </w:rPr>
      </w:pPr>
    </w:p>
    <w:p w14:paraId="27700372" w14:textId="76855810"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Supply shocks arising from new technology and the “New Economy” were also highly salient to monetary policy makers during </w:t>
      </w:r>
      <w:r w:rsidR="00A4499C">
        <w:rPr>
          <w:rFonts w:ascii="Times New Roman" w:hAnsi="Times New Roman" w:cs="Times New Roman"/>
          <w:color w:val="0000FF"/>
        </w:rPr>
        <w:t xml:space="preserve">my first subperiod, and in particular during the 1990s. </w:t>
      </w:r>
      <w:r>
        <w:rPr>
          <w:rFonts w:ascii="Times New Roman" w:hAnsi="Times New Roman" w:cs="Times New Roman"/>
          <w:color w:val="0000FF"/>
        </w:rPr>
        <w:t xml:space="preserve">The puzzle for economists and policy makers </w:t>
      </w:r>
      <w:r w:rsidR="00A4499C">
        <w:rPr>
          <w:rFonts w:ascii="Times New Roman" w:hAnsi="Times New Roman" w:cs="Times New Roman"/>
          <w:color w:val="0000FF"/>
        </w:rPr>
        <w:t xml:space="preserve">during the 1990s </w:t>
      </w:r>
      <w:r>
        <w:rPr>
          <w:rFonts w:ascii="Times New Roman" w:hAnsi="Times New Roman" w:cs="Times New Roman"/>
          <w:color w:val="0000FF"/>
        </w:rPr>
        <w:t xml:space="preserve">was how the US economy was able to perform so well while inflation remained low. </w:t>
      </w:r>
      <w:r w:rsidR="00F73FE3">
        <w:rPr>
          <w:rFonts w:ascii="Times New Roman" w:hAnsi="Times New Roman" w:cs="Times New Roman"/>
          <w:color w:val="0000FF"/>
        </w:rPr>
        <w:t xml:space="preserve">It is immediate that these empirical observations would contribute to the negative empirical inflation-output gap relationship displayed in the </w:t>
      </w:r>
      <w:r>
        <w:rPr>
          <w:rFonts w:ascii="Times New Roman" w:hAnsi="Times New Roman" w:cs="Times New Roman"/>
          <w:color w:val="0000FF"/>
        </w:rPr>
        <w:t>top-left panel of Figure 2</w:t>
      </w:r>
      <w:r w:rsidR="00F73FE3">
        <w:rPr>
          <w:rFonts w:ascii="Times New Roman" w:hAnsi="Times New Roman" w:cs="Times New Roman"/>
          <w:color w:val="0000FF"/>
        </w:rPr>
        <w:t xml:space="preserve">, and hence to the identification of volatile supply shocks during my first calibration period. Fed Chair </w:t>
      </w:r>
      <w:r>
        <w:rPr>
          <w:rFonts w:ascii="Times New Roman" w:hAnsi="Times New Roman" w:cs="Times New Roman"/>
          <w:color w:val="0000FF"/>
        </w:rPr>
        <w:t xml:space="preserve">Alan Greenspan </w:t>
      </w:r>
      <w:r w:rsidR="00F73FE3">
        <w:rPr>
          <w:rFonts w:ascii="Times New Roman" w:hAnsi="Times New Roman" w:cs="Times New Roman"/>
          <w:color w:val="0000FF"/>
        </w:rPr>
        <w:t xml:space="preserve">himself </w:t>
      </w:r>
      <w:r>
        <w:rPr>
          <w:rFonts w:ascii="Times New Roman" w:hAnsi="Times New Roman" w:cs="Times New Roman"/>
          <w:color w:val="0000FF"/>
        </w:rPr>
        <w:t>famously attributed th</w:t>
      </w:r>
      <w:r w:rsidR="00F73FE3">
        <w:rPr>
          <w:rFonts w:ascii="Times New Roman" w:hAnsi="Times New Roman" w:cs="Times New Roman"/>
          <w:color w:val="0000FF"/>
        </w:rPr>
        <w:t>e</w:t>
      </w:r>
      <w:r>
        <w:rPr>
          <w:rFonts w:ascii="Times New Roman" w:hAnsi="Times New Roman" w:cs="Times New Roman"/>
          <w:color w:val="0000FF"/>
        </w:rPr>
        <w:t xml:space="preserve"> performance of the US economy </w:t>
      </w:r>
      <w:r w:rsidR="00F73FE3">
        <w:rPr>
          <w:rFonts w:ascii="Times New Roman" w:hAnsi="Times New Roman" w:cs="Times New Roman"/>
          <w:color w:val="0000FF"/>
        </w:rPr>
        <w:t xml:space="preserve">with low inflation during this period </w:t>
      </w:r>
      <w:r>
        <w:rPr>
          <w:rFonts w:ascii="Times New Roman" w:hAnsi="Times New Roman" w:cs="Times New Roman"/>
          <w:color w:val="0000FF"/>
        </w:rPr>
        <w:t>to technology shocks and the “New Economy”</w:t>
      </w:r>
      <w:r w:rsidR="00F73FE3">
        <w:rPr>
          <w:rFonts w:ascii="Times New Roman" w:hAnsi="Times New Roman" w:cs="Times New Roman"/>
          <w:color w:val="0000FF"/>
        </w:rPr>
        <w:t xml:space="preserve"> in statements such as the following:</w:t>
      </w:r>
    </w:p>
    <w:p w14:paraId="1A5EA6B0"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36EA4F8E" w14:textId="3EA62FEA" w:rsidR="00417DAB" w:rsidRPr="00A4499C" w:rsidRDefault="00417DAB" w:rsidP="00417DAB">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w:t>
      </w:r>
      <w:r w:rsidR="00FD39E2" w:rsidRPr="00A4499C">
        <w:rPr>
          <w:rFonts w:ascii="Times New Roman" w:hAnsi="Times New Roman" w:cs="Times New Roman"/>
          <w:color w:val="0000FF"/>
        </w:rPr>
        <w:t xml:space="preserve"> </w:t>
      </w:r>
      <w:r w:rsidRPr="00A4499C">
        <w:rPr>
          <w:rFonts w:ascii="Times New Roman" w:hAnsi="Times New Roman" w:cs="Times New Roman"/>
          <w:color w:val="0000FF"/>
        </w:rPr>
        <w:t>contain inflationary tendencies. An ever-increasing share of our nation's workforce uses the tools of new technologies. Microchips embodied in physical capital make it work more efficiently, and sophisticated software adds to intellectual capital.”</w:t>
      </w:r>
    </w:p>
    <w:p w14:paraId="501446D3" w14:textId="34EDF5DA" w:rsidR="003623A0" w:rsidRPr="00A4499C" w:rsidRDefault="00EA4C67" w:rsidP="003623A0">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 xml:space="preserve">(Chairman Alan Greenspan, </w:t>
      </w:r>
      <w:r w:rsidR="00BF1FBE" w:rsidRPr="00A4499C">
        <w:rPr>
          <w:rFonts w:ascii="Times New Roman" w:hAnsi="Times New Roman" w:cs="Times New Roman"/>
          <w:color w:val="0000FF"/>
          <w:sz w:val="22"/>
          <w:szCs w:val="22"/>
        </w:rPr>
        <w:t>Semiannual</w:t>
      </w:r>
      <w:r w:rsidRPr="00A4499C">
        <w:rPr>
          <w:rFonts w:ascii="Times New Roman" w:hAnsi="Times New Roman" w:cs="Times New Roman"/>
          <w:color w:val="0000FF"/>
          <w:sz w:val="22"/>
          <w:szCs w:val="22"/>
        </w:rPr>
        <w:t xml:space="preserve"> monetary policy report</w:t>
      </w:r>
      <w:r w:rsidR="00BF1FBE" w:rsidRPr="00A4499C">
        <w:rPr>
          <w:rFonts w:ascii="Times New Roman" w:hAnsi="Times New Roman" w:cs="Times New Roman"/>
          <w:color w:val="0000FF"/>
          <w:sz w:val="22"/>
          <w:szCs w:val="22"/>
        </w:rPr>
        <w:t xml:space="preserve">, </w:t>
      </w:r>
      <w:r w:rsidRPr="00A4499C">
        <w:rPr>
          <w:rFonts w:ascii="Times New Roman" w:hAnsi="Times New Roman" w:cs="Times New Roman"/>
          <w:color w:val="0000FF"/>
          <w:sz w:val="22"/>
          <w:szCs w:val="22"/>
        </w:rPr>
        <w:t>U.S. Senate July 18, 1996)</w:t>
      </w:r>
    </w:p>
    <w:p w14:paraId="1E2D8913" w14:textId="77777777" w:rsidR="003623A0" w:rsidRDefault="003623A0" w:rsidP="003623A0">
      <w:pPr>
        <w:pStyle w:val="Default"/>
        <w:ind w:left="1080"/>
        <w:rPr>
          <w:rFonts w:ascii="Times New Roman" w:hAnsi="Times New Roman" w:cs="Times New Roman"/>
          <w:color w:val="0000FF"/>
        </w:rPr>
      </w:pPr>
    </w:p>
    <w:p w14:paraId="64E2C47B" w14:textId="217E2D47" w:rsidR="003623A0" w:rsidRPr="003623A0" w:rsidRDefault="003623A0" w:rsidP="003623A0">
      <w:pPr>
        <w:pStyle w:val="Default"/>
        <w:ind w:left="360"/>
        <w:rPr>
          <w:rFonts w:ascii="Times New Roman" w:hAnsi="Times New Roman" w:cs="Times New Roman"/>
          <w:color w:val="0000FF"/>
          <w:sz w:val="22"/>
          <w:szCs w:val="22"/>
        </w:rPr>
      </w:pPr>
      <w:r w:rsidRPr="003623A0">
        <w:rPr>
          <w:rFonts w:ascii="Times New Roman" w:hAnsi="Times New Roman" w:cs="Times New Roman"/>
          <w:color w:val="0000FF"/>
          <w:sz w:val="22"/>
          <w:szCs w:val="22"/>
        </w:rPr>
        <w:t xml:space="preserve">Not all supply shocks during the 1980s and 1990s were positive, and as you mention Goodfriend (2007) </w:t>
      </w:r>
      <w:r w:rsidR="00C0361C">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Also consistent with my break date, Goodfriend (2007) argues that the late 1990s represented a significant break in monetary policy towards a “new consensus”. I therefore view </w:t>
      </w:r>
      <w:r w:rsidR="00A4499C">
        <w:rPr>
          <w:rFonts w:ascii="Times New Roman" w:hAnsi="Times New Roman" w:cs="Times New Roman"/>
          <w:color w:val="0000FF"/>
          <w:sz w:val="22"/>
          <w:szCs w:val="22"/>
        </w:rPr>
        <w:t xml:space="preserve">his </w:t>
      </w:r>
      <w:r w:rsidR="00A4499C" w:rsidRPr="003623A0">
        <w:rPr>
          <w:rFonts w:ascii="Times New Roman" w:hAnsi="Times New Roman" w:cs="Times New Roman"/>
          <w:color w:val="0000FF"/>
          <w:sz w:val="22"/>
          <w:szCs w:val="22"/>
        </w:rPr>
        <w:t>insightful</w:t>
      </w:r>
      <w:r w:rsidRPr="003623A0">
        <w:rPr>
          <w:rFonts w:ascii="Times New Roman" w:hAnsi="Times New Roman" w:cs="Times New Roman"/>
          <w:color w:val="0000FF"/>
          <w:sz w:val="22"/>
          <w:szCs w:val="22"/>
        </w:rPr>
        <w:t xml:space="preserve"> account of US monetary policy as </w:t>
      </w:r>
      <w:r w:rsidR="004F7184">
        <w:rPr>
          <w:rFonts w:ascii="Times New Roman" w:hAnsi="Times New Roman" w:cs="Times New Roman"/>
          <w:color w:val="0000FF"/>
          <w:sz w:val="22"/>
          <w:szCs w:val="22"/>
        </w:rPr>
        <w:t>supportive of the break date used in this manuscript.</w:t>
      </w:r>
      <w:r w:rsidRPr="003623A0">
        <w:rPr>
          <w:rFonts w:ascii="Times New Roman" w:hAnsi="Times New Roman" w:cs="Times New Roman"/>
          <w:color w:val="0000FF"/>
          <w:sz w:val="22"/>
          <w:szCs w:val="22"/>
        </w:rPr>
        <w:t xml:space="preserve"> </w:t>
      </w:r>
    </w:p>
    <w:p w14:paraId="48C58963"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0B59B5AE" w14:textId="51699AAF" w:rsidR="00FD39E2" w:rsidRDefault="00805549" w:rsidP="002C3333">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To quantify this anecdotal evidence, I added a</w:t>
      </w:r>
      <w:r w:rsidR="00A4499C">
        <w:rPr>
          <w:rFonts w:ascii="Times New Roman" w:hAnsi="Times New Roman" w:cs="Times New Roman"/>
          <w:color w:val="0000FF"/>
        </w:rPr>
        <w:t xml:space="preserve"> simple quantification for the perceived relevance of supply shocks across the decades using newspaper counts</w:t>
      </w:r>
      <w:r w:rsidR="002D604B">
        <w:rPr>
          <w:rFonts w:ascii="Times New Roman" w:hAnsi="Times New Roman" w:cs="Times New Roman"/>
          <w:color w:val="0000FF"/>
        </w:rPr>
        <w:t xml:space="preserve"> to the revised manuscript</w:t>
      </w:r>
      <w:r w:rsidR="00A4499C">
        <w:rPr>
          <w:rFonts w:ascii="Times New Roman" w:hAnsi="Times New Roman" w:cs="Times New Roman"/>
          <w:color w:val="0000FF"/>
        </w:rPr>
        <w:t xml:space="preserve">. The results are shown in the </w:t>
      </w:r>
      <w:r w:rsidR="00A21E01" w:rsidRPr="00911C0D">
        <w:rPr>
          <w:rFonts w:ascii="Times New Roman" w:hAnsi="Times New Roman" w:cs="Times New Roman"/>
          <w:b/>
          <w:bCs/>
          <w:color w:val="0000FF"/>
        </w:rPr>
        <w:t xml:space="preserve">new </w:t>
      </w:r>
      <w:r w:rsidR="00660085" w:rsidRPr="00911C0D">
        <w:rPr>
          <w:rFonts w:ascii="Times New Roman" w:hAnsi="Times New Roman" w:cs="Times New Roman"/>
          <w:b/>
          <w:bCs/>
          <w:color w:val="0000FF"/>
        </w:rPr>
        <w:t>Appendix Figure A1</w:t>
      </w:r>
      <w:r w:rsidR="00A4499C">
        <w:rPr>
          <w:rFonts w:ascii="Times New Roman" w:hAnsi="Times New Roman" w:cs="Times New Roman"/>
          <w:color w:val="0000FF"/>
        </w:rPr>
        <w:t xml:space="preserve">, </w:t>
      </w:r>
      <w:r w:rsidR="00660085">
        <w:rPr>
          <w:rFonts w:ascii="Times New Roman" w:hAnsi="Times New Roman" w:cs="Times New Roman"/>
          <w:color w:val="0000FF"/>
        </w:rPr>
        <w:t xml:space="preserve">reproduced below for your convenience. </w:t>
      </w:r>
      <w:r w:rsidR="00A4499C">
        <w:rPr>
          <w:rFonts w:ascii="Times New Roman" w:hAnsi="Times New Roman" w:cs="Times New Roman"/>
          <w:color w:val="0000FF"/>
        </w:rPr>
        <w:t xml:space="preserve">This figure shows for each decade the number of Wall Street Journal articles mentioning both “supply” and “inflation”, scaled by the number of articles </w:t>
      </w:r>
      <w:r w:rsidR="002D604B">
        <w:rPr>
          <w:rFonts w:ascii="Times New Roman" w:hAnsi="Times New Roman" w:cs="Times New Roman"/>
          <w:color w:val="0000FF"/>
        </w:rPr>
        <w:t>mentioning</w:t>
      </w:r>
      <w:r w:rsidR="00A4499C">
        <w:rPr>
          <w:rFonts w:ascii="Times New Roman" w:hAnsi="Times New Roman" w:cs="Times New Roman"/>
          <w:color w:val="0000FF"/>
        </w:rPr>
        <w:t xml:space="preserve"> “inflation”</w:t>
      </w:r>
      <w:r w:rsidR="008B575F">
        <w:rPr>
          <w:rFonts w:ascii="Times New Roman" w:hAnsi="Times New Roman" w:cs="Times New Roman"/>
          <w:color w:val="0000FF"/>
        </w:rPr>
        <w:t xml:space="preserve"> from Proquest</w:t>
      </w:r>
      <w:r w:rsidR="009D700B">
        <w:rPr>
          <w:rFonts w:ascii="Times New Roman" w:hAnsi="Times New Roman" w:cs="Times New Roman"/>
          <w:color w:val="0000FF"/>
        </w:rPr>
        <w:t xml:space="preserve"> Historical Newspapers</w:t>
      </w:r>
      <w:r w:rsidR="00A4499C">
        <w:rPr>
          <w:rFonts w:ascii="Times New Roman" w:hAnsi="Times New Roman" w:cs="Times New Roman"/>
          <w:color w:val="0000FF"/>
        </w:rPr>
        <w:t xml:space="preserve">. </w:t>
      </w:r>
      <w:r w:rsidR="00660085">
        <w:rPr>
          <w:rFonts w:ascii="Times New Roman" w:hAnsi="Times New Roman" w:cs="Times New Roman"/>
          <w:color w:val="0000FF"/>
        </w:rPr>
        <w:t xml:space="preserve">This new analysis shows that the </w:t>
      </w:r>
      <w:r w:rsidR="00A4499C">
        <w:rPr>
          <w:rFonts w:ascii="Times New Roman" w:hAnsi="Times New Roman" w:cs="Times New Roman"/>
          <w:color w:val="0000FF"/>
        </w:rPr>
        <w:t>share of supply mentions</w:t>
      </w:r>
      <w:r w:rsidR="00FD39E2">
        <w:rPr>
          <w:rFonts w:ascii="Times New Roman" w:hAnsi="Times New Roman" w:cs="Times New Roman"/>
          <w:color w:val="0000FF"/>
        </w:rPr>
        <w:t xml:space="preserve"> peaked in the 1980s. </w:t>
      </w:r>
      <w:r w:rsidR="00A4499C">
        <w:rPr>
          <w:rFonts w:ascii="Times New Roman" w:hAnsi="Times New Roman" w:cs="Times New Roman"/>
          <w:color w:val="0000FF"/>
        </w:rPr>
        <w:t xml:space="preserve">It </w:t>
      </w:r>
      <w:r w:rsidR="006314EB">
        <w:rPr>
          <w:rFonts w:ascii="Times New Roman" w:hAnsi="Times New Roman" w:cs="Times New Roman"/>
          <w:color w:val="0000FF"/>
        </w:rPr>
        <w:t xml:space="preserve">even slightly increased </w:t>
      </w:r>
      <w:r w:rsidR="002C3333">
        <w:rPr>
          <w:rFonts w:ascii="Times New Roman" w:hAnsi="Times New Roman" w:cs="Times New Roman"/>
          <w:color w:val="0000FF"/>
        </w:rPr>
        <w:t>from the 1970s to the 1980s</w:t>
      </w:r>
      <w:r w:rsidR="00A4499C">
        <w:rPr>
          <w:rFonts w:ascii="Times New Roman" w:hAnsi="Times New Roman" w:cs="Times New Roman"/>
          <w:color w:val="0000FF"/>
        </w:rPr>
        <w:t>. This seems plausible</w:t>
      </w:r>
      <w:r w:rsidR="002C3333">
        <w:rPr>
          <w:rFonts w:ascii="Times New Roman" w:hAnsi="Times New Roman" w:cs="Times New Roman"/>
          <w:color w:val="0000FF"/>
        </w:rPr>
        <w:t xml:space="preserve"> </w:t>
      </w:r>
      <w:r w:rsidR="006314EB">
        <w:rPr>
          <w:rFonts w:ascii="Times New Roman" w:hAnsi="Times New Roman" w:cs="Times New Roman"/>
          <w:color w:val="0000FF"/>
        </w:rPr>
        <w:t>because the</w:t>
      </w:r>
      <w:r w:rsidR="002C3333">
        <w:rPr>
          <w:rFonts w:ascii="Times New Roman" w:hAnsi="Times New Roman" w:cs="Times New Roman"/>
          <w:color w:val="0000FF"/>
        </w:rPr>
        <w:t xml:space="preserve"> dramatic supply shocks during the 1970s </w:t>
      </w:r>
      <w:r w:rsidR="006314EB">
        <w:rPr>
          <w:rFonts w:ascii="Times New Roman" w:hAnsi="Times New Roman" w:cs="Times New Roman"/>
          <w:color w:val="0000FF"/>
        </w:rPr>
        <w:t xml:space="preserve">arguably </w:t>
      </w:r>
      <w:r w:rsidR="002C3333">
        <w:rPr>
          <w:rFonts w:ascii="Times New Roman" w:hAnsi="Times New Roman" w:cs="Times New Roman"/>
          <w:color w:val="0000FF"/>
        </w:rPr>
        <w:t>struck as a surprise, whereas by the 1980s and 1990s economists, the public, and investors had learned to worry about supply shocks</w:t>
      </w:r>
      <w:r w:rsidR="006314EB">
        <w:rPr>
          <w:rFonts w:ascii="Times New Roman" w:hAnsi="Times New Roman" w:cs="Times New Roman"/>
          <w:color w:val="0000FF"/>
        </w:rPr>
        <w:t xml:space="preserve"> and these worries were </w:t>
      </w:r>
      <w:r w:rsidR="00A4499C">
        <w:rPr>
          <w:rFonts w:ascii="Times New Roman" w:hAnsi="Times New Roman" w:cs="Times New Roman"/>
          <w:color w:val="0000FF"/>
        </w:rPr>
        <w:t xml:space="preserve">plausibly </w:t>
      </w:r>
      <w:r w:rsidR="006314EB">
        <w:rPr>
          <w:rFonts w:ascii="Times New Roman" w:hAnsi="Times New Roman" w:cs="Times New Roman"/>
          <w:color w:val="0000FF"/>
        </w:rPr>
        <w:t>reflected in more frequent news mentions</w:t>
      </w:r>
      <w:r w:rsidR="002C3333">
        <w:rPr>
          <w:rFonts w:ascii="Times New Roman" w:hAnsi="Times New Roman" w:cs="Times New Roman"/>
          <w:color w:val="0000FF"/>
        </w:rPr>
        <w:t xml:space="preserve">. </w:t>
      </w:r>
      <w:r w:rsidR="00A4499C">
        <w:rPr>
          <w:rFonts w:ascii="Times New Roman" w:hAnsi="Times New Roman" w:cs="Times New Roman"/>
          <w:color w:val="0000FF"/>
        </w:rPr>
        <w:t xml:space="preserve">The figure also shows a spike in the concern about supply-driven inflation during the post-pandemic period starting in 2020, similar to the level last observed during the 1980s. </w:t>
      </w:r>
      <w:r w:rsidR="002C3333">
        <w:rPr>
          <w:rFonts w:ascii="Times New Roman" w:hAnsi="Times New Roman" w:cs="Times New Roman"/>
          <w:color w:val="0000FF"/>
        </w:rPr>
        <w:t xml:space="preserve">Overall, this analysis </w:t>
      </w:r>
      <w:r w:rsidR="0099367B">
        <w:rPr>
          <w:rFonts w:ascii="Times New Roman" w:hAnsi="Times New Roman" w:cs="Times New Roman"/>
          <w:color w:val="0000FF"/>
        </w:rPr>
        <w:t xml:space="preserve">based on newspaper counts </w:t>
      </w:r>
      <w:r w:rsidR="002C3333">
        <w:rPr>
          <w:rFonts w:ascii="Times New Roman" w:hAnsi="Times New Roman" w:cs="Times New Roman"/>
          <w:color w:val="0000FF"/>
        </w:rPr>
        <w:t xml:space="preserve">further supports the notion that the public and investors were highly attuned to macroeconomic supply shocks during the 1980s and </w:t>
      </w:r>
      <w:r>
        <w:rPr>
          <w:rFonts w:ascii="Times New Roman" w:hAnsi="Times New Roman" w:cs="Times New Roman"/>
          <w:color w:val="0000FF"/>
        </w:rPr>
        <w:t xml:space="preserve">again during </w:t>
      </w:r>
      <w:r w:rsidR="002C3333">
        <w:rPr>
          <w:rFonts w:ascii="Times New Roman" w:hAnsi="Times New Roman" w:cs="Times New Roman"/>
          <w:color w:val="0000FF"/>
        </w:rPr>
        <w:t xml:space="preserve">the post-pandemic period after 2020. </w:t>
      </w:r>
    </w:p>
    <w:p w14:paraId="1CC312C3"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3C05199F"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20BA796A" w14:textId="77777777" w:rsidR="006176DA" w:rsidRDefault="006176DA"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5C16C1AD" w14:textId="77777777" w:rsidR="006176DA" w:rsidRDefault="006176DA"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7503521E"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06EA648C"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492EDEDF" w14:textId="77777777" w:rsidR="00D66209" w:rsidRPr="00911C0D" w:rsidRDefault="00D66209" w:rsidP="00D66209">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lastRenderedPageBreak/>
        <w:t>Figure A1: Relative Frequency of Supply and Inflation in WSJ Articles</w:t>
      </w:r>
    </w:p>
    <w:p w14:paraId="67AE883F" w14:textId="0A028CC8" w:rsidR="00FD39E2" w:rsidRDefault="008B575F"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1BF62D46" wp14:editId="543F0AB8">
            <wp:extent cx="5562161" cy="2990850"/>
            <wp:effectExtent l="0" t="0" r="635" b="0"/>
            <wp:docPr id="1000150900"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39A3DC7A" w14:textId="4E4D77B2" w:rsidR="009F3240" w:rsidRDefault="00D36292" w:rsidP="00217EE6">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The revised manuscript discusses</w:t>
      </w:r>
      <w:r w:rsidR="00A06F7B">
        <w:rPr>
          <w:rFonts w:ascii="Times New Roman" w:hAnsi="Times New Roman" w:cs="Times New Roman"/>
          <w:color w:val="0000FF"/>
        </w:rPr>
        <w:t xml:space="preserve"> </w:t>
      </w:r>
      <w:r w:rsidR="009F3240">
        <w:rPr>
          <w:rFonts w:ascii="Times New Roman" w:hAnsi="Times New Roman" w:cs="Times New Roman"/>
          <w:color w:val="0000FF"/>
        </w:rPr>
        <w:t xml:space="preserve">prominent examples of supply shocks during </w:t>
      </w:r>
      <w:r w:rsidR="00B832DF">
        <w:rPr>
          <w:rFonts w:ascii="Times New Roman" w:hAnsi="Times New Roman" w:cs="Times New Roman"/>
          <w:color w:val="0000FF"/>
        </w:rPr>
        <w:t>the</w:t>
      </w:r>
      <w:r w:rsidR="009F3240">
        <w:rPr>
          <w:rFonts w:ascii="Times New Roman" w:hAnsi="Times New Roman" w:cs="Times New Roman"/>
          <w:color w:val="0000FF"/>
        </w:rPr>
        <w:t xml:space="preserve"> first subperiod </w:t>
      </w:r>
      <w:r w:rsidR="00B832DF">
        <w:rPr>
          <w:rFonts w:ascii="Times New Roman" w:hAnsi="Times New Roman" w:cs="Times New Roman"/>
          <w:color w:val="0000FF"/>
        </w:rPr>
        <w:t xml:space="preserve">and the news count evidence </w:t>
      </w:r>
      <w:r w:rsidR="00A06F7B">
        <w:rPr>
          <w:rFonts w:ascii="Times New Roman" w:hAnsi="Times New Roman" w:cs="Times New Roman"/>
          <w:color w:val="0000FF"/>
        </w:rPr>
        <w:t>in</w:t>
      </w:r>
      <w:r w:rsidR="009F3240">
        <w:rPr>
          <w:rFonts w:ascii="Times New Roman" w:hAnsi="Times New Roman" w:cs="Times New Roman"/>
          <w:color w:val="0000FF"/>
        </w:rPr>
        <w:t xml:space="preserve"> the following locations</w:t>
      </w:r>
      <w:r w:rsidR="00B832DF">
        <w:rPr>
          <w:rFonts w:ascii="Times New Roman" w:hAnsi="Times New Roman" w:cs="Times New Roman"/>
          <w:color w:val="0000FF"/>
        </w:rPr>
        <w:t xml:space="preserve"> of the revised manuscript</w:t>
      </w:r>
      <w:r w:rsidR="009F3240">
        <w:rPr>
          <w:rFonts w:ascii="Times New Roman" w:hAnsi="Times New Roman" w:cs="Times New Roman"/>
          <w:color w:val="0000FF"/>
        </w:rPr>
        <w:t>:</w:t>
      </w:r>
    </w:p>
    <w:p w14:paraId="36DFE488" w14:textId="77777777" w:rsidR="009F3240" w:rsidRPr="009F3240" w:rsidRDefault="00A06F7B"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p.3, </w:t>
      </w:r>
      <w:r w:rsidR="00C81D32" w:rsidRPr="009F3240">
        <w:rPr>
          <w:rFonts w:ascii="Times New Roman" w:hAnsi="Times New Roman" w:cs="Times New Roman"/>
          <w:b/>
          <w:bCs/>
          <w:color w:val="0000FF"/>
        </w:rPr>
        <w:t xml:space="preserve">paragraph starting </w:t>
      </w:r>
      <w:r w:rsidRPr="009F3240">
        <w:rPr>
          <w:rFonts w:ascii="Times New Roman" w:hAnsi="Times New Roman" w:cs="Times New Roman"/>
          <w:b/>
          <w:bCs/>
          <w:color w:val="0000FF"/>
        </w:rPr>
        <w:t xml:space="preserve">“The calibrated changes in the monetary policy rule </w:t>
      </w:r>
      <w:r w:rsidR="00217EE6" w:rsidRPr="009F3240">
        <w:rPr>
          <w:rFonts w:ascii="Times New Roman" w:hAnsi="Times New Roman" w:cs="Times New Roman"/>
          <w:b/>
          <w:bCs/>
          <w:color w:val="0000FF"/>
        </w:rPr>
        <w:t>(…)</w:t>
      </w:r>
    </w:p>
    <w:p w14:paraId="1261A335" w14:textId="6BBB22A4" w:rsidR="009F3240" w:rsidRPr="009F3240"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new footnote </w:t>
      </w:r>
      <w:r w:rsidR="009F3240">
        <w:rPr>
          <w:rFonts w:ascii="Times New Roman" w:hAnsi="Times New Roman" w:cs="Times New Roman"/>
          <w:b/>
          <w:bCs/>
          <w:color w:val="0000FF"/>
        </w:rPr>
        <w:t>4</w:t>
      </w:r>
      <w:r w:rsidR="00EB3E90" w:rsidRPr="009F3240">
        <w:rPr>
          <w:rFonts w:ascii="Times New Roman" w:hAnsi="Times New Roman" w:cs="Times New Roman"/>
          <w:b/>
          <w:bCs/>
          <w:color w:val="0000FF"/>
        </w:rPr>
        <w:t xml:space="preserve"> on p.3</w:t>
      </w:r>
    </w:p>
    <w:p w14:paraId="330CB9B2" w14:textId="77777777" w:rsidR="009F3240" w:rsidRPr="009F3240"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p.18</w:t>
      </w:r>
      <w:r w:rsidR="009F3240" w:rsidRPr="009F3240">
        <w:rPr>
          <w:rFonts w:ascii="Times New Roman" w:hAnsi="Times New Roman" w:cs="Times New Roman"/>
          <w:b/>
          <w:bCs/>
          <w:color w:val="0000FF"/>
        </w:rPr>
        <w:t xml:space="preserve">, </w:t>
      </w:r>
      <w:r w:rsidRPr="009F3240">
        <w:rPr>
          <w:rFonts w:ascii="Times New Roman" w:hAnsi="Times New Roman" w:cs="Times New Roman"/>
          <w:b/>
          <w:bCs/>
          <w:color w:val="0000FF"/>
        </w:rPr>
        <w:t>paragraph starting “A simple newspaper count exercise (…)”</w:t>
      </w:r>
    </w:p>
    <w:p w14:paraId="13FC3F4C" w14:textId="62C33E27" w:rsidR="00F45B94"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new footnote 14</w:t>
      </w:r>
      <w:r w:rsidR="00EB3E90" w:rsidRPr="009F3240">
        <w:rPr>
          <w:rFonts w:ascii="Times New Roman" w:hAnsi="Times New Roman" w:cs="Times New Roman"/>
          <w:b/>
          <w:bCs/>
          <w:color w:val="0000FF"/>
        </w:rPr>
        <w:t xml:space="preserve"> on p.18</w:t>
      </w:r>
    </w:p>
    <w:p w14:paraId="62342CFC" w14:textId="2E6C7ED8" w:rsidR="00E20E10" w:rsidRPr="009F3240" w:rsidRDefault="00E20E10"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Pr>
          <w:rFonts w:ascii="Times New Roman" w:hAnsi="Times New Roman" w:cs="Times New Roman"/>
          <w:b/>
          <w:bCs/>
          <w:color w:val="0000FF"/>
        </w:rPr>
        <w:t>new footnote 27 on p.37</w:t>
      </w:r>
    </w:p>
    <w:p w14:paraId="0DD90E12" w14:textId="77777777" w:rsidR="002A387A" w:rsidRPr="002A387A" w:rsidRDefault="002A387A"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5D8AD355" w14:textId="77777777" w:rsidR="009E10F4" w:rsidRPr="00C10E55" w:rsidRDefault="009E10F4" w:rsidP="00F761D5">
      <w:pPr>
        <w:pStyle w:val="ListParagraph"/>
        <w:widowControl w:val="0"/>
        <w:numPr>
          <w:ilvl w:val="0"/>
          <w:numId w:val="18"/>
        </w:numPr>
        <w:autoSpaceDE w:val="0"/>
        <w:autoSpaceDN w:val="0"/>
        <w:adjustRightInd w:val="0"/>
        <w:spacing w:after="0" w:line="240" w:lineRule="auto"/>
        <w:ind w:left="360"/>
        <w:jc w:val="both"/>
        <w:rPr>
          <w:rFonts w:ascii="Times New Roman" w:hAnsi="Times New Roman" w:cs="Times New Roman"/>
        </w:rPr>
      </w:pPr>
      <w:r w:rsidRPr="00C10E55">
        <w:rPr>
          <w:rFonts w:ascii="Times New Roman" w:hAnsi="Times New Roman" w:cs="Times New Roman"/>
        </w:rPr>
        <w:t xml:space="preserve">The referee provides an alternative explanation for recent events, which the author should consider. It would also be useful to examine the likelihood of observing four 75bps rate increases in a year without changing some of the Taylor rule’s parameters. I suspect that one way to examine the story proposed by the referee at the top of page 3 would consist in changing some of the parameters of the model to levels that are similar to the first part of the sample. There is a sense in which this aligns with what the author does in her counterfactuals. </w:t>
      </w:r>
    </w:p>
    <w:p w14:paraId="31DA43DD" w14:textId="77777777" w:rsidR="009E10F4" w:rsidRPr="00C10E55" w:rsidRDefault="009E10F4" w:rsidP="00C10E55">
      <w:pPr>
        <w:adjustRightInd w:val="0"/>
        <w:spacing w:after="0" w:line="240" w:lineRule="auto"/>
        <w:ind w:leftChars="200" w:left="440"/>
        <w:rPr>
          <w:rFonts w:ascii="Times New Roman" w:hAnsi="Times New Roman" w:cs="Times New Roman"/>
        </w:rPr>
      </w:pPr>
      <w:r w:rsidRPr="00C10E55">
        <w:rPr>
          <w:rFonts w:ascii="Times New Roman" w:hAnsi="Times New Roman" w:cs="Times New Roman"/>
        </w:rPr>
        <w:t>I think the reports contain relevant and well-crafted comments. Similarly, I think the paper has the potential to make an important contribution to the literature. In my opinion, it would be appropriate to offer the author an opportunity to address these comments.</w:t>
      </w:r>
    </w:p>
    <w:p w14:paraId="3D424677" w14:textId="32960C83" w:rsidR="00726C32" w:rsidRPr="00C10E55" w:rsidRDefault="00726C32" w:rsidP="00C10E55">
      <w:pPr>
        <w:autoSpaceDE w:val="0"/>
        <w:autoSpaceDN w:val="0"/>
        <w:adjustRightInd w:val="0"/>
        <w:spacing w:after="0" w:line="240" w:lineRule="auto"/>
        <w:jc w:val="both"/>
        <w:rPr>
          <w:rFonts w:ascii="Times New Roman" w:hAnsi="Times New Roman" w:cs="Times New Roman"/>
        </w:rPr>
      </w:pPr>
    </w:p>
    <w:p w14:paraId="25E82E7E" w14:textId="3053EFA8" w:rsidR="00E96ED9" w:rsidRDefault="00726C32" w:rsidP="0043656B">
      <w:pPr>
        <w:shd w:val="clear" w:color="auto" w:fill="FFFFFF"/>
        <w:spacing w:line="240" w:lineRule="auto"/>
        <w:ind w:left="360"/>
        <w:rPr>
          <w:rFonts w:ascii="Times New Roman" w:hAnsi="Times New Roman" w:cs="Times New Roman"/>
          <w:color w:val="0000FF"/>
        </w:rPr>
      </w:pPr>
      <w:r w:rsidRPr="0043656B">
        <w:rPr>
          <w:rFonts w:ascii="Times New Roman" w:hAnsi="Times New Roman" w:cs="Times New Roman"/>
          <w:b/>
          <w:bCs/>
          <w:color w:val="0000FF"/>
        </w:rPr>
        <w:t>Reply:</w:t>
      </w:r>
      <w:r w:rsidRPr="00C10E55">
        <w:rPr>
          <w:rFonts w:ascii="Times New Roman" w:hAnsi="Times New Roman" w:cs="Times New Roman"/>
          <w:color w:val="0000FF"/>
        </w:rPr>
        <w:t xml:space="preserve"> </w:t>
      </w:r>
      <w:r w:rsidR="00E96ED9">
        <w:rPr>
          <w:rFonts w:ascii="Times New Roman" w:hAnsi="Times New Roman" w:cs="Times New Roman"/>
          <w:color w:val="0000FF"/>
        </w:rPr>
        <w:t xml:space="preserve">Thank you for these excellent suggestions. </w:t>
      </w:r>
      <w:r w:rsidR="000F566E">
        <w:rPr>
          <w:rFonts w:ascii="Times New Roman" w:hAnsi="Times New Roman" w:cs="Times New Roman"/>
          <w:color w:val="0000FF"/>
        </w:rPr>
        <w:t>The</w:t>
      </w:r>
      <w:r w:rsidR="009C109E">
        <w:rPr>
          <w:rFonts w:ascii="Times New Roman" w:hAnsi="Times New Roman" w:cs="Times New Roman"/>
          <w:color w:val="0000FF"/>
        </w:rPr>
        <w:t xml:space="preserve"> </w:t>
      </w:r>
      <w:r w:rsidR="00943965" w:rsidRPr="00943965">
        <w:rPr>
          <w:rFonts w:ascii="Times New Roman" w:hAnsi="Times New Roman" w:cs="Times New Roman"/>
          <w:b/>
          <w:bCs/>
          <w:color w:val="0000FF"/>
        </w:rPr>
        <w:t>new Section 5</w:t>
      </w:r>
      <w:r w:rsidR="000F566E">
        <w:rPr>
          <w:rFonts w:ascii="Times New Roman" w:hAnsi="Times New Roman" w:cs="Times New Roman"/>
          <w:color w:val="0000FF"/>
        </w:rPr>
        <w:t xml:space="preserve"> contains an updated discussion of recent events, dividing the analysis into an early post-pandemic </w:t>
      </w:r>
      <w:r w:rsidR="00230EA7">
        <w:rPr>
          <w:rFonts w:ascii="Times New Roman" w:hAnsi="Times New Roman" w:cs="Times New Roman"/>
          <w:color w:val="0000FF"/>
        </w:rPr>
        <w:t xml:space="preserve">(until 2023.Q2) </w:t>
      </w:r>
      <w:r w:rsidR="000F566E">
        <w:rPr>
          <w:rFonts w:ascii="Times New Roman" w:hAnsi="Times New Roman" w:cs="Times New Roman"/>
          <w:color w:val="0000FF"/>
        </w:rPr>
        <w:t>and a late post-pandemic period</w:t>
      </w:r>
      <w:r w:rsidR="00230EA7">
        <w:rPr>
          <w:rFonts w:ascii="Times New Roman" w:hAnsi="Times New Roman" w:cs="Times New Roman"/>
          <w:color w:val="0000FF"/>
        </w:rPr>
        <w:t xml:space="preserve"> (2023.Q3-Q4)</w:t>
      </w:r>
      <w:r w:rsidR="00943965" w:rsidRPr="00943965">
        <w:rPr>
          <w:rFonts w:ascii="Times New Roman" w:hAnsi="Times New Roman" w:cs="Times New Roman"/>
          <w:b/>
          <w:bCs/>
          <w:color w:val="0000FF"/>
        </w:rPr>
        <w:t>.</w:t>
      </w:r>
      <w:r w:rsidR="00943965">
        <w:rPr>
          <w:rFonts w:ascii="Times New Roman" w:hAnsi="Times New Roman" w:cs="Times New Roman"/>
          <w:color w:val="0000FF"/>
        </w:rPr>
        <w:t xml:space="preserve"> </w:t>
      </w:r>
      <w:r w:rsidR="00E96ED9">
        <w:rPr>
          <w:rFonts w:ascii="Times New Roman" w:hAnsi="Times New Roman" w:cs="Times New Roman"/>
          <w:color w:val="0000FF"/>
        </w:rPr>
        <w:t xml:space="preserve">I find that the model can explain nominal and real bond-stock betas during the early post-pandemic with a low inflation coefficient. However, the model requires a high inflation coefficient during the later post-pandemic. I hence find that in the late post-pandemic period, bond-stock betas indeed </w:t>
      </w:r>
      <w:r w:rsidR="0083208C">
        <w:rPr>
          <w:rFonts w:ascii="Times New Roman" w:hAnsi="Times New Roman" w:cs="Times New Roman"/>
          <w:color w:val="0000FF"/>
        </w:rPr>
        <w:t xml:space="preserve">require changing the </w:t>
      </w:r>
      <w:r w:rsidR="00E96ED9">
        <w:rPr>
          <w:rFonts w:ascii="Times New Roman" w:hAnsi="Times New Roman" w:cs="Times New Roman"/>
          <w:color w:val="0000FF"/>
        </w:rPr>
        <w:t xml:space="preserve">monetary policy rule </w:t>
      </w:r>
      <w:r w:rsidR="0083208C">
        <w:rPr>
          <w:rFonts w:ascii="Times New Roman" w:hAnsi="Times New Roman" w:cs="Times New Roman"/>
          <w:color w:val="0000FF"/>
        </w:rPr>
        <w:t xml:space="preserve">to parameters that are </w:t>
      </w:r>
      <w:r w:rsidR="00E96ED9">
        <w:rPr>
          <w:rFonts w:ascii="Times New Roman" w:hAnsi="Times New Roman" w:cs="Times New Roman"/>
          <w:color w:val="0000FF"/>
        </w:rPr>
        <w:t xml:space="preserve">more similar to the first part of the sample, just as you suggested. </w:t>
      </w:r>
    </w:p>
    <w:p w14:paraId="1F2C1CC4" w14:textId="227B1974" w:rsidR="009253A3" w:rsidRDefault="008D2916" w:rsidP="00E96ED9">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Following your suggestion, </w:t>
      </w:r>
      <w:r w:rsidR="00872BC2">
        <w:rPr>
          <w:rFonts w:ascii="Times New Roman" w:hAnsi="Times New Roman" w:cs="Times New Roman"/>
          <w:color w:val="0000FF"/>
        </w:rPr>
        <w:t xml:space="preserve">the new Section 5 puts </w:t>
      </w:r>
      <w:r>
        <w:rPr>
          <w:rFonts w:ascii="Times New Roman" w:hAnsi="Times New Roman" w:cs="Times New Roman"/>
          <w:color w:val="0000FF"/>
        </w:rPr>
        <w:t xml:space="preserve">the model-implied monetary policy rule in the context of the recent inflation </w:t>
      </w:r>
      <w:r w:rsidR="0083208C">
        <w:rPr>
          <w:rFonts w:ascii="Times New Roman" w:hAnsi="Times New Roman" w:cs="Times New Roman"/>
          <w:color w:val="0000FF"/>
        </w:rPr>
        <w:t xml:space="preserve">spike </w:t>
      </w:r>
      <w:r>
        <w:rPr>
          <w:rFonts w:ascii="Times New Roman" w:hAnsi="Times New Roman" w:cs="Times New Roman"/>
          <w:color w:val="0000FF"/>
        </w:rPr>
        <w:t xml:space="preserve">and </w:t>
      </w:r>
      <w:r w:rsidR="00D9068C">
        <w:rPr>
          <w:rFonts w:ascii="Times New Roman" w:hAnsi="Times New Roman" w:cs="Times New Roman"/>
          <w:color w:val="0000FF"/>
        </w:rPr>
        <w:t xml:space="preserve">the </w:t>
      </w:r>
      <w:r>
        <w:rPr>
          <w:rFonts w:ascii="Times New Roman" w:hAnsi="Times New Roman" w:cs="Times New Roman"/>
          <w:color w:val="0000FF"/>
        </w:rPr>
        <w:t xml:space="preserve">subsequent energetic </w:t>
      </w:r>
      <w:r w:rsidR="00872BC2">
        <w:rPr>
          <w:rFonts w:ascii="Times New Roman" w:hAnsi="Times New Roman" w:cs="Times New Roman"/>
          <w:color w:val="0000FF"/>
        </w:rPr>
        <w:t>policy</w:t>
      </w:r>
      <w:r>
        <w:rPr>
          <w:rFonts w:ascii="Times New Roman" w:hAnsi="Times New Roman" w:cs="Times New Roman"/>
          <w:color w:val="0000FF"/>
        </w:rPr>
        <w:t xml:space="preserve"> rate hikes. </w:t>
      </w:r>
      <w:r w:rsidR="00E96ED9">
        <w:rPr>
          <w:rFonts w:ascii="Times New Roman" w:hAnsi="Times New Roman" w:cs="Times New Roman"/>
          <w:color w:val="0000FF"/>
        </w:rPr>
        <w:t xml:space="preserve">The timeline of </w:t>
      </w:r>
      <w:r w:rsidR="00E96ED9">
        <w:rPr>
          <w:rFonts w:ascii="Times New Roman" w:hAnsi="Times New Roman" w:cs="Times New Roman"/>
          <w:color w:val="0000FF"/>
        </w:rPr>
        <w:lastRenderedPageBreak/>
        <w:t xml:space="preserve">inflation and policy rates during the post-pandemic period are depicted in the </w:t>
      </w:r>
      <w:r w:rsidR="00E96ED9" w:rsidRPr="00E96ED9">
        <w:rPr>
          <w:rFonts w:ascii="Times New Roman" w:hAnsi="Times New Roman" w:cs="Times New Roman"/>
          <w:b/>
          <w:bCs/>
          <w:color w:val="0000FF"/>
        </w:rPr>
        <w:t>new Figure 9</w:t>
      </w:r>
      <w:r w:rsidR="00E96ED9">
        <w:rPr>
          <w:rFonts w:ascii="Times New Roman" w:hAnsi="Times New Roman" w:cs="Times New Roman"/>
          <w:color w:val="0000FF"/>
        </w:rPr>
        <w:t xml:space="preserve">. </w:t>
      </w:r>
      <w:r w:rsidR="000F566E">
        <w:rPr>
          <w:rFonts w:ascii="Times New Roman" w:hAnsi="Times New Roman" w:cs="Times New Roman"/>
          <w:color w:val="0000FF"/>
        </w:rPr>
        <w:t xml:space="preserve">The key takeaway </w:t>
      </w:r>
      <w:r w:rsidR="00230EA7">
        <w:rPr>
          <w:rFonts w:ascii="Times New Roman" w:hAnsi="Times New Roman" w:cs="Times New Roman"/>
          <w:color w:val="0000FF"/>
        </w:rPr>
        <w:t>from this figure</w:t>
      </w:r>
      <w:r w:rsidR="000F566E">
        <w:rPr>
          <w:rFonts w:ascii="Times New Roman" w:hAnsi="Times New Roman" w:cs="Times New Roman"/>
          <w:color w:val="0000FF"/>
        </w:rPr>
        <w:t xml:space="preserve"> is that inflation rose already in 2021, well before the Fed started lifting interest rate</w:t>
      </w:r>
      <w:r w:rsidR="00E96ED9">
        <w:rPr>
          <w:rFonts w:ascii="Times New Roman" w:hAnsi="Times New Roman" w:cs="Times New Roman"/>
          <w:color w:val="0000FF"/>
        </w:rPr>
        <w:t>s</w:t>
      </w:r>
      <w:r w:rsidR="000F566E">
        <w:rPr>
          <w:rFonts w:ascii="Times New Roman" w:hAnsi="Times New Roman" w:cs="Times New Roman"/>
          <w:color w:val="0000FF"/>
        </w:rPr>
        <w:t>. The policy rate initially remained constant, lifted off from zero in March 2022, and reached its new plateau in late 2023</w:t>
      </w:r>
      <w:r w:rsidR="005B01D7">
        <w:rPr>
          <w:rFonts w:ascii="Times New Roman" w:hAnsi="Times New Roman" w:cs="Times New Roman"/>
          <w:color w:val="0000FF"/>
        </w:rPr>
        <w:t>. This timeline suggests that supply shocks became salient in 2021, but a</w:t>
      </w:r>
      <w:r w:rsidR="00230EA7">
        <w:rPr>
          <w:rFonts w:ascii="Times New Roman" w:hAnsi="Times New Roman" w:cs="Times New Roman"/>
          <w:color w:val="0000FF"/>
        </w:rPr>
        <w:t xml:space="preserve"> change in the monetary policy stance </w:t>
      </w:r>
      <w:r w:rsidR="005B01D7">
        <w:rPr>
          <w:rFonts w:ascii="Times New Roman" w:hAnsi="Times New Roman" w:cs="Times New Roman"/>
          <w:color w:val="0000FF"/>
        </w:rPr>
        <w:t xml:space="preserve">only </w:t>
      </w:r>
      <w:r w:rsidR="00230EA7">
        <w:rPr>
          <w:rFonts w:ascii="Times New Roman" w:hAnsi="Times New Roman" w:cs="Times New Roman"/>
          <w:color w:val="0000FF"/>
        </w:rPr>
        <w:t>occurred</w:t>
      </w:r>
      <w:r w:rsidR="00B800FF">
        <w:rPr>
          <w:rFonts w:ascii="Times New Roman" w:hAnsi="Times New Roman" w:cs="Times New Roman"/>
          <w:color w:val="0000FF"/>
        </w:rPr>
        <w:t xml:space="preserve"> with a substantial delay. Importantly for the analysis here, this change in the monetary policy stance was plausibly understood and priced only gradually as it unfolded.</w:t>
      </w:r>
      <w:r w:rsidR="00B82F85">
        <w:rPr>
          <w:rFonts w:ascii="Times New Roman" w:hAnsi="Times New Roman" w:cs="Times New Roman"/>
          <w:color w:val="0000FF"/>
        </w:rPr>
        <w:t xml:space="preserve"> </w:t>
      </w:r>
      <w:r w:rsidR="005B01D7">
        <w:rPr>
          <w:rFonts w:ascii="Times New Roman" w:hAnsi="Times New Roman" w:cs="Times New Roman"/>
          <w:color w:val="0000FF"/>
        </w:rPr>
        <w:t xml:space="preserve"> </w:t>
      </w:r>
    </w:p>
    <w:p w14:paraId="5B889531" w14:textId="1E972815" w:rsidR="00B82F85" w:rsidRDefault="0083208C" w:rsidP="00B82F85">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To support this timeline of events, t</w:t>
      </w:r>
      <w:r w:rsidR="00B82F85">
        <w:rPr>
          <w:rFonts w:ascii="Times New Roman" w:hAnsi="Times New Roman" w:cs="Times New Roman"/>
          <w:color w:val="0000FF"/>
        </w:rPr>
        <w:t>he revised paper also references my recent complementary paper Bauer, Pflueger, and Sunderam, (2024), which estimates the monetary policy inflation coefficient as perceived by professional forecasters from rich survey data, and links the change in the perceived monetary policy rule to policy rate surprises on FOMC dates. Table 2 of Bauer, Pflueger and Sunderam (2024) suggests that the perceived monetary policy inflation coefficient peaked during the second half of 2023. Even though the data and methodology in this complementary work are completely separate, it is interesting that th</w:t>
      </w:r>
      <w:r w:rsidR="00D9068C">
        <w:rPr>
          <w:rFonts w:ascii="Times New Roman" w:hAnsi="Times New Roman" w:cs="Times New Roman"/>
          <w:color w:val="0000FF"/>
        </w:rPr>
        <w:t>e</w:t>
      </w:r>
      <w:r w:rsidR="00B82F85">
        <w:rPr>
          <w:rFonts w:ascii="Times New Roman" w:hAnsi="Times New Roman" w:cs="Times New Roman"/>
          <w:color w:val="0000FF"/>
        </w:rPr>
        <w:t xml:space="preserve"> timing lines up closely with </w:t>
      </w:r>
      <w:r>
        <w:rPr>
          <w:rFonts w:ascii="Times New Roman" w:hAnsi="Times New Roman" w:cs="Times New Roman"/>
          <w:color w:val="0000FF"/>
        </w:rPr>
        <w:t>the significant increases in</w:t>
      </w:r>
      <w:r w:rsidR="00B82F85">
        <w:rPr>
          <w:rFonts w:ascii="Times New Roman" w:hAnsi="Times New Roman" w:cs="Times New Roman"/>
          <w:color w:val="0000FF"/>
        </w:rPr>
        <w:t xml:space="preserve"> rolling nominal, real and breakeven betas in Figure 10 in </w:t>
      </w:r>
      <w:r w:rsidR="00C841B4">
        <w:rPr>
          <w:rFonts w:ascii="Times New Roman" w:hAnsi="Times New Roman" w:cs="Times New Roman"/>
          <w:color w:val="0000FF"/>
        </w:rPr>
        <w:t xml:space="preserve">the present manuscript. </w:t>
      </w:r>
      <w:r w:rsidR="00B82F85">
        <w:rPr>
          <w:rFonts w:ascii="Times New Roman" w:hAnsi="Times New Roman" w:cs="Times New Roman"/>
          <w:color w:val="0000FF"/>
        </w:rPr>
        <w:t xml:space="preserve"> </w:t>
      </w:r>
    </w:p>
    <w:p w14:paraId="371F7DBA" w14:textId="583E3FE0" w:rsidR="0083208C" w:rsidRDefault="00B82F85" w:rsidP="001F3D85">
      <w:pPr>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The revised paper </w:t>
      </w:r>
      <w:r w:rsidR="001F3D85">
        <w:rPr>
          <w:rFonts w:ascii="Times New Roman" w:hAnsi="Times New Roman" w:cs="Times New Roman"/>
          <w:color w:val="0000FF"/>
        </w:rPr>
        <w:t xml:space="preserve">discusses the timeline of recent inflation and monetary policy </w:t>
      </w:r>
      <w:r>
        <w:rPr>
          <w:rFonts w:ascii="Times New Roman" w:hAnsi="Times New Roman" w:cs="Times New Roman"/>
          <w:color w:val="0000FF"/>
        </w:rPr>
        <w:t xml:space="preserve">on </w:t>
      </w:r>
      <w:r w:rsidRPr="008D2916">
        <w:rPr>
          <w:rFonts w:ascii="Times New Roman" w:hAnsi="Times New Roman" w:cs="Times New Roman"/>
          <w:b/>
          <w:bCs/>
          <w:color w:val="0000FF"/>
        </w:rPr>
        <w:t>p.4</w:t>
      </w:r>
      <w:r>
        <w:rPr>
          <w:rFonts w:ascii="Times New Roman" w:hAnsi="Times New Roman" w:cs="Times New Roman"/>
          <w:color w:val="0000FF"/>
        </w:rPr>
        <w:t xml:space="preserve"> of the introduction and in more detail on </w:t>
      </w:r>
      <w:r w:rsidRPr="008D2916">
        <w:rPr>
          <w:rFonts w:ascii="Times New Roman" w:hAnsi="Times New Roman" w:cs="Times New Roman"/>
          <w:b/>
          <w:bCs/>
          <w:color w:val="0000FF"/>
        </w:rPr>
        <w:t>p</w:t>
      </w:r>
      <w:r w:rsidR="00625C8B">
        <w:rPr>
          <w:rFonts w:ascii="Times New Roman" w:hAnsi="Times New Roman" w:cs="Times New Roman"/>
          <w:b/>
          <w:bCs/>
          <w:color w:val="0000FF"/>
        </w:rPr>
        <w:t>p</w:t>
      </w:r>
      <w:r w:rsidRPr="008D2916">
        <w:rPr>
          <w:rFonts w:ascii="Times New Roman" w:hAnsi="Times New Roman" w:cs="Times New Roman"/>
          <w:b/>
          <w:bCs/>
          <w:color w:val="0000FF"/>
        </w:rPr>
        <w:t>.3</w:t>
      </w:r>
      <w:r w:rsidR="00320696">
        <w:rPr>
          <w:rFonts w:ascii="Times New Roman" w:hAnsi="Times New Roman" w:cs="Times New Roman"/>
          <w:b/>
          <w:bCs/>
          <w:color w:val="0000FF"/>
        </w:rPr>
        <w:t>4</w:t>
      </w:r>
      <w:r w:rsidR="00625C8B">
        <w:rPr>
          <w:rFonts w:ascii="Times New Roman" w:hAnsi="Times New Roman" w:cs="Times New Roman"/>
          <w:b/>
          <w:bCs/>
          <w:color w:val="0000FF"/>
        </w:rPr>
        <w:t>-3</w:t>
      </w:r>
      <w:r w:rsidR="00320696">
        <w:rPr>
          <w:rFonts w:ascii="Times New Roman" w:hAnsi="Times New Roman" w:cs="Times New Roman"/>
          <w:b/>
          <w:bCs/>
          <w:color w:val="0000FF"/>
        </w:rPr>
        <w:t>5</w:t>
      </w:r>
      <w:r>
        <w:rPr>
          <w:rFonts w:ascii="Times New Roman" w:hAnsi="Times New Roman" w:cs="Times New Roman"/>
          <w:color w:val="0000FF"/>
        </w:rPr>
        <w:t xml:space="preserve">. </w:t>
      </w:r>
      <w:r w:rsidR="001F3D85">
        <w:rPr>
          <w:rFonts w:ascii="Times New Roman" w:hAnsi="Times New Roman" w:cs="Times New Roman"/>
          <w:color w:val="0000FF"/>
        </w:rPr>
        <w:t>Bauer, Pflueger, and Sunderam, (2024a,b)</w:t>
      </w:r>
      <w:r w:rsidR="00BE49F4">
        <w:rPr>
          <w:rFonts w:ascii="Times New Roman" w:hAnsi="Times New Roman" w:cs="Times New Roman"/>
          <w:color w:val="0000FF"/>
        </w:rPr>
        <w:t xml:space="preserve"> do not speak to bond-stock betas, so this paper has a unique ability to explain bond-stock betas. I clarify the unique contribution of this paper compared to Bauer, Pflueger, and Sunderam, (2024a,b) in the </w:t>
      </w:r>
      <w:r>
        <w:rPr>
          <w:rFonts w:ascii="Times New Roman" w:hAnsi="Times New Roman" w:cs="Times New Roman"/>
          <w:color w:val="0000FF"/>
        </w:rPr>
        <w:t xml:space="preserve">literature review on </w:t>
      </w:r>
      <w:r w:rsidRPr="008D2916">
        <w:rPr>
          <w:rFonts w:ascii="Times New Roman" w:hAnsi="Times New Roman" w:cs="Times New Roman"/>
          <w:b/>
          <w:bCs/>
          <w:color w:val="0000FF"/>
        </w:rPr>
        <w:t>p.6</w:t>
      </w:r>
      <w:r>
        <w:rPr>
          <w:rFonts w:ascii="Times New Roman" w:hAnsi="Times New Roman" w:cs="Times New Roman"/>
          <w:color w:val="0000FF"/>
        </w:rPr>
        <w:t xml:space="preserve"> (“</w:t>
      </w:r>
      <w:r w:rsidRPr="00E94707">
        <w:rPr>
          <w:rFonts w:ascii="Times New Roman" w:hAnsi="Times New Roman" w:cs="Times New Roman"/>
          <w:b/>
          <w:bCs/>
          <w:color w:val="0000FF"/>
        </w:rPr>
        <w:t>Complementary to this paper</w:t>
      </w:r>
      <w:r>
        <w:rPr>
          <w:rFonts w:ascii="Times New Roman" w:hAnsi="Times New Roman" w:cs="Times New Roman"/>
          <w:b/>
          <w:bCs/>
          <w:color w:val="0000FF"/>
        </w:rPr>
        <w:t>,</w:t>
      </w:r>
      <w:r w:rsidRPr="00E94707">
        <w:rPr>
          <w:rFonts w:ascii="Times New Roman" w:hAnsi="Times New Roman" w:cs="Times New Roman"/>
          <w:b/>
          <w:bCs/>
          <w:color w:val="0000FF"/>
        </w:rPr>
        <w:t xml:space="preserve"> Bauer,</w:t>
      </w:r>
      <w:r>
        <w:rPr>
          <w:rFonts w:ascii="Times New Roman" w:hAnsi="Times New Roman" w:cs="Times New Roman"/>
          <w:b/>
          <w:bCs/>
          <w:color w:val="0000FF"/>
        </w:rPr>
        <w:t xml:space="preserve"> </w:t>
      </w:r>
      <w:r w:rsidRPr="00E94707">
        <w:rPr>
          <w:rFonts w:ascii="Times New Roman" w:hAnsi="Times New Roman" w:cs="Times New Roman"/>
          <w:b/>
          <w:bCs/>
          <w:color w:val="0000FF"/>
        </w:rPr>
        <w:t>P</w:t>
      </w:r>
      <w:r>
        <w:rPr>
          <w:rFonts w:ascii="Times New Roman" w:hAnsi="Times New Roman" w:cs="Times New Roman"/>
          <w:b/>
          <w:bCs/>
          <w:color w:val="0000FF"/>
        </w:rPr>
        <w:t>fl</w:t>
      </w:r>
      <w:r w:rsidRPr="00E94707">
        <w:rPr>
          <w:rFonts w:ascii="Times New Roman" w:hAnsi="Times New Roman" w:cs="Times New Roman"/>
          <w:b/>
          <w:bCs/>
          <w:color w:val="0000FF"/>
        </w:rPr>
        <w:t>ueger, and Sunderam (2024a,b) (…)</w:t>
      </w:r>
      <w:r w:rsidRPr="00E94707">
        <w:rPr>
          <w:rFonts w:ascii="Times New Roman" w:hAnsi="Times New Roman" w:cs="Times New Roman"/>
          <w:color w:val="0000FF"/>
        </w:rPr>
        <w:t>”</w:t>
      </w:r>
      <w:r>
        <w:rPr>
          <w:rFonts w:ascii="Times New Roman" w:hAnsi="Times New Roman" w:cs="Times New Roman"/>
          <w:color w:val="0000FF"/>
        </w:rPr>
        <w:t xml:space="preserve">). </w:t>
      </w:r>
    </w:p>
    <w:p w14:paraId="6DBBAB48" w14:textId="77777777" w:rsidR="001F3D85" w:rsidRDefault="001F3D85" w:rsidP="001F3D85">
      <w:pPr>
        <w:autoSpaceDE w:val="0"/>
        <w:autoSpaceDN w:val="0"/>
        <w:adjustRightInd w:val="0"/>
        <w:spacing w:after="0" w:line="240" w:lineRule="auto"/>
        <w:ind w:left="360"/>
        <w:rPr>
          <w:rFonts w:ascii="Times New Roman" w:hAnsi="Times New Roman" w:cs="Times New Roman"/>
          <w:color w:val="0000FF"/>
        </w:rPr>
      </w:pPr>
    </w:p>
    <w:p w14:paraId="15300DAA" w14:textId="79F77918" w:rsidR="009253A3" w:rsidRDefault="009253A3" w:rsidP="00B82F85">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Figure 10 </w:t>
      </w:r>
      <w:r w:rsidR="005B01D7">
        <w:rPr>
          <w:rFonts w:ascii="Times New Roman" w:hAnsi="Times New Roman" w:cs="Times New Roman"/>
          <w:color w:val="0000FF"/>
        </w:rPr>
        <w:t xml:space="preserve">in </w:t>
      </w:r>
      <w:r w:rsidR="00D9068C">
        <w:rPr>
          <w:rFonts w:ascii="Times New Roman" w:hAnsi="Times New Roman" w:cs="Times New Roman"/>
          <w:color w:val="0000FF"/>
        </w:rPr>
        <w:t>Section 5</w:t>
      </w:r>
      <w:r w:rsidR="005B01D7">
        <w:rPr>
          <w:rFonts w:ascii="Times New Roman" w:hAnsi="Times New Roman" w:cs="Times New Roman"/>
          <w:color w:val="0000FF"/>
        </w:rPr>
        <w:t xml:space="preserve"> depicts rolling nominal, real, and breakeven betas from daily data during the post-pandemic period. Panel A </w:t>
      </w:r>
      <w:r>
        <w:rPr>
          <w:rFonts w:ascii="Times New Roman" w:hAnsi="Times New Roman" w:cs="Times New Roman"/>
          <w:color w:val="0000FF"/>
        </w:rPr>
        <w:t xml:space="preserve">shows that </w:t>
      </w:r>
      <w:r w:rsidR="007A19CD">
        <w:rPr>
          <w:rFonts w:ascii="Times New Roman" w:hAnsi="Times New Roman" w:cs="Times New Roman"/>
          <w:color w:val="0000FF"/>
        </w:rPr>
        <w:t xml:space="preserve">while </w:t>
      </w:r>
      <w:r>
        <w:rPr>
          <w:rFonts w:ascii="Times New Roman" w:hAnsi="Times New Roman" w:cs="Times New Roman"/>
          <w:color w:val="0000FF"/>
        </w:rPr>
        <w:t xml:space="preserve">nominal </w:t>
      </w:r>
      <w:r w:rsidR="009C109E">
        <w:rPr>
          <w:rFonts w:ascii="Times New Roman" w:hAnsi="Times New Roman" w:cs="Times New Roman"/>
          <w:color w:val="0000FF"/>
        </w:rPr>
        <w:t xml:space="preserve">bond-stock betas </w:t>
      </w:r>
      <w:r w:rsidR="007A19CD">
        <w:rPr>
          <w:rFonts w:ascii="Times New Roman" w:hAnsi="Times New Roman" w:cs="Times New Roman"/>
          <w:color w:val="0000FF"/>
        </w:rPr>
        <w:t xml:space="preserve">show some higher frequency movements, they overall </w:t>
      </w:r>
      <w:r>
        <w:rPr>
          <w:rFonts w:ascii="Times New Roman" w:hAnsi="Times New Roman" w:cs="Times New Roman"/>
          <w:color w:val="0000FF"/>
        </w:rPr>
        <w:t xml:space="preserve">remained negative </w:t>
      </w:r>
      <w:r w:rsidR="005B01D7">
        <w:rPr>
          <w:rFonts w:ascii="Times New Roman" w:hAnsi="Times New Roman" w:cs="Times New Roman"/>
          <w:color w:val="0000FF"/>
        </w:rPr>
        <w:t xml:space="preserve">during the early post-pandemic and only turned </w:t>
      </w:r>
      <w:r w:rsidR="007A19CD">
        <w:rPr>
          <w:rFonts w:ascii="Times New Roman" w:hAnsi="Times New Roman" w:cs="Times New Roman"/>
          <w:color w:val="0000FF"/>
        </w:rPr>
        <w:t xml:space="preserve">decisively </w:t>
      </w:r>
      <w:r w:rsidR="005B01D7">
        <w:rPr>
          <w:rFonts w:ascii="Times New Roman" w:hAnsi="Times New Roman" w:cs="Times New Roman"/>
          <w:color w:val="0000FF"/>
        </w:rPr>
        <w:t xml:space="preserve">positive </w:t>
      </w:r>
      <w:r w:rsidR="007A19CD">
        <w:rPr>
          <w:rFonts w:ascii="Times New Roman" w:hAnsi="Times New Roman" w:cs="Times New Roman"/>
          <w:color w:val="0000FF"/>
        </w:rPr>
        <w:t>at the very end of sample in the second half of 2023</w:t>
      </w:r>
      <w:r w:rsidR="005B01D7">
        <w:rPr>
          <w:rFonts w:ascii="Times New Roman" w:hAnsi="Times New Roman" w:cs="Times New Roman"/>
          <w:color w:val="0000FF"/>
        </w:rPr>
        <w:t xml:space="preserve">. </w:t>
      </w:r>
      <w:r w:rsidR="007A19CD">
        <w:rPr>
          <w:rFonts w:ascii="Times New Roman" w:hAnsi="Times New Roman" w:cs="Times New Roman"/>
          <w:color w:val="0000FF"/>
        </w:rPr>
        <w:t xml:space="preserve">Panel B depicts </w:t>
      </w:r>
      <w:r w:rsidR="00185D72">
        <w:rPr>
          <w:rFonts w:ascii="Times New Roman" w:hAnsi="Times New Roman" w:cs="Times New Roman"/>
          <w:color w:val="0000FF"/>
        </w:rPr>
        <w:t>rolling</w:t>
      </w:r>
      <w:r w:rsidR="007A19CD">
        <w:rPr>
          <w:rFonts w:ascii="Times New Roman" w:hAnsi="Times New Roman" w:cs="Times New Roman"/>
          <w:color w:val="0000FF"/>
        </w:rPr>
        <w:t xml:space="preserve"> breakeven betas (or the difference between nominal and real bond-stock betas) with confidence intervals. This shows that until mid-2023 nominal bond-stock betas were either significantly lower than real bond-stock betas, or at least not statistically significantly different, indicating that the inflationary dynamics priced in bond-stock betas were still procyclical (since breakeven returns are inversely related to inflation expectations). However, in the second half of 2023, breakeven betas did turn significantly positive, </w:t>
      </w:r>
      <w:r w:rsidR="00185D72">
        <w:rPr>
          <w:rFonts w:ascii="Times New Roman" w:hAnsi="Times New Roman" w:cs="Times New Roman"/>
          <w:color w:val="0000FF"/>
        </w:rPr>
        <w:t xml:space="preserve">suggesting </w:t>
      </w:r>
      <w:r w:rsidR="007A19CD">
        <w:rPr>
          <w:rFonts w:ascii="Times New Roman" w:hAnsi="Times New Roman" w:cs="Times New Roman"/>
          <w:color w:val="0000FF"/>
        </w:rPr>
        <w:t xml:space="preserve">that the priced cyclicality of inflation expectations had changed. I interpret these patterns as providing out-of-sample confirmation of the key model predictions, </w:t>
      </w:r>
      <w:r>
        <w:rPr>
          <w:rFonts w:ascii="Times New Roman" w:hAnsi="Times New Roman" w:cs="Times New Roman"/>
          <w:color w:val="0000FF"/>
        </w:rPr>
        <w:t>if supply shocks were a significant concern throughout the post-pandemic period</w:t>
      </w:r>
      <w:r w:rsidR="005B01D7">
        <w:rPr>
          <w:rFonts w:ascii="Times New Roman" w:hAnsi="Times New Roman" w:cs="Times New Roman"/>
          <w:color w:val="0000FF"/>
        </w:rPr>
        <w:t xml:space="preserve">, but </w:t>
      </w:r>
      <w:r>
        <w:rPr>
          <w:rFonts w:ascii="Times New Roman" w:hAnsi="Times New Roman" w:cs="Times New Roman"/>
          <w:color w:val="0000FF"/>
        </w:rPr>
        <w:t xml:space="preserve">the priced monetary policy rule changed from a low inflation coefficient in the early post-pandemic to a high inflation coefficient in the later post-pandemic. </w:t>
      </w:r>
      <w:r w:rsidR="00307FEC">
        <w:rPr>
          <w:rFonts w:ascii="Times New Roman" w:hAnsi="Times New Roman" w:cs="Times New Roman"/>
          <w:color w:val="0000FF"/>
        </w:rPr>
        <w:t xml:space="preserve">The manuscript contains a revised discussion of Figure 10 on </w:t>
      </w:r>
      <w:r w:rsidR="00307FEC" w:rsidRPr="000506C0">
        <w:rPr>
          <w:rFonts w:ascii="Times New Roman" w:hAnsi="Times New Roman" w:cs="Times New Roman"/>
          <w:b/>
          <w:bCs/>
          <w:color w:val="0000FF"/>
        </w:rPr>
        <w:t>pp.3</w:t>
      </w:r>
      <w:r w:rsidR="00015EAE">
        <w:rPr>
          <w:rFonts w:ascii="Times New Roman" w:hAnsi="Times New Roman" w:cs="Times New Roman"/>
          <w:b/>
          <w:bCs/>
          <w:color w:val="0000FF"/>
        </w:rPr>
        <w:t>5</w:t>
      </w:r>
      <w:r w:rsidR="00307FEC" w:rsidRPr="000506C0">
        <w:rPr>
          <w:rFonts w:ascii="Times New Roman" w:hAnsi="Times New Roman" w:cs="Times New Roman"/>
          <w:b/>
          <w:bCs/>
          <w:color w:val="0000FF"/>
        </w:rPr>
        <w:t>-3</w:t>
      </w:r>
      <w:r w:rsidR="00015EAE">
        <w:rPr>
          <w:rFonts w:ascii="Times New Roman" w:hAnsi="Times New Roman" w:cs="Times New Roman"/>
          <w:b/>
          <w:bCs/>
          <w:color w:val="0000FF"/>
        </w:rPr>
        <w:t>6</w:t>
      </w:r>
      <w:r w:rsidR="00307FEC">
        <w:rPr>
          <w:rFonts w:ascii="Times New Roman" w:hAnsi="Times New Roman" w:cs="Times New Roman"/>
          <w:color w:val="0000FF"/>
        </w:rPr>
        <w:t>.</w:t>
      </w:r>
    </w:p>
    <w:p w14:paraId="69025C2B" w14:textId="6CDAC70C" w:rsidR="008925ED" w:rsidRDefault="009253A3" w:rsidP="0043656B">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w:t>
      </w:r>
      <w:r w:rsidRPr="00953058">
        <w:rPr>
          <w:rFonts w:ascii="Times New Roman" w:hAnsi="Times New Roman" w:cs="Times New Roman"/>
          <w:b/>
          <w:bCs/>
          <w:color w:val="0000FF"/>
        </w:rPr>
        <w:t>revised Table 3</w:t>
      </w:r>
      <w:r>
        <w:rPr>
          <w:rFonts w:ascii="Times New Roman" w:hAnsi="Times New Roman" w:cs="Times New Roman"/>
          <w:color w:val="0000FF"/>
        </w:rPr>
        <w:t xml:space="preserve"> </w:t>
      </w:r>
      <w:r w:rsidR="007A19CD">
        <w:rPr>
          <w:rFonts w:ascii="Times New Roman" w:hAnsi="Times New Roman" w:cs="Times New Roman"/>
          <w:color w:val="0000FF"/>
        </w:rPr>
        <w:t xml:space="preserve">provides a simple reverse-engineering exercise, showing that </w:t>
      </w:r>
      <w:r>
        <w:rPr>
          <w:rFonts w:ascii="Times New Roman" w:hAnsi="Times New Roman" w:cs="Times New Roman"/>
          <w:color w:val="0000FF"/>
        </w:rPr>
        <w:t>observed nominal and real bond-stock betas</w:t>
      </w:r>
      <w:r w:rsidR="007A19CD">
        <w:rPr>
          <w:rFonts w:ascii="Times New Roman" w:hAnsi="Times New Roman" w:cs="Times New Roman"/>
          <w:color w:val="0000FF"/>
        </w:rPr>
        <w:t xml:space="preserve"> in the early and late post-pandemic periods can be matched with </w:t>
      </w:r>
      <w:r>
        <w:rPr>
          <w:rFonts w:ascii="Times New Roman" w:hAnsi="Times New Roman" w:cs="Times New Roman"/>
          <w:color w:val="0000FF"/>
        </w:rPr>
        <w:t>1980s-style macroeconomic shocks</w:t>
      </w:r>
      <w:r w:rsidR="00185D72">
        <w:rPr>
          <w:rFonts w:ascii="Times New Roman" w:hAnsi="Times New Roman" w:cs="Times New Roman"/>
          <w:color w:val="0000FF"/>
        </w:rPr>
        <w:t xml:space="preserve">, and a low monetary policy inflation coefficient during the early post-pandemic but a higher monetary policy inflation coefficient during the later post-pandemic. The results in Table 3 hence indicate </w:t>
      </w:r>
      <w:r w:rsidR="007A19CD">
        <w:rPr>
          <w:rFonts w:ascii="Times New Roman" w:hAnsi="Times New Roman" w:cs="Times New Roman"/>
          <w:color w:val="0000FF"/>
        </w:rPr>
        <w:t xml:space="preserve">that the monetary policy rule implied by bond-stock betas was similar to the 2000s during 2021 and 2022, but became more similar to the 1980s monetary policy rule during 2023 after the series of energetic rate hikes. </w:t>
      </w:r>
      <w:r w:rsidR="007B0C5A">
        <w:rPr>
          <w:rFonts w:ascii="Times New Roman" w:hAnsi="Times New Roman" w:cs="Times New Roman"/>
          <w:color w:val="0000FF"/>
        </w:rPr>
        <w:t xml:space="preserve">The revised description of Table 3 can be found on </w:t>
      </w:r>
      <w:r w:rsidR="007B0C5A" w:rsidRPr="00307FEC">
        <w:rPr>
          <w:rFonts w:ascii="Times New Roman" w:hAnsi="Times New Roman" w:cs="Times New Roman"/>
          <w:b/>
          <w:bCs/>
          <w:color w:val="0000FF"/>
        </w:rPr>
        <w:t xml:space="preserve">pp. </w:t>
      </w:r>
      <w:r w:rsidR="00307FEC" w:rsidRPr="00307FEC">
        <w:rPr>
          <w:rFonts w:ascii="Times New Roman" w:hAnsi="Times New Roman" w:cs="Times New Roman"/>
          <w:b/>
          <w:bCs/>
          <w:color w:val="0000FF"/>
        </w:rPr>
        <w:t>3</w:t>
      </w:r>
      <w:r w:rsidR="00A04EC1">
        <w:rPr>
          <w:rFonts w:ascii="Times New Roman" w:hAnsi="Times New Roman" w:cs="Times New Roman"/>
          <w:b/>
          <w:bCs/>
          <w:color w:val="0000FF"/>
        </w:rPr>
        <w:t>7</w:t>
      </w:r>
      <w:r w:rsidR="00307FEC" w:rsidRPr="00307FEC">
        <w:rPr>
          <w:rFonts w:ascii="Times New Roman" w:hAnsi="Times New Roman" w:cs="Times New Roman"/>
          <w:b/>
          <w:bCs/>
          <w:color w:val="0000FF"/>
        </w:rPr>
        <w:t>-3</w:t>
      </w:r>
      <w:r w:rsidR="00A04EC1">
        <w:rPr>
          <w:rFonts w:ascii="Times New Roman" w:hAnsi="Times New Roman" w:cs="Times New Roman"/>
          <w:b/>
          <w:bCs/>
          <w:color w:val="0000FF"/>
        </w:rPr>
        <w:t>8</w:t>
      </w:r>
      <w:r w:rsidR="00307FEC">
        <w:rPr>
          <w:rFonts w:ascii="Times New Roman" w:hAnsi="Times New Roman" w:cs="Times New Roman"/>
          <w:color w:val="0000FF"/>
        </w:rPr>
        <w:t xml:space="preserve"> of the paper. </w:t>
      </w:r>
    </w:p>
    <w:p w14:paraId="0EB8F999" w14:textId="20A88EDB" w:rsidR="00F303D9" w:rsidRPr="00B84221" w:rsidRDefault="00B84221" w:rsidP="00DD71CF">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lastRenderedPageBreak/>
        <w:t>Responses to Referee 1</w:t>
      </w:r>
    </w:p>
    <w:p w14:paraId="01C97C80" w14:textId="77777777" w:rsidR="00F303D9" w:rsidRDefault="00F303D9" w:rsidP="00F303D9">
      <w:pPr>
        <w:adjustRightInd w:val="0"/>
        <w:spacing w:after="0" w:line="240" w:lineRule="auto"/>
        <w:rPr>
          <w:rFonts w:ascii="Times New Roman" w:hAnsi="Times New Roman" w:cs="Times New Roman"/>
          <w:b/>
          <w:bCs/>
        </w:rPr>
      </w:pPr>
    </w:p>
    <w:p w14:paraId="5B7E51EB" w14:textId="237784A0" w:rsidR="00F303D9" w:rsidRPr="00F303D9" w:rsidRDefault="00F303D9" w:rsidP="00F303D9">
      <w:pPr>
        <w:adjustRightInd w:val="0"/>
        <w:spacing w:after="0" w:line="240" w:lineRule="auto"/>
        <w:rPr>
          <w:rFonts w:ascii="Times New Roman" w:hAnsi="Times New Roman" w:cs="Times New Roman"/>
          <w:b/>
          <w:bCs/>
        </w:rPr>
      </w:pPr>
      <w:r w:rsidRPr="00E81D4B">
        <w:rPr>
          <w:rFonts w:ascii="Times New Roman" w:hAnsi="Times New Roman" w:cs="Times New Roman"/>
          <w:color w:val="0000FF"/>
        </w:rPr>
        <w:t xml:space="preserve">Thank you for </w:t>
      </w:r>
      <w:r>
        <w:rPr>
          <w:rFonts w:ascii="Times New Roman" w:hAnsi="Times New Roman" w:cs="Times New Roman"/>
          <w:color w:val="0000FF"/>
        </w:rPr>
        <w:t xml:space="preserve">your careful reading </w:t>
      </w:r>
      <w:r w:rsidR="000E1941">
        <w:rPr>
          <w:rFonts w:ascii="Times New Roman" w:hAnsi="Times New Roman" w:cs="Times New Roman"/>
          <w:color w:val="0000FF"/>
        </w:rPr>
        <w:t xml:space="preserve">of the manuscript </w:t>
      </w:r>
      <w:r>
        <w:rPr>
          <w:rFonts w:ascii="Times New Roman" w:hAnsi="Times New Roman" w:cs="Times New Roman"/>
          <w:color w:val="0000FF"/>
        </w:rPr>
        <w:t xml:space="preserve">and </w:t>
      </w:r>
      <w:r w:rsidR="00D47289">
        <w:rPr>
          <w:rFonts w:ascii="Times New Roman" w:hAnsi="Times New Roman" w:cs="Times New Roman"/>
          <w:color w:val="0000FF"/>
        </w:rPr>
        <w:t>your insightful</w:t>
      </w:r>
      <w:r>
        <w:rPr>
          <w:rFonts w:ascii="Times New Roman" w:hAnsi="Times New Roman" w:cs="Times New Roman"/>
          <w:color w:val="0000FF"/>
        </w:rPr>
        <w:t xml:space="preserve"> comments. I addressed them following the AE’s guidance</w:t>
      </w:r>
      <w:r w:rsidR="00B5610F">
        <w:rPr>
          <w:rFonts w:ascii="Times New Roman" w:hAnsi="Times New Roman" w:cs="Times New Roman"/>
          <w:color w:val="0000FF"/>
        </w:rPr>
        <w:t>,</w:t>
      </w:r>
      <w:r>
        <w:rPr>
          <w:rFonts w:ascii="Times New Roman" w:hAnsi="Times New Roman" w:cs="Times New Roman"/>
          <w:color w:val="0000FF"/>
        </w:rPr>
        <w:t xml:space="preserve"> </w:t>
      </w:r>
      <w:r w:rsidR="000E1941">
        <w:rPr>
          <w:rFonts w:ascii="Times New Roman" w:hAnsi="Times New Roman" w:cs="Times New Roman"/>
          <w:color w:val="0000FF"/>
        </w:rPr>
        <w:t xml:space="preserve">and </w:t>
      </w:r>
      <w:r w:rsidR="00AB2D58">
        <w:rPr>
          <w:rFonts w:ascii="Times New Roman" w:hAnsi="Times New Roman" w:cs="Times New Roman"/>
          <w:color w:val="0000FF"/>
        </w:rPr>
        <w:t xml:space="preserve">am thrilled to resubmit a clearer and much improved manuscript. </w:t>
      </w:r>
      <w:r w:rsidR="000E1941">
        <w:rPr>
          <w:rFonts w:ascii="Times New Roman" w:hAnsi="Times New Roman" w:cs="Times New Roman"/>
          <w:color w:val="0000FF"/>
        </w:rPr>
        <w:t xml:space="preserve">I include detailed point-by-point responses to your comments below. </w:t>
      </w:r>
    </w:p>
    <w:p w14:paraId="392BF7C2" w14:textId="7E0A745D" w:rsidR="00552B46" w:rsidRPr="002B764F" w:rsidRDefault="00F303D9" w:rsidP="002B764F">
      <w:pPr>
        <w:pStyle w:val="ListParagraph"/>
        <w:widowControl w:val="0"/>
        <w:numPr>
          <w:ilvl w:val="0"/>
          <w:numId w:val="24"/>
        </w:numPr>
        <w:autoSpaceDE w:val="0"/>
        <w:autoSpaceDN w:val="0"/>
        <w:adjustRightInd w:val="0"/>
        <w:spacing w:before="240" w:after="0" w:line="240" w:lineRule="auto"/>
        <w:ind w:left="274" w:firstLine="0"/>
        <w:jc w:val="both"/>
        <w:rPr>
          <w:rFonts w:ascii="Times New Roman" w:hAnsi="Times New Roman" w:cs="Times New Roman"/>
        </w:rPr>
      </w:pPr>
      <w:r w:rsidRPr="00E215BD">
        <w:rPr>
          <w:rFonts w:ascii="Times New Roman" w:hAnsi="Times New Roman" w:cs="Times New Roman" w:hint="eastAsia"/>
          <w:b/>
          <w:bCs/>
        </w:rPr>
        <w:t>Lack of methodological novelty.</w:t>
      </w:r>
      <w:r>
        <w:rPr>
          <w:rFonts w:ascii="Times New Roman" w:hAnsi="Times New Roman" w:cs="Times New Roman" w:hint="eastAsia"/>
        </w:rPr>
        <w:t xml:space="preserve"> This paper is too close to CPV. The model is mostly the same: in fact, most of the equations in Section 2 are the same as in CPV. The difference is the Phillips curve and the monetary policy rule described in Section 2.4 and 2.5. Methodologically, this is </w:t>
      </w:r>
      <w:r>
        <w:rPr>
          <w:rFonts w:ascii="Times New Roman" w:hAnsi="Times New Roman" w:cs="Times New Roman"/>
        </w:rPr>
        <w:t>a relatively</w:t>
      </w:r>
      <w:r>
        <w:rPr>
          <w:rFonts w:ascii="Times New Roman" w:hAnsi="Times New Roman" w:cs="Times New Roman" w:hint="eastAsia"/>
        </w:rPr>
        <w:t xml:space="preserve"> minor extension. Moreover, the structural additions are either not really structural or not very convincing. Specifically:</w:t>
      </w:r>
    </w:p>
    <w:p w14:paraId="7107BC08" w14:textId="426297DD" w:rsidR="00A7692B" w:rsidRDefault="000E1941" w:rsidP="000E1941">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0E1941">
        <w:rPr>
          <w:rFonts w:ascii="Times New Roman" w:hAnsi="Times New Roman" w:cs="Times New Roman"/>
          <w:b/>
          <w:bCs/>
          <w:color w:val="0000FF"/>
        </w:rPr>
        <w:t>Reply:</w:t>
      </w:r>
      <w:r>
        <w:rPr>
          <w:rFonts w:ascii="Times New Roman" w:hAnsi="Times New Roman" w:cs="Times New Roman"/>
          <w:b/>
          <w:bCs/>
          <w:color w:val="0000FF"/>
        </w:rPr>
        <w:t xml:space="preserve"> </w:t>
      </w:r>
      <w:r>
        <w:rPr>
          <w:rFonts w:ascii="Times New Roman" w:hAnsi="Times New Roman" w:cs="Times New Roman"/>
          <w:color w:val="0000FF"/>
        </w:rPr>
        <w:t xml:space="preserve">I substantially </w:t>
      </w:r>
      <w:r w:rsidR="00B5610F">
        <w:rPr>
          <w:rFonts w:ascii="Times New Roman" w:hAnsi="Times New Roman" w:cs="Times New Roman"/>
          <w:color w:val="0000FF"/>
        </w:rPr>
        <w:t xml:space="preserve">re-wrote the introduction to clarify this paper’s contribution </w:t>
      </w:r>
      <w:r w:rsidR="00707776">
        <w:rPr>
          <w:rFonts w:ascii="Times New Roman" w:hAnsi="Times New Roman" w:cs="Times New Roman"/>
          <w:color w:val="0000FF"/>
        </w:rPr>
        <w:t xml:space="preserve">following the detailed suggestions by the AE and referee 2. </w:t>
      </w:r>
      <w:r w:rsidR="006833F4">
        <w:rPr>
          <w:rFonts w:ascii="Times New Roman" w:hAnsi="Times New Roman" w:cs="Times New Roman"/>
          <w:color w:val="0000FF"/>
        </w:rPr>
        <w:t>Th</w:t>
      </w:r>
      <w:r w:rsidR="00A7692B">
        <w:rPr>
          <w:rFonts w:ascii="Times New Roman" w:hAnsi="Times New Roman" w:cs="Times New Roman"/>
          <w:color w:val="0000FF"/>
        </w:rPr>
        <w:t xml:space="preserve">e unique contribution of this paper is now stated up-front in </w:t>
      </w:r>
      <w:r w:rsidR="00A7692B" w:rsidRPr="0075009A">
        <w:rPr>
          <w:rFonts w:ascii="Times New Roman" w:hAnsi="Times New Roman" w:cs="Times New Roman"/>
          <w:b/>
          <w:bCs/>
          <w:color w:val="0000FF"/>
        </w:rPr>
        <w:t>the second paragraph on p.1</w:t>
      </w:r>
      <w:r w:rsidR="00A7692B">
        <w:rPr>
          <w:rFonts w:ascii="Times New Roman" w:hAnsi="Times New Roman" w:cs="Times New Roman"/>
          <w:color w:val="0000FF"/>
        </w:rPr>
        <w:t xml:space="preserve"> as follows: </w:t>
      </w:r>
    </w:p>
    <w:p w14:paraId="6C6B53D5" w14:textId="5ACD85EB" w:rsidR="00A7692B" w:rsidRDefault="00A7692B" w:rsidP="00A7692B">
      <w:pPr>
        <w:widowControl w:val="0"/>
        <w:autoSpaceDE w:val="0"/>
        <w:autoSpaceDN w:val="0"/>
        <w:adjustRightInd w:val="0"/>
        <w:spacing w:before="240" w:after="0" w:line="240" w:lineRule="auto"/>
        <w:ind w:left="720"/>
        <w:jc w:val="both"/>
        <w:rPr>
          <w:rFonts w:ascii="Times New Roman" w:hAnsi="Times New Roman" w:cs="Times New Roman"/>
          <w:color w:val="0000FF"/>
        </w:rPr>
      </w:pPr>
      <w:r>
        <w:rPr>
          <w:rFonts w:ascii="Times New Roman" w:hAnsi="Times New Roman" w:cs="Times New Roman"/>
          <w:color w:val="0000FF"/>
        </w:rPr>
        <w:t>“</w:t>
      </w:r>
      <w:r w:rsidR="00B5610F" w:rsidRPr="00B5610F">
        <w:rPr>
          <w:rFonts w:ascii="Times New Roman" w:hAnsi="Times New Roman" w:cs="Times New Roman"/>
          <w:color w:val="0000FF"/>
        </w:rPr>
        <w:t>Calibrating a New Keynesian equilibrium model for asset prices separately to the 1980s and the 2000s, I find that over the past 30 years monetary policy and the real side of the economy have changed sufficiently that reverting either set of parameters is insufficient to revert bond risks to their levels in the 1980s. Instead, a “perfect storm” consisting of a change towards more volatile supply shocks and a more hawkish monetary policy rule is needed to generate a reversion back to the risky bond markets of the 1980s</w:t>
      </w:r>
      <w:r w:rsidRPr="00A7692B">
        <w:rPr>
          <w:rFonts w:ascii="Times New Roman" w:hAnsi="Times New Roman" w:cs="Times New Roman"/>
          <w:color w:val="0000FF"/>
        </w:rPr>
        <w:t>.</w:t>
      </w:r>
      <w:r w:rsidR="004367D0">
        <w:rPr>
          <w:rFonts w:ascii="Times New Roman" w:hAnsi="Times New Roman" w:cs="Times New Roman"/>
          <w:color w:val="0000FF"/>
        </w:rPr>
        <w:t>”</w:t>
      </w:r>
    </w:p>
    <w:p w14:paraId="15B6CB00" w14:textId="77777777" w:rsidR="00A7692B" w:rsidRDefault="00A7692B"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33A5202E" w14:textId="0CB12E4C" w:rsidR="00A7692B" w:rsidRDefault="00A30073"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The next paragraph (</w:t>
      </w:r>
      <w:r w:rsidR="000B5A51" w:rsidRPr="000B5A51">
        <w:rPr>
          <w:rFonts w:ascii="Times New Roman" w:hAnsi="Times New Roman" w:cs="Times New Roman"/>
          <w:b/>
          <w:bCs/>
          <w:color w:val="0000FF"/>
        </w:rPr>
        <w:t>p.1,</w:t>
      </w:r>
      <w:r w:rsidR="000B5A51">
        <w:rPr>
          <w:rFonts w:ascii="Times New Roman" w:hAnsi="Times New Roman" w:cs="Times New Roman"/>
          <w:color w:val="0000FF"/>
        </w:rPr>
        <w:t xml:space="preserve"> </w:t>
      </w:r>
      <w:r w:rsidR="000B5A51" w:rsidRPr="00C10E55">
        <w:rPr>
          <w:rFonts w:ascii="Times New Roman" w:hAnsi="Times New Roman" w:cs="Times New Roman"/>
          <w:b/>
          <w:bCs/>
          <w:color w:val="0000FF"/>
        </w:rPr>
        <w:t xml:space="preserve">starting </w:t>
      </w:r>
      <w:r>
        <w:rPr>
          <w:rFonts w:ascii="Times New Roman" w:hAnsi="Times New Roman" w:cs="Times New Roman"/>
          <w:b/>
          <w:bCs/>
          <w:color w:val="0000FF"/>
        </w:rPr>
        <w:t>“Despite the substantial literature (…)”</w:t>
      </w:r>
      <w:r w:rsidRPr="00A30073">
        <w:rPr>
          <w:rFonts w:ascii="Times New Roman" w:hAnsi="Times New Roman" w:cs="Times New Roman"/>
          <w:color w:val="0000FF"/>
        </w:rPr>
        <w:t>)</w:t>
      </w:r>
      <w:r>
        <w:rPr>
          <w:rFonts w:ascii="Times New Roman" w:hAnsi="Times New Roman" w:cs="Times New Roman"/>
          <w:b/>
          <w:bCs/>
          <w:color w:val="0000FF"/>
        </w:rPr>
        <w:t xml:space="preserve"> </w:t>
      </w:r>
      <w:r>
        <w:rPr>
          <w:rFonts w:ascii="Times New Roman" w:hAnsi="Times New Roman" w:cs="Times New Roman"/>
          <w:color w:val="0000FF"/>
        </w:rPr>
        <w:t>clarifies how the model in this paper differs from CPV and other key papers. Finally, the revised paper discusses how this paper contributes to the broader literature in a new literature review (</w:t>
      </w:r>
      <w:r w:rsidRPr="00A30073">
        <w:rPr>
          <w:rFonts w:ascii="Times New Roman" w:hAnsi="Times New Roman" w:cs="Times New Roman"/>
          <w:b/>
          <w:bCs/>
          <w:color w:val="0000FF"/>
        </w:rPr>
        <w:t>pp. 4- 6, starting “This paper contains distinct contributions (…)</w:t>
      </w:r>
      <w:r>
        <w:rPr>
          <w:rFonts w:ascii="Times New Roman" w:hAnsi="Times New Roman" w:cs="Times New Roman"/>
          <w:color w:val="0000FF"/>
        </w:rPr>
        <w:t>)</w:t>
      </w:r>
      <w:r w:rsidR="00A7692B" w:rsidRPr="00C10E55">
        <w:rPr>
          <w:rFonts w:ascii="Times New Roman" w:hAnsi="Times New Roman" w:cs="Times New Roman"/>
          <w:color w:val="0000FF"/>
        </w:rPr>
        <w:t xml:space="preserve"> </w:t>
      </w:r>
    </w:p>
    <w:p w14:paraId="4B39C1DA" w14:textId="77777777" w:rsidR="006175AA" w:rsidRPr="00F761D5" w:rsidRDefault="006175AA"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082CE869" w14:textId="46ABF9C7" w:rsidR="006175AA" w:rsidRPr="00EC7692" w:rsidRDefault="006175AA" w:rsidP="006175AA">
      <w:pPr>
        <w:widowControl w:val="0"/>
        <w:autoSpaceDE w:val="0"/>
        <w:autoSpaceDN w:val="0"/>
        <w:adjustRightInd w:val="0"/>
        <w:spacing w:after="0" w:line="240" w:lineRule="auto"/>
        <w:ind w:left="360"/>
        <w:rPr>
          <w:rFonts w:ascii="Times New Roman" w:hAnsi="Times New Roman" w:cs="Times New Roman"/>
          <w:color w:val="0000FF"/>
        </w:rPr>
      </w:pPr>
      <w:r w:rsidRPr="00EC7692">
        <w:rPr>
          <w:rFonts w:ascii="Times New Roman" w:hAnsi="Times New Roman" w:cs="Times New Roman"/>
          <w:color w:val="0000FF"/>
        </w:rPr>
        <w:t>In summary, while this paper builds on the previous literature, it</w:t>
      </w:r>
      <w:r>
        <w:rPr>
          <w:rFonts w:ascii="Times New Roman" w:hAnsi="Times New Roman" w:cs="Times New Roman"/>
          <w:color w:val="0000FF"/>
        </w:rPr>
        <w:t>s model</w:t>
      </w:r>
      <w:r w:rsidRPr="00EC7692">
        <w:rPr>
          <w:rFonts w:ascii="Times New Roman" w:hAnsi="Times New Roman" w:cs="Times New Roman"/>
          <w:color w:val="0000FF"/>
        </w:rPr>
        <w:t xml:space="preserve"> contains several changes giving it a unique ability to conduct counterfactual exercises with respect to the composition of macroeconomic shocks and the Taylor rule coefficients on bond-stock betas. One important predecessor paper, Campbell, Pflueger, and Viceira (2020, CPV), contains the same Euler equation, and  prices bonds and stocks using the same habit-formation preferences with countercyclical risk premia. However, CPV is not as microfounded as the current manuscript, limiting its ability to conduct counterfactual exercises. While CPV contains reduced-form equations describing inflation and interest rate dynamics that bear some resemblance to a Phillips curve and Taylor rule, in CPV these are equilibrium dynamics and not structural equations. Concretely, the coefficients in CPV’s reduced-form inflation and interest rate dynamics </w:t>
      </w:r>
      <w:r>
        <w:rPr>
          <w:rFonts w:ascii="Times New Roman" w:hAnsi="Times New Roman" w:cs="Times New Roman"/>
          <w:color w:val="0000FF"/>
        </w:rPr>
        <w:t>do not even have the signs that one would expect in structural equations</w:t>
      </w:r>
      <w:r w:rsidRPr="00EC7692">
        <w:rPr>
          <w:rFonts w:ascii="Times New Roman" w:hAnsi="Times New Roman" w:cs="Times New Roman"/>
          <w:color w:val="0000FF"/>
        </w:rPr>
        <w:t xml:space="preserve"> and their shocks are correlated, so any change in these reduced-form dynamics in CPV must be interpreted as a combination of changes to monetary policy and the macroeconomic environment. By contrast, the current manuscript requires that the Phillips curve (20) and Taylor rule (24) have coefficients in line with the prior structural literature, and their shocks are uncorrelated, as is standard for structural shocks. The model in CPV is therefore not sufficient to understand how counterfactual changes in macroeconomic volatilities and Taylor rule coefficients impact bond-stock betas.  </w:t>
      </w:r>
    </w:p>
    <w:p w14:paraId="3DDCBD8A"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58603637"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The model in Pflueger and Rinaldi (2022, PR) is more similar to the current one, containing a structural Phillips curve and a Taylor-type monetary policy rule. However, PR do not study the </w:t>
      </w:r>
      <w:r w:rsidRPr="00C10E55">
        <w:rPr>
          <w:rFonts w:ascii="Times New Roman" w:hAnsi="Times New Roman" w:cs="Times New Roman"/>
          <w:color w:val="0000FF"/>
        </w:rPr>
        <w:lastRenderedPageBreak/>
        <w:t xml:space="preserve">implications for bond-stock betas and the PR model is insufficient to reach the central conclusion of this manuscript. The current model contains some important changes compared to PR, in particular both demand and supply shocks (PR has neither), and adaptive inflation expectations. The ability to perform counterfactual exercises to assess the impact of changes in the macroeconomic shock volatilities and Taylor rule coefficients on bond-stock betas therefore sets this paper apart from CPV and PR. </w:t>
      </w:r>
    </w:p>
    <w:p w14:paraId="7E0CC913"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B8AC9B9" w14:textId="5ADB9B6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Regarding the broader literature on changing bond-stock comovements, there are several features that set the current manuscript apart. As discussed by </w:t>
      </w:r>
      <w:r>
        <w:rPr>
          <w:rFonts w:ascii="Times New Roman" w:hAnsi="Times New Roman" w:cs="Times New Roman"/>
          <w:color w:val="0000FF"/>
        </w:rPr>
        <w:t>r</w:t>
      </w:r>
      <w:r w:rsidRPr="00C10E55">
        <w:rPr>
          <w:rFonts w:ascii="Times New Roman" w:hAnsi="Times New Roman" w:cs="Times New Roman"/>
          <w:color w:val="0000FF"/>
        </w:rPr>
        <w:t xml:space="preserve">eferee 2, various channels have been proposed in the literature to explain the changes in bond-stock betas over the past four decades, including changing inflation risks (Piazzesi and Schneider (2006), David and Veronesi (2013), Song (2017), Bekaert and Engstrom (2017), Campbell, Pflueger, and Viceira (2020), Gourio and Ngo (2020), and Fang, Liu, and Roussanov (2022)); liquidity, flight-to-safety, and time-varying risk aversion  (Baele, Bekaert, and Inghelbrecht (2010), Kozak (2022), and Laarits (2022)); permanent-transitory compositional changes of consumption growth (Chernov, Lochstoer, and Song (2021)); and changes in the monetary-fiscal mix regimes (Li, Zha, Zhang, and Zhou (2022)).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t>
      </w:r>
    </w:p>
    <w:p w14:paraId="2669A6BC"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p>
    <w:p w14:paraId="3E2E3CAF"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One particularly closely related paper is Song (2017), which however </w:t>
      </w:r>
      <w:r>
        <w:rPr>
          <w:rFonts w:ascii="Times New Roman" w:hAnsi="Times New Roman" w:cs="Times New Roman"/>
          <w:color w:val="0000FF"/>
        </w:rPr>
        <w:t>uses</w:t>
      </w:r>
      <w:r w:rsidRPr="00C10E55">
        <w:rPr>
          <w:rFonts w:ascii="Times New Roman" w:hAnsi="Times New Roman" w:cs="Times New Roman"/>
          <w:color w:val="0000FF"/>
        </w:rPr>
        <w:t xml:space="preserve"> a more reduced-form setup featuring an endowment economy</w:t>
      </w:r>
      <w:r>
        <w:rPr>
          <w:rFonts w:ascii="Times New Roman" w:hAnsi="Times New Roman" w:cs="Times New Roman"/>
          <w:color w:val="0000FF"/>
        </w:rPr>
        <w:t xml:space="preserve">, limiting its ability to speak to the role of macroeconomic shocks vs. monetary policy for bond-stock betas. </w:t>
      </w:r>
    </w:p>
    <w:p w14:paraId="0EDADCDE"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 </w:t>
      </w:r>
    </w:p>
    <w:p w14:paraId="7D57FB93" w14:textId="77777777" w:rsidR="006175AA" w:rsidRDefault="006175AA" w:rsidP="006175AA">
      <w:pPr>
        <w:autoSpaceDE w:val="0"/>
        <w:autoSpaceDN w:val="0"/>
        <w:adjustRightInd w:val="0"/>
        <w:spacing w:after="0" w:line="240" w:lineRule="auto"/>
        <w:ind w:left="360"/>
        <w:rPr>
          <w:rFonts w:ascii="Times New Roman" w:hAnsi="Times New Roman" w:cs="Times New Roman"/>
          <w:color w:val="0000FF"/>
        </w:rPr>
      </w:pPr>
      <w:r w:rsidRPr="00FF12BE">
        <w:rPr>
          <w:rFonts w:ascii="Times New Roman" w:hAnsi="Times New Roman" w:cs="Times New Roman"/>
          <w:color w:val="0000FF"/>
        </w:rPr>
        <w:t xml:space="preserve">The model in this paper is also distinct from prior work that models the impact of changes to the volatilities of macroeconomic shocks or to monetary policy separately, whereas it is central to the conclusion in this paper to model these changes jointly. </w:t>
      </w:r>
      <w:r w:rsidRPr="00C10E55">
        <w:rPr>
          <w:rFonts w:ascii="Times New Roman" w:hAnsi="Times New Roman" w:cs="Times New Roman"/>
          <w:color w:val="0000FF"/>
        </w:rPr>
        <w:t xml:space="preserve">Different from the current paper, the production-based models of Fang, Liu, and Roussanov (2022), and Kozak (2022) do not incorporate changes in monetary policy. Conversely, Gourio and Ngo (2020) and Li et al. (2022) model changes in monetary and/or fiscal policy but do not incorporate changes in the composition of macroeconomic shocks. Those latter two models also acknowledge their limitations as models of asset prices, with basic moments such as the equity premium and equity return volatility either not reported or deviating substantially from the data. Finally, Gourio and Ngo (2022) consider a model where bond-stock comovements are closely linked to the level of inflation, assuming a constant volatility of technology shocks and no other shocks. Because of the close link between the level of inflation and bond-stock comovements in Gourio and Ngo (2022), their model is not suited to understanding the key empirical finding in this paper, namely that during 2021 bond-stock betas remained negative even as inflation rose to levels not seen in 40 years. Hence, different from the current manuscript, none of these previous papers </w:t>
      </w:r>
      <w:r>
        <w:rPr>
          <w:rFonts w:ascii="Times New Roman" w:hAnsi="Times New Roman" w:cs="Times New Roman"/>
          <w:color w:val="0000FF"/>
        </w:rPr>
        <w:t xml:space="preserve">are sufficient to reach the conclusion in this paper, namely that supply shocks and an inflation-centric monetary policy rule interact and are both necessary to make nominal bonds risky. </w:t>
      </w:r>
    </w:p>
    <w:p w14:paraId="6A8C050F" w14:textId="40229065" w:rsidR="002B764F" w:rsidRPr="002B764F" w:rsidRDefault="002B764F" w:rsidP="002B764F">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9B6106">
        <w:rPr>
          <w:rFonts w:ascii="Times New Roman" w:hAnsi="Times New Roman" w:cs="Times New Roman" w:hint="eastAsia"/>
        </w:rPr>
        <w:t xml:space="preserve">The Taylor </w:t>
      </w:r>
      <w:r w:rsidRPr="009B6106">
        <w:rPr>
          <w:rFonts w:ascii="Times New Roman" w:hAnsi="Times New Roman" w:cs="Times New Roman"/>
        </w:rPr>
        <w:t>rules are not structural relations. In practice, central banks set</w:t>
      </w:r>
      <w:r w:rsidRPr="009B6106">
        <w:rPr>
          <w:rFonts w:ascii="Times New Roman" w:hAnsi="Times New Roman" w:cs="Times New Roman" w:hint="eastAsia"/>
        </w:rPr>
        <w:t xml:space="preserve"> </w:t>
      </w:r>
      <w:r w:rsidRPr="009B6106">
        <w:rPr>
          <w:rFonts w:ascii="Times New Roman" w:hAnsi="Times New Roman" w:cs="Times New Roman"/>
        </w:rPr>
        <w:t xml:space="preserve">policy </w:t>
      </w:r>
      <w:r w:rsidRPr="009B6106">
        <w:rPr>
          <w:rFonts w:ascii="Times New Roman" w:hAnsi="Times New Roman" w:cs="Times New Roman"/>
          <w:b/>
          <w:bCs/>
        </w:rPr>
        <w:t>with discretion</w:t>
      </w:r>
      <w:r w:rsidRPr="009B6106">
        <w:rPr>
          <w:rFonts w:ascii="Times New Roman" w:hAnsi="Times New Roman" w:cs="Times New Roman"/>
        </w:rPr>
        <w:t xml:space="preserve"> to achieve their mandates; they do not follow Taylor</w:t>
      </w:r>
      <w:r w:rsidRPr="009B6106">
        <w:rPr>
          <w:rFonts w:ascii="Times New Roman" w:hAnsi="Times New Roman" w:cs="Times New Roman" w:hint="eastAsia"/>
        </w:rPr>
        <w:t xml:space="preserve"> </w:t>
      </w:r>
      <w:r w:rsidRPr="009B6106">
        <w:rPr>
          <w:rFonts w:ascii="Times New Roman" w:hAnsi="Times New Roman" w:cs="Times New Roman"/>
        </w:rPr>
        <w:t>rules (although they might use them as benchmark). These rules are best</w:t>
      </w:r>
      <w:r>
        <w:rPr>
          <w:rFonts w:ascii="Times New Roman" w:hAnsi="Times New Roman" w:cs="Times New Roman" w:hint="eastAsia"/>
        </w:rPr>
        <w:t xml:space="preserve"> </w:t>
      </w:r>
      <w:r w:rsidRPr="009B6106">
        <w:rPr>
          <w:rFonts w:ascii="Times New Roman" w:hAnsi="Times New Roman" w:cs="Times New Roman"/>
        </w:rPr>
        <w:t>interpreted as reduced form relations that approximate central bank behavior.</w:t>
      </w:r>
    </w:p>
    <w:p w14:paraId="797B48D9" w14:textId="686B701F" w:rsidR="005476DB" w:rsidRDefault="00BD38AF" w:rsidP="00552B46">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lastRenderedPageBreak/>
        <w:t xml:space="preserve">I followed the AE’s suggestion, and added a discussion of the limitations </w:t>
      </w:r>
      <w:r w:rsidR="005476DB">
        <w:rPr>
          <w:rFonts w:ascii="Times New Roman" w:hAnsi="Times New Roman" w:cs="Times New Roman"/>
          <w:color w:val="0000FF"/>
        </w:rPr>
        <w:t xml:space="preserve">of the Taylor rule as a model of monetary policy. While </w:t>
      </w:r>
      <w:r w:rsidR="00552B46">
        <w:rPr>
          <w:rFonts w:ascii="Times New Roman" w:hAnsi="Times New Roman" w:cs="Times New Roman"/>
          <w:color w:val="0000FF"/>
        </w:rPr>
        <w:t>a monetary policy rule</w:t>
      </w:r>
      <w:r w:rsidR="005476DB">
        <w:rPr>
          <w:rFonts w:ascii="Times New Roman" w:hAnsi="Times New Roman" w:cs="Times New Roman"/>
          <w:color w:val="0000FF"/>
        </w:rPr>
        <w:t xml:space="preserve"> is a standard feature of many models </w:t>
      </w:r>
      <w:r w:rsidR="00552B46">
        <w:rPr>
          <w:rFonts w:ascii="Times New Roman" w:hAnsi="Times New Roman" w:cs="Times New Roman"/>
          <w:color w:val="0000FF"/>
        </w:rPr>
        <w:t xml:space="preserve">of monetary policy, in practice monetary policy clearly also contains a discretionary component as captured by the monetary policy shock in equation (24) of the revised manuscript. This </w:t>
      </w:r>
      <w:r>
        <w:rPr>
          <w:rFonts w:ascii="Times New Roman" w:hAnsi="Times New Roman" w:cs="Times New Roman"/>
          <w:color w:val="0000FF"/>
        </w:rPr>
        <w:t xml:space="preserve">new discussion can be found </w:t>
      </w:r>
      <w:r w:rsidR="00552B46">
        <w:rPr>
          <w:rFonts w:ascii="Times New Roman" w:hAnsi="Times New Roman" w:cs="Times New Roman"/>
          <w:color w:val="0000FF"/>
        </w:rPr>
        <w:t xml:space="preserve">at the </w:t>
      </w:r>
      <w:r w:rsidR="00552B46" w:rsidRPr="00EE0B5F">
        <w:rPr>
          <w:rFonts w:ascii="Times New Roman" w:hAnsi="Times New Roman" w:cs="Times New Roman"/>
          <w:b/>
          <w:bCs/>
          <w:color w:val="0000FF"/>
        </w:rPr>
        <w:t>top of p.1</w:t>
      </w:r>
      <w:r w:rsidR="006175AA" w:rsidRPr="00EE0B5F">
        <w:rPr>
          <w:rFonts w:ascii="Times New Roman" w:hAnsi="Times New Roman" w:cs="Times New Roman"/>
          <w:b/>
          <w:bCs/>
          <w:color w:val="0000FF"/>
        </w:rPr>
        <w:t>3</w:t>
      </w:r>
      <w:r w:rsidR="00552B46" w:rsidRPr="006175AA">
        <w:rPr>
          <w:rFonts w:ascii="Times New Roman" w:hAnsi="Times New Roman" w:cs="Times New Roman"/>
          <w:color w:val="0000FF"/>
        </w:rPr>
        <w:t xml:space="preserve"> in the paragraph starting</w:t>
      </w:r>
      <w:r w:rsidR="00552B46" w:rsidRPr="00552B46">
        <w:rPr>
          <w:rFonts w:ascii="Times New Roman" w:hAnsi="Times New Roman" w:cs="Times New Roman"/>
          <w:b/>
          <w:bCs/>
          <w:color w:val="0000FF"/>
        </w:rPr>
        <w:t xml:space="preserve"> “While there is an active debate to what extent monetary policy can be described by rules versus discretion</w:t>
      </w:r>
      <w:r w:rsidR="006175AA">
        <w:rPr>
          <w:rFonts w:ascii="Times New Roman" w:hAnsi="Times New Roman" w:cs="Times New Roman"/>
          <w:b/>
          <w:bCs/>
          <w:color w:val="0000FF"/>
        </w:rPr>
        <w:t xml:space="preserve"> (…)”</w:t>
      </w:r>
      <w:r w:rsidR="00552B46">
        <w:rPr>
          <w:rFonts w:ascii="Times New Roman" w:hAnsi="Times New Roman" w:cs="Times New Roman"/>
          <w:color w:val="0000FF"/>
        </w:rPr>
        <w:t>.</w:t>
      </w:r>
    </w:p>
    <w:p w14:paraId="2E5FB673" w14:textId="5422A8E5" w:rsidR="002B764F" w:rsidRPr="002B764F" w:rsidRDefault="002B764F" w:rsidP="002B764F">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F303D9">
        <w:rPr>
          <w:rFonts w:ascii="Times New Roman" w:hAnsi="Times New Roman" w:cs="Times New Roman"/>
        </w:rPr>
        <w:t>The Phillips curve is generally the weakest part of New Keynesian models</w:t>
      </w:r>
      <w:r w:rsidRPr="00F303D9">
        <w:rPr>
          <w:rFonts w:ascii="Times New Roman" w:hAnsi="Times New Roman" w:cs="Times New Roman" w:hint="eastAsia"/>
        </w:rPr>
        <w:t xml:space="preserve"> </w:t>
      </w:r>
      <w:r w:rsidRPr="00F303D9">
        <w:rPr>
          <w:rFonts w:ascii="Times New Roman" w:hAnsi="Times New Roman" w:cs="Times New Roman"/>
        </w:rPr>
        <w:t>since there is much we don’t understand about in</w:t>
      </w:r>
      <w:r w:rsidRPr="00F303D9">
        <w:rPr>
          <w:rFonts w:ascii="Times New Roman" w:hAnsi="Times New Roman" w:cs="Times New Roman" w:hint="eastAsia"/>
        </w:rPr>
        <w:t>fl</w:t>
      </w:r>
      <w:r w:rsidRPr="00F303D9">
        <w:rPr>
          <w:rFonts w:ascii="Times New Roman" w:hAnsi="Times New Roman" w:cs="Times New Roman"/>
        </w:rPr>
        <w:t xml:space="preserve">ation (we have a </w:t>
      </w:r>
      <w:r w:rsidRPr="00F303D9">
        <w:rPr>
          <w:rFonts w:ascii="Times New Roman" w:hAnsi="Times New Roman" w:cs="Times New Roman"/>
          <w:i/>
          <w:iCs/>
        </w:rPr>
        <w:t>qualitative</w:t>
      </w:r>
      <w:r w:rsidRPr="00F303D9">
        <w:rPr>
          <w:rFonts w:ascii="Times New Roman" w:hAnsi="Times New Roman" w:cs="Times New Roman"/>
        </w:rPr>
        <w:t xml:space="preserve"> understanding). This paper’s Phillips curve is no exception. The paper</w:t>
      </w:r>
      <w:r w:rsidRPr="00F303D9">
        <w:rPr>
          <w:rFonts w:ascii="Times New Roman" w:hAnsi="Times New Roman" w:cs="Times New Roman" w:hint="eastAsia"/>
        </w:rPr>
        <w:t xml:space="preserve"> </w:t>
      </w:r>
      <w:r w:rsidRPr="00F303D9">
        <w:rPr>
          <w:rFonts w:ascii="Times New Roman" w:hAnsi="Times New Roman" w:cs="Times New Roman"/>
        </w:rPr>
        <w:t xml:space="preserve">assumes prices are </w:t>
      </w:r>
      <w:r w:rsidRPr="00F303D9">
        <w:rPr>
          <w:rFonts w:ascii="Times New Roman" w:hAnsi="Times New Roman" w:cs="Times New Roman" w:hint="eastAsia"/>
        </w:rPr>
        <w:t>fl</w:t>
      </w:r>
      <w:r w:rsidRPr="00F303D9">
        <w:rPr>
          <w:rFonts w:ascii="Times New Roman" w:hAnsi="Times New Roman" w:cs="Times New Roman"/>
        </w:rPr>
        <w:t>exible and wages are sticky, and derives a wage Phillips</w:t>
      </w:r>
      <w:r w:rsidRPr="00F303D9">
        <w:rPr>
          <w:rFonts w:ascii="Times New Roman" w:hAnsi="Times New Roman" w:cs="Times New Roman" w:hint="eastAsia"/>
        </w:rPr>
        <w:t xml:space="preserve"> </w:t>
      </w:r>
      <w:r w:rsidRPr="00F303D9">
        <w:rPr>
          <w:rFonts w:ascii="Times New Roman" w:hAnsi="Times New Roman" w:cs="Times New Roman"/>
        </w:rPr>
        <w:t>curve with backward and forward looking elements. This approach will miss</w:t>
      </w:r>
      <w:r w:rsidRPr="00F303D9">
        <w:rPr>
          <w:rFonts w:ascii="Times New Roman" w:hAnsi="Times New Roman" w:cs="Times New Roman" w:hint="eastAsia"/>
        </w:rPr>
        <w:t xml:space="preserve"> </w:t>
      </w:r>
      <w:r w:rsidRPr="00F303D9">
        <w:rPr>
          <w:rFonts w:ascii="Times New Roman" w:hAnsi="Times New Roman" w:cs="Times New Roman"/>
        </w:rPr>
        <w:t>a lot of richness that matters in practice, e.g., the Covid-19 shock showed</w:t>
      </w:r>
      <w:r w:rsidRPr="00F303D9">
        <w:rPr>
          <w:rFonts w:ascii="Times New Roman" w:hAnsi="Times New Roman" w:cs="Times New Roman" w:hint="eastAsia"/>
        </w:rPr>
        <w:t xml:space="preserve"> </w:t>
      </w:r>
      <w:r w:rsidRPr="00F303D9">
        <w:rPr>
          <w:rFonts w:ascii="Times New Roman" w:hAnsi="Times New Roman" w:cs="Times New Roman"/>
        </w:rPr>
        <w:t>that price and wage in</w:t>
      </w:r>
      <w:r w:rsidRPr="00F303D9">
        <w:rPr>
          <w:rFonts w:ascii="Times New Roman" w:hAnsi="Times New Roman" w:cs="Times New Roman" w:hint="eastAsia"/>
        </w:rPr>
        <w:t>fl</w:t>
      </w:r>
      <w:r w:rsidRPr="00F303D9">
        <w:rPr>
          <w:rFonts w:ascii="Times New Roman" w:hAnsi="Times New Roman" w:cs="Times New Roman"/>
        </w:rPr>
        <w:t>ation can have very di</w:t>
      </w:r>
      <w:r w:rsidRPr="00F303D9">
        <w:rPr>
          <w:rFonts w:ascii="Times New Roman" w:hAnsi="Times New Roman" w:cs="Times New Roman" w:hint="eastAsia"/>
        </w:rPr>
        <w:t>ff</w:t>
      </w:r>
      <w:r w:rsidRPr="00F303D9">
        <w:rPr>
          <w:rFonts w:ascii="Times New Roman" w:hAnsi="Times New Roman" w:cs="Times New Roman"/>
        </w:rPr>
        <w:t>erent dynamics.</w:t>
      </w:r>
      <w:r w:rsidRPr="00F303D9">
        <w:rPr>
          <w:rFonts w:ascii="Times New Roman" w:hAnsi="Times New Roman" w:cs="Times New Roman" w:hint="eastAsia"/>
        </w:rPr>
        <w:t xml:space="preserve"> </w:t>
      </w:r>
    </w:p>
    <w:p w14:paraId="6B03E336" w14:textId="24889E98" w:rsidR="0038483C" w:rsidRDefault="00BD38AF" w:rsidP="0038483C">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I followed the AE’s guidance and considered a model extension featuring </w:t>
      </w:r>
      <w:r w:rsidR="00A82448">
        <w:rPr>
          <w:rFonts w:ascii="Times New Roman" w:hAnsi="Times New Roman" w:cs="Times New Roman"/>
          <w:color w:val="0000FF"/>
        </w:rPr>
        <w:t>an additional shock to price vs. wage inflation</w:t>
      </w:r>
      <w:r w:rsidR="00AF1636">
        <w:rPr>
          <w:rFonts w:ascii="Times New Roman" w:hAnsi="Times New Roman" w:cs="Times New Roman"/>
          <w:color w:val="0000FF"/>
        </w:rPr>
        <w:t>, and showed that the model asset pricing moments and counterfactuals are robust</w:t>
      </w:r>
      <w:r>
        <w:rPr>
          <w:rFonts w:ascii="Times New Roman" w:hAnsi="Times New Roman" w:cs="Times New Roman"/>
          <w:color w:val="0000FF"/>
        </w:rPr>
        <w:t xml:space="preserve">. </w:t>
      </w:r>
      <w:r w:rsidR="0038483C">
        <w:rPr>
          <w:rFonts w:ascii="Times New Roman" w:hAnsi="Times New Roman" w:cs="Times New Roman"/>
          <w:color w:val="0000FF"/>
        </w:rPr>
        <w:t xml:space="preserve">To address the issue of richer wage-price inflation dynamics, the </w:t>
      </w:r>
      <w:r w:rsidR="0038483C" w:rsidRPr="007E23C9">
        <w:rPr>
          <w:rFonts w:ascii="Times New Roman" w:hAnsi="Times New Roman" w:cs="Times New Roman"/>
          <w:b/>
          <w:bCs/>
          <w:color w:val="0000FF"/>
        </w:rPr>
        <w:t xml:space="preserve">new Appendix Section </w:t>
      </w:r>
      <w:r w:rsidR="0038483C">
        <w:rPr>
          <w:rFonts w:ascii="Times New Roman" w:hAnsi="Times New Roman" w:cs="Times New Roman"/>
          <w:b/>
          <w:bCs/>
          <w:color w:val="0000FF"/>
        </w:rPr>
        <w:t>G</w:t>
      </w:r>
      <w:r w:rsidR="0038483C">
        <w:rPr>
          <w:rFonts w:ascii="Times New Roman" w:hAnsi="Times New Roman" w:cs="Times New Roman"/>
          <w:color w:val="0000FF"/>
        </w:rPr>
        <w:t xml:space="preserve"> </w:t>
      </w:r>
      <w:r w:rsidR="0038483C" w:rsidRPr="00C37257">
        <w:rPr>
          <w:rFonts w:ascii="Times New Roman" w:hAnsi="Times New Roman" w:cs="Times New Roman"/>
          <w:b/>
          <w:bCs/>
          <w:color w:val="0000FF"/>
        </w:rPr>
        <w:t>(online Appendix pp. 4</w:t>
      </w:r>
      <w:r w:rsidR="009B50BF">
        <w:rPr>
          <w:rFonts w:ascii="Times New Roman" w:hAnsi="Times New Roman" w:cs="Times New Roman"/>
          <w:b/>
          <w:bCs/>
          <w:color w:val="0000FF"/>
        </w:rPr>
        <w:t>4</w:t>
      </w:r>
      <w:r w:rsidR="0038483C" w:rsidRPr="00C37257">
        <w:rPr>
          <w:rFonts w:ascii="Times New Roman" w:hAnsi="Times New Roman" w:cs="Times New Roman"/>
          <w:b/>
          <w:bCs/>
          <w:color w:val="0000FF"/>
        </w:rPr>
        <w:t>-</w:t>
      </w:r>
      <w:r w:rsidR="009B50BF">
        <w:rPr>
          <w:rFonts w:ascii="Times New Roman" w:hAnsi="Times New Roman" w:cs="Times New Roman"/>
          <w:b/>
          <w:bCs/>
          <w:color w:val="0000FF"/>
        </w:rPr>
        <w:t>48</w:t>
      </w:r>
      <w:r w:rsidR="0038483C" w:rsidRPr="00C37257">
        <w:rPr>
          <w:rFonts w:ascii="Times New Roman" w:hAnsi="Times New Roman" w:cs="Times New Roman"/>
          <w:b/>
          <w:bCs/>
          <w:color w:val="0000FF"/>
        </w:rPr>
        <w:t>)</w:t>
      </w:r>
      <w:r w:rsidR="0038483C">
        <w:rPr>
          <w:rFonts w:ascii="Times New Roman" w:hAnsi="Times New Roman" w:cs="Times New Roman"/>
          <w:color w:val="0000FF"/>
        </w:rPr>
        <w:t xml:space="preserve"> shows results for a model extension with richer price-wage dynamics. This new appendix section first solves the model with richer price-wage dynamics and then re-produces the paper’s main results analogous to Table 2 and Figure 4. The version of Figure 4 with a richer price-wage dynamics is reproduced below for your convenience </w:t>
      </w:r>
      <w:r w:rsidR="0038483C" w:rsidRPr="00A7749E">
        <w:rPr>
          <w:rFonts w:ascii="Times New Roman" w:hAnsi="Times New Roman" w:cs="Times New Roman"/>
          <w:b/>
          <w:bCs/>
          <w:color w:val="0000FF"/>
        </w:rPr>
        <w:t>(Appendix Figure A</w:t>
      </w:r>
      <w:r w:rsidR="00A95B30">
        <w:rPr>
          <w:rFonts w:ascii="Times New Roman" w:hAnsi="Times New Roman" w:cs="Times New Roman"/>
          <w:b/>
          <w:bCs/>
          <w:color w:val="0000FF"/>
        </w:rPr>
        <w:t>7</w:t>
      </w:r>
      <w:r w:rsidR="0038483C" w:rsidRPr="00A7749E">
        <w:rPr>
          <w:rFonts w:ascii="Times New Roman" w:hAnsi="Times New Roman" w:cs="Times New Roman"/>
          <w:b/>
          <w:bCs/>
          <w:color w:val="0000FF"/>
        </w:rPr>
        <w:t>)</w:t>
      </w:r>
      <w:r w:rsidR="0038483C">
        <w:rPr>
          <w:rFonts w:ascii="Times New Roman" w:hAnsi="Times New Roman" w:cs="Times New Roman"/>
          <w:color w:val="0000FF"/>
        </w:rPr>
        <w:t xml:space="preserve">. </w:t>
      </w:r>
    </w:p>
    <w:p w14:paraId="0F307798" w14:textId="485AB58B" w:rsidR="0038483C" w:rsidRDefault="0038483C" w:rsidP="0038483C">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The new </w:t>
      </w:r>
      <w:r w:rsidRPr="00A7749E">
        <w:rPr>
          <w:rFonts w:ascii="Times New Roman" w:hAnsi="Times New Roman" w:cs="Times New Roman"/>
          <w:b/>
          <w:bCs/>
          <w:color w:val="0000FF"/>
        </w:rPr>
        <w:t>Appendix Figure A</w:t>
      </w:r>
      <w:r w:rsidR="00D20A4E">
        <w:rPr>
          <w:rFonts w:ascii="Times New Roman" w:hAnsi="Times New Roman" w:cs="Times New Roman"/>
          <w:b/>
          <w:bCs/>
          <w:color w:val="0000FF"/>
        </w:rPr>
        <w:t>7</w:t>
      </w:r>
      <w:r>
        <w:rPr>
          <w:rFonts w:ascii="Times New Roman" w:hAnsi="Times New Roman" w:cs="Times New Roman"/>
          <w:color w:val="0000FF"/>
        </w:rPr>
        <w:t xml:space="preserve"> shows that the asset pricing moments and key counterfactuals are robust and indeed quantitatively indistinguishable even when the volatility of the price-wage inflation shock is set to a plausible upper bound (</w:t>
      </w:r>
      <m:oMath>
        <m:sSub>
          <m:sSubPr>
            <m:ctrlPr>
              <w:rPr>
                <w:rFonts w:ascii="Cambria Math" w:hAnsi="Cambria Math" w:cs="Times New Roman"/>
                <w:i/>
                <w:color w:val="0000FF"/>
              </w:rPr>
            </m:ctrlPr>
          </m:sSubPr>
          <m:e>
            <m:r>
              <w:rPr>
                <w:rFonts w:ascii="Cambria Math" w:hAnsi="Cambria Math" w:cs="Times New Roman"/>
                <w:color w:val="0000FF"/>
              </w:rPr>
              <m:t>σ</m:t>
            </m:r>
          </m:e>
          <m:sub>
            <m:r>
              <w:rPr>
                <w:rFonts w:ascii="Cambria Math" w:hAnsi="Cambria Math" w:cs="Times New Roman"/>
                <w:color w:val="0000FF"/>
              </w:rPr>
              <m:t>p</m:t>
            </m:r>
          </m:sub>
        </m:sSub>
        <m:r>
          <w:rPr>
            <w:rFonts w:ascii="Cambria Math" w:hAnsi="Cambria Math" w:cs="Times New Roman"/>
            <w:color w:val="0000FF"/>
          </w:rPr>
          <m:t>=0.55</m:t>
        </m:r>
      </m:oMath>
      <w:r>
        <w:rPr>
          <w:rFonts w:ascii="Times New Roman" w:eastAsiaTheme="minorEastAsia" w:hAnsi="Times New Roman" w:cs="Times New Roman"/>
          <w:color w:val="0000FF"/>
        </w:rPr>
        <w:t>)</w:t>
      </w:r>
      <w:r>
        <w:rPr>
          <w:rFonts w:ascii="Times New Roman" w:hAnsi="Times New Roman" w:cs="Times New Roman"/>
          <w:color w:val="0000FF"/>
        </w:rPr>
        <w:t xml:space="preserve">. To keep the model exposition as simple as possible, I therefore abstract from richer price-wage inflation dynamics in the main paper. Following your suggestion, the revised manuscript newly acknowledges the limitations of the simple wage-price inflation dynamics and notes that the results are robust to relaxing the tight link between wage and price inflation dynamics. For this discussion, see the </w:t>
      </w:r>
      <w:r w:rsidRPr="00C37257">
        <w:rPr>
          <w:rFonts w:ascii="Times New Roman" w:hAnsi="Times New Roman" w:cs="Times New Roman"/>
          <w:b/>
          <w:bCs/>
          <w:color w:val="0000FF"/>
        </w:rPr>
        <w:t>new footnote 9 on p. 1</w:t>
      </w:r>
      <w:r>
        <w:rPr>
          <w:rFonts w:ascii="Times New Roman" w:hAnsi="Times New Roman" w:cs="Times New Roman"/>
          <w:b/>
          <w:bCs/>
          <w:color w:val="0000FF"/>
        </w:rPr>
        <w:t>2</w:t>
      </w:r>
      <w:r>
        <w:rPr>
          <w:rFonts w:ascii="Times New Roman" w:hAnsi="Times New Roman" w:cs="Times New Roman"/>
          <w:color w:val="0000FF"/>
        </w:rPr>
        <w:t xml:space="preserve"> in the paper.</w:t>
      </w:r>
    </w:p>
    <w:p w14:paraId="6C70B9F0" w14:textId="5168C820"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3B9A1709"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FEAAD5"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F14899C"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571FA4D" w14:textId="77777777" w:rsidR="005F423A" w:rsidRDefault="005F423A"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C8C5FE6"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304B2BC3" w14:textId="77777777" w:rsidR="0079087F" w:rsidRDefault="0079087F"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55F28677" w14:textId="77777777" w:rsidR="006176DA" w:rsidRDefault="006176DA"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16D05993" w14:textId="77777777" w:rsidR="00B9162C" w:rsidRDefault="00B9162C"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21728F03" w14:textId="47DDA998" w:rsidR="008F2558" w:rsidRDefault="008F2558" w:rsidP="0038483C">
      <w:pPr>
        <w:widowControl w:val="0"/>
        <w:autoSpaceDE w:val="0"/>
        <w:autoSpaceDN w:val="0"/>
        <w:adjustRightInd w:val="0"/>
        <w:spacing w:before="240" w:after="0" w:line="240" w:lineRule="auto"/>
        <w:jc w:val="center"/>
        <w:rPr>
          <w:rFonts w:ascii="Times New Roman" w:hAnsi="Times New Roman" w:cs="Times New Roman"/>
          <w:color w:val="0000FF"/>
        </w:rPr>
      </w:pPr>
      <w:r w:rsidRPr="00A7749E">
        <w:rPr>
          <w:rFonts w:ascii="Times New Roman" w:hAnsi="Times New Roman" w:cs="Times New Roman"/>
          <w:b/>
          <w:bCs/>
        </w:rPr>
        <w:lastRenderedPageBreak/>
        <w:t>Figure A</w:t>
      </w:r>
      <w:r w:rsidR="00D20A4E">
        <w:rPr>
          <w:rFonts w:ascii="Times New Roman" w:hAnsi="Times New Roman" w:cs="Times New Roman"/>
          <w:b/>
          <w:bCs/>
        </w:rPr>
        <w:t>7</w:t>
      </w:r>
      <w:r w:rsidRPr="00A7749E">
        <w:rPr>
          <w:rFonts w:ascii="Times New Roman" w:hAnsi="Times New Roman" w:cs="Times New Roman"/>
          <w:b/>
          <w:bCs/>
        </w:rPr>
        <w:t>: Counterfactual Bond-Stock Betas with Richer Price-Wage Dynamics</w:t>
      </w:r>
      <w:r w:rsidR="0038483C" w:rsidRPr="0038483C">
        <w:t xml:space="preserve"> </w:t>
      </w:r>
      <w:r w:rsidR="0038483C">
        <w:rPr>
          <w:noProof/>
        </w:rPr>
        <w:drawing>
          <wp:inline distT="0" distB="0" distL="0" distR="0" wp14:anchorId="372CB45D" wp14:editId="7DF25156">
            <wp:extent cx="5149156" cy="6981618"/>
            <wp:effectExtent l="0" t="0" r="0" b="0"/>
            <wp:docPr id="2289174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745"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6509" cy="6991588"/>
                    </a:xfrm>
                    <a:prstGeom prst="rect">
                      <a:avLst/>
                    </a:prstGeom>
                    <a:noFill/>
                    <a:ln>
                      <a:noFill/>
                    </a:ln>
                  </pic:spPr>
                </pic:pic>
              </a:graphicData>
            </a:graphic>
          </wp:inline>
        </w:drawing>
      </w:r>
    </w:p>
    <w:p w14:paraId="51FF7B89" w14:textId="77777777" w:rsidR="0038483C" w:rsidRDefault="0038483C" w:rsidP="008F2558">
      <w:pPr>
        <w:widowControl w:val="0"/>
        <w:autoSpaceDE w:val="0"/>
        <w:autoSpaceDN w:val="0"/>
        <w:adjustRightInd w:val="0"/>
        <w:spacing w:before="240" w:after="0" w:line="240" w:lineRule="auto"/>
        <w:ind w:left="360"/>
        <w:jc w:val="both"/>
        <w:rPr>
          <w:rFonts w:ascii="Times New Roman" w:hAnsi="Times New Roman" w:cs="Times New Roman"/>
          <w:b/>
          <w:bCs/>
        </w:rPr>
      </w:pPr>
    </w:p>
    <w:p w14:paraId="47FD3679" w14:textId="64920CBC" w:rsidR="00F303D9" w:rsidRDefault="00F303D9" w:rsidP="008F2558">
      <w:pPr>
        <w:widowControl w:val="0"/>
        <w:autoSpaceDE w:val="0"/>
        <w:autoSpaceDN w:val="0"/>
        <w:adjustRightInd w:val="0"/>
        <w:spacing w:before="240" w:after="0" w:line="240" w:lineRule="auto"/>
        <w:ind w:left="360"/>
        <w:jc w:val="both"/>
        <w:rPr>
          <w:rFonts w:ascii="Times New Roman" w:hAnsi="Times New Roman" w:cs="Times New Roman"/>
        </w:rPr>
      </w:pPr>
      <w:r w:rsidRPr="00D10643">
        <w:rPr>
          <w:rFonts w:ascii="Times New Roman" w:hAnsi="Times New Roman" w:cs="Times New Roman" w:hint="eastAsia"/>
          <w:b/>
          <w:bCs/>
        </w:rPr>
        <w:lastRenderedPageBreak/>
        <w:t>The paper does not persuasively explain any new fact (beyond what we can tell based on CPV).</w:t>
      </w:r>
      <w:r w:rsidRPr="00D10643">
        <w:rPr>
          <w:rFonts w:ascii="Times New Roman" w:hAnsi="Times New Roman" w:cs="Times New Roman" w:hint="eastAsia"/>
        </w:rPr>
        <w:t xml:space="preserve"> </w:t>
      </w:r>
      <w:r w:rsidRPr="00D10643">
        <w:rPr>
          <w:rFonts w:ascii="Times New Roman" w:hAnsi="Times New Roman" w:cs="Times New Roman"/>
        </w:rPr>
        <w:t>Given the lack of methodological novelty, the</w:t>
      </w:r>
      <w:r w:rsidRPr="00D10643">
        <w:rPr>
          <w:rFonts w:ascii="Times New Roman" w:hAnsi="Times New Roman" w:cs="Times New Roman" w:hint="eastAsia"/>
        </w:rPr>
        <w:t xml:space="preserve"> </w:t>
      </w:r>
      <w:r w:rsidRPr="00D10643">
        <w:rPr>
          <w:rFonts w:ascii="Times New Roman" w:hAnsi="Times New Roman" w:cs="Times New Roman"/>
        </w:rPr>
        <w:t>paper should be evaluated in terms of how well it explains the motivating facts—</w:t>
      </w:r>
      <w:r w:rsidRPr="00D10643">
        <w:rPr>
          <w:rFonts w:ascii="Times New Roman" w:hAnsi="Times New Roman" w:cs="Times New Roman" w:hint="eastAsia"/>
        </w:rPr>
        <w:t>specifically,</w:t>
      </w:r>
      <w:r w:rsidRPr="00D10643">
        <w:rPr>
          <w:rFonts w:ascii="Times New Roman" w:hAnsi="Times New Roman" w:cs="Times New Roman"/>
        </w:rPr>
        <w:t xml:space="preserve"> the changing bond-stock betas. The paper claims that betas were</w:t>
      </w:r>
      <w:r w:rsidRPr="00D10643">
        <w:rPr>
          <w:rFonts w:ascii="Times New Roman" w:hAnsi="Times New Roman" w:cs="Times New Roman" w:hint="eastAsia"/>
        </w:rPr>
        <w:t xml:space="preserve"> </w:t>
      </w:r>
      <w:r w:rsidRPr="00D10643">
        <w:rPr>
          <w:rFonts w:ascii="Times New Roman" w:hAnsi="Times New Roman" w:cs="Times New Roman"/>
        </w:rPr>
        <w:t>positive in the earlier decades because “supply shocks”</w:t>
      </w:r>
      <w:r w:rsidRPr="00D10643">
        <w:rPr>
          <w:rFonts w:ascii="Times New Roman" w:hAnsi="Times New Roman" w:cs="Times New Roman" w:hint="eastAsia"/>
        </w:rPr>
        <w:t xml:space="preserve"> </w:t>
      </w:r>
      <w:r w:rsidRPr="00D10643">
        <w:rPr>
          <w:rFonts w:ascii="Times New Roman" w:hAnsi="Times New Roman" w:cs="Times New Roman"/>
        </w:rPr>
        <w:t>were more relevant and the</w:t>
      </w:r>
      <w:r w:rsidRPr="00D10643">
        <w:rPr>
          <w:rFonts w:ascii="Times New Roman" w:hAnsi="Times New Roman" w:cs="Times New Roman" w:hint="eastAsia"/>
        </w:rPr>
        <w:t xml:space="preserve"> </w:t>
      </w:r>
      <w:r w:rsidRPr="00D10643">
        <w:rPr>
          <w:rFonts w:ascii="Times New Roman" w:hAnsi="Times New Roman" w:cs="Times New Roman"/>
        </w:rPr>
        <w:t>Fed was more in</w:t>
      </w:r>
      <w:r w:rsidRPr="00D10643">
        <w:rPr>
          <w:rFonts w:ascii="Times New Roman" w:hAnsi="Times New Roman" w:cs="Times New Roman" w:hint="eastAsia"/>
        </w:rPr>
        <w:t>fl</w:t>
      </w:r>
      <w:r w:rsidRPr="00D10643">
        <w:rPr>
          <w:rFonts w:ascii="Times New Roman" w:hAnsi="Times New Roman" w:cs="Times New Roman"/>
        </w:rPr>
        <w:t>ation focused and more alert (less inertial). This explanation is</w:t>
      </w:r>
      <w:r w:rsidRPr="00D10643">
        <w:rPr>
          <w:rFonts w:ascii="Times New Roman" w:hAnsi="Times New Roman" w:cs="Times New Roman" w:hint="eastAsia"/>
        </w:rPr>
        <w:t xml:space="preserve"> </w:t>
      </w:r>
      <w:r w:rsidRPr="00D10643">
        <w:rPr>
          <w:rFonts w:ascii="Times New Roman" w:hAnsi="Times New Roman" w:cs="Times New Roman"/>
        </w:rPr>
        <w:t>problematic for a number of reasons</w:t>
      </w:r>
      <w:r>
        <w:rPr>
          <w:rFonts w:ascii="Times New Roman" w:hAnsi="Times New Roman" w:cs="Times New Roman" w:hint="eastAsia"/>
        </w:rPr>
        <w:t>:</w:t>
      </w:r>
    </w:p>
    <w:p w14:paraId="425D6ACE" w14:textId="57BDA1AF" w:rsidR="00BE650D" w:rsidRDefault="00E7757A"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sidR="00BE650D">
        <w:rPr>
          <w:rFonts w:ascii="Times New Roman" w:hAnsi="Times New Roman" w:cs="Times New Roman"/>
          <w:color w:val="0000FF"/>
        </w:rPr>
        <w:t xml:space="preserve">I revised the </w:t>
      </w:r>
      <w:r w:rsidR="00BE650D" w:rsidRPr="00BE650D">
        <w:rPr>
          <w:rFonts w:ascii="Times New Roman" w:hAnsi="Times New Roman" w:cs="Times New Roman"/>
          <w:b/>
          <w:bCs/>
          <w:color w:val="0000FF"/>
        </w:rPr>
        <w:t>first paragraph of the introduction</w:t>
      </w:r>
      <w:r w:rsidR="00BE650D">
        <w:rPr>
          <w:rFonts w:ascii="Times New Roman" w:hAnsi="Times New Roman" w:cs="Times New Roman"/>
          <w:color w:val="0000FF"/>
        </w:rPr>
        <w:t xml:space="preserve"> to state the </w:t>
      </w:r>
      <w:r w:rsidR="00495D4B">
        <w:rPr>
          <w:rFonts w:ascii="Times New Roman" w:hAnsi="Times New Roman" w:cs="Times New Roman"/>
          <w:color w:val="0000FF"/>
        </w:rPr>
        <w:t xml:space="preserve">new </w:t>
      </w:r>
      <w:r w:rsidR="00BE650D">
        <w:rPr>
          <w:rFonts w:ascii="Times New Roman" w:hAnsi="Times New Roman" w:cs="Times New Roman"/>
          <w:color w:val="0000FF"/>
        </w:rPr>
        <w:t>empirical puzzle</w:t>
      </w:r>
      <w:r w:rsidR="00495D4B">
        <w:rPr>
          <w:rFonts w:ascii="Times New Roman" w:hAnsi="Times New Roman" w:cs="Times New Roman"/>
          <w:color w:val="0000FF"/>
        </w:rPr>
        <w:t xml:space="preserve"> up-front,</w:t>
      </w:r>
      <w:r w:rsidR="0079354D">
        <w:rPr>
          <w:rFonts w:ascii="Times New Roman" w:hAnsi="Times New Roman" w:cs="Times New Roman"/>
          <w:color w:val="0000FF"/>
        </w:rPr>
        <w:t xml:space="preserve"> </w:t>
      </w:r>
      <w:r w:rsidR="00BE650D">
        <w:rPr>
          <w:rFonts w:ascii="Times New Roman" w:hAnsi="Times New Roman" w:cs="Times New Roman"/>
          <w:color w:val="0000FF"/>
        </w:rPr>
        <w:t xml:space="preserve"> following the AE’s suggestion. Here, I say </w:t>
      </w:r>
    </w:p>
    <w:p w14:paraId="23DE942D" w14:textId="0712DFC8" w:rsidR="00BE650D" w:rsidRPr="00BE650D" w:rsidRDefault="00BE650D" w:rsidP="00BE650D">
      <w:pPr>
        <w:widowControl w:val="0"/>
        <w:autoSpaceDE w:val="0"/>
        <w:autoSpaceDN w:val="0"/>
        <w:adjustRightInd w:val="0"/>
        <w:spacing w:before="240" w:after="0" w:line="240" w:lineRule="auto"/>
        <w:ind w:left="720"/>
        <w:jc w:val="both"/>
        <w:rPr>
          <w:rFonts w:ascii="Times New Roman" w:hAnsi="Times New Roman" w:cs="Times New Roman"/>
          <w:color w:val="0000FF"/>
        </w:rPr>
      </w:pPr>
      <w:r w:rsidRPr="00BE650D">
        <w:rPr>
          <w:rFonts w:ascii="Times New Roman" w:hAnsi="Times New Roman" w:cs="Times New Roman"/>
          <w:color w:val="0000FF"/>
        </w:rPr>
        <w:t>“</w:t>
      </w:r>
      <w:r w:rsidR="005F423A">
        <w:rPr>
          <w:rFonts w:ascii="Times New Roman" w:hAnsi="Times New Roman" w:cs="Times New Roman"/>
          <w:color w:val="0000FF"/>
        </w:rPr>
        <w:t xml:space="preserve">Maybe surprisingly, </w:t>
      </w:r>
      <w:r w:rsidRPr="00BE650D">
        <w:rPr>
          <w:rFonts w:ascii="Times New Roman" w:hAnsi="Times New Roman" w:cs="Times New Roman"/>
          <w:color w:val="0000FF"/>
        </w:rPr>
        <w:t>Figure 1 newly shows that nominal bond-stock betas remained negative for much of the inflationary post-pandemic period. This raises the question why -- different from the 1980s -- nominal bond-stock betas did not rise during the recent spike in inflation, despite perceived macroeconomic similarities.”</w:t>
      </w:r>
    </w:p>
    <w:p w14:paraId="6BC1BCC3" w14:textId="32FD6ABC" w:rsidR="00BE650D" w:rsidRDefault="00DA1D50"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I view p</w:t>
      </w:r>
      <w:r w:rsidR="00BE650D">
        <w:rPr>
          <w:rFonts w:ascii="Times New Roman" w:hAnsi="Times New Roman" w:cs="Times New Roman"/>
          <w:color w:val="0000FF"/>
        </w:rPr>
        <w:t>ost-pandemic betas a</w:t>
      </w:r>
      <w:r>
        <w:rPr>
          <w:rFonts w:ascii="Times New Roman" w:hAnsi="Times New Roman" w:cs="Times New Roman"/>
          <w:color w:val="0000FF"/>
        </w:rPr>
        <w:t>s</w:t>
      </w:r>
      <w:r w:rsidR="00BE650D">
        <w:rPr>
          <w:rFonts w:ascii="Times New Roman" w:hAnsi="Times New Roman" w:cs="Times New Roman"/>
          <w:color w:val="0000FF"/>
        </w:rPr>
        <w:t xml:space="preserve"> a particularly informative moment about the macroeconomic drivers of bond-stock betas because this recent period featured a spike in inflation not experienced in the </w:t>
      </w:r>
      <w:r>
        <w:rPr>
          <w:rFonts w:ascii="Times New Roman" w:hAnsi="Times New Roman" w:cs="Times New Roman"/>
          <w:color w:val="0000FF"/>
        </w:rPr>
        <w:t xml:space="preserve">US </w:t>
      </w:r>
      <w:r w:rsidR="00BE650D">
        <w:rPr>
          <w:rFonts w:ascii="Times New Roman" w:hAnsi="Times New Roman" w:cs="Times New Roman"/>
          <w:color w:val="0000FF"/>
        </w:rPr>
        <w:t xml:space="preserve"> since the 1980s. CPV cannot speak to this empirical puzzle</w:t>
      </w:r>
      <w:r w:rsidR="008D1539">
        <w:rPr>
          <w:rFonts w:ascii="Times New Roman" w:hAnsi="Times New Roman" w:cs="Times New Roman"/>
          <w:color w:val="0000FF"/>
        </w:rPr>
        <w:t xml:space="preserve"> because </w:t>
      </w:r>
      <w:r w:rsidR="006D568D">
        <w:rPr>
          <w:rFonts w:ascii="Times New Roman" w:hAnsi="Times New Roman" w:cs="Times New Roman"/>
          <w:color w:val="0000FF"/>
        </w:rPr>
        <w:t xml:space="preserve">its sample ends before </w:t>
      </w:r>
      <w:r w:rsidR="008D1539">
        <w:rPr>
          <w:rFonts w:ascii="Times New Roman" w:hAnsi="Times New Roman" w:cs="Times New Roman"/>
          <w:color w:val="0000FF"/>
        </w:rPr>
        <w:t>the pandemic.</w:t>
      </w:r>
    </w:p>
    <w:p w14:paraId="40F98D03" w14:textId="339DEECF" w:rsidR="008B0CD8" w:rsidRPr="008B0CD8" w:rsidRDefault="00BE650D"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As discussed in detail in response to your previous comment, I also re-wrote the introduction to clarify how th</w:t>
      </w:r>
      <w:r w:rsidR="00894487">
        <w:rPr>
          <w:rFonts w:ascii="Times New Roman" w:hAnsi="Times New Roman" w:cs="Times New Roman"/>
          <w:color w:val="0000FF"/>
        </w:rPr>
        <w:t>is paper’s</w:t>
      </w:r>
      <w:r>
        <w:rPr>
          <w:rFonts w:ascii="Times New Roman" w:hAnsi="Times New Roman" w:cs="Times New Roman"/>
          <w:color w:val="0000FF"/>
        </w:rPr>
        <w:t xml:space="preserve"> conclusion and model </w:t>
      </w:r>
      <w:r w:rsidR="00894487">
        <w:rPr>
          <w:rFonts w:ascii="Times New Roman" w:hAnsi="Times New Roman" w:cs="Times New Roman"/>
          <w:color w:val="0000FF"/>
        </w:rPr>
        <w:t xml:space="preserve">are different </w:t>
      </w:r>
      <w:r>
        <w:rPr>
          <w:rFonts w:ascii="Times New Roman" w:hAnsi="Times New Roman" w:cs="Times New Roman"/>
          <w:color w:val="0000FF"/>
        </w:rPr>
        <w:t xml:space="preserve">from CPV and the broader literature on bond-stock betas. </w:t>
      </w:r>
    </w:p>
    <w:p w14:paraId="1B895E5E" w14:textId="4D415424" w:rsidR="00F303D9" w:rsidRPr="00F303D9"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F303D9">
        <w:rPr>
          <w:rFonts w:ascii="Times New Roman" w:hAnsi="Times New Roman" w:cs="Times New Roman"/>
        </w:rPr>
        <w:t>A qualitative reading of history suggests that there were no major “</w:t>
      </w:r>
      <w:r w:rsidRPr="00F303D9">
        <w:rPr>
          <w:rFonts w:ascii="Times New Roman" w:hAnsi="Times New Roman" w:cs="Times New Roman" w:hint="eastAsia"/>
        </w:rPr>
        <w:t>s</w:t>
      </w:r>
      <w:r w:rsidRPr="00F303D9">
        <w:rPr>
          <w:rFonts w:ascii="Times New Roman" w:hAnsi="Times New Roman" w:cs="Times New Roman"/>
        </w:rPr>
        <w:t>upply</w:t>
      </w:r>
      <w:r w:rsidRPr="00F303D9">
        <w:rPr>
          <w:rFonts w:ascii="Times New Roman" w:hAnsi="Times New Roman" w:cs="Times New Roman" w:hint="eastAsia"/>
        </w:rPr>
        <w:t xml:space="preserve"> </w:t>
      </w:r>
      <w:r w:rsidRPr="00F303D9">
        <w:rPr>
          <w:rFonts w:ascii="Times New Roman" w:hAnsi="Times New Roman" w:cs="Times New Roman"/>
        </w:rPr>
        <w:t>shocks” in the 1980s (either empirically or “in investors’</w:t>
      </w:r>
      <w:r w:rsidRPr="00F303D9">
        <w:rPr>
          <w:rFonts w:ascii="Times New Roman" w:hAnsi="Times New Roman" w:cs="Times New Roman" w:hint="eastAsia"/>
        </w:rPr>
        <w:t xml:space="preserve"> </w:t>
      </w:r>
      <w:r w:rsidRPr="00F303D9">
        <w:rPr>
          <w:rFonts w:ascii="Times New Roman" w:hAnsi="Times New Roman" w:cs="Times New Roman"/>
        </w:rPr>
        <w:t>minds”). Supply</w:t>
      </w:r>
      <w:r w:rsidRPr="00F303D9">
        <w:rPr>
          <w:rFonts w:ascii="Times New Roman" w:hAnsi="Times New Roman" w:cs="Times New Roman" w:hint="eastAsia"/>
        </w:rPr>
        <w:t xml:space="preserve"> </w:t>
      </w:r>
      <w:r w:rsidRPr="00F303D9">
        <w:rPr>
          <w:rFonts w:ascii="Times New Roman" w:hAnsi="Times New Roman" w:cs="Times New Roman"/>
        </w:rPr>
        <w:t>shocks were relevant in the 1970s—</w:t>
      </w:r>
      <w:r w:rsidRPr="00F303D9">
        <w:rPr>
          <w:rFonts w:ascii="Times New Roman" w:hAnsi="Times New Roman" w:cs="Times New Roman" w:hint="eastAsia"/>
        </w:rPr>
        <w:t xml:space="preserve">think </w:t>
      </w:r>
      <w:r w:rsidRPr="00F303D9">
        <w:rPr>
          <w:rFonts w:ascii="Times New Roman" w:hAnsi="Times New Roman" w:cs="Times New Roman"/>
        </w:rPr>
        <w:t>oil/food price shocks and associated</w:t>
      </w:r>
      <w:r w:rsidRPr="00F303D9">
        <w:rPr>
          <w:rFonts w:ascii="Times New Roman" w:hAnsi="Times New Roman" w:cs="Times New Roman" w:hint="eastAsia"/>
        </w:rPr>
        <w:t xml:space="preserve"> </w:t>
      </w:r>
      <w:r w:rsidRPr="00F303D9">
        <w:rPr>
          <w:rFonts w:ascii="Times New Roman" w:hAnsi="Times New Roman" w:cs="Times New Roman"/>
        </w:rPr>
        <w:t>recessions. In the 1980s, the main issue was elevated in</w:t>
      </w:r>
      <w:r w:rsidRPr="00F303D9">
        <w:rPr>
          <w:rFonts w:ascii="Times New Roman" w:hAnsi="Times New Roman" w:cs="Times New Roman" w:hint="eastAsia"/>
        </w:rPr>
        <w:t>fl</w:t>
      </w:r>
      <w:r w:rsidRPr="00F303D9">
        <w:rPr>
          <w:rFonts w:ascii="Times New Roman" w:hAnsi="Times New Roman" w:cs="Times New Roman"/>
        </w:rPr>
        <w:t>ation and its persistence (e.g., due to in</w:t>
      </w:r>
      <w:r w:rsidRPr="00F303D9">
        <w:rPr>
          <w:rFonts w:ascii="Times New Roman" w:hAnsi="Times New Roman" w:cs="Times New Roman" w:hint="eastAsia"/>
        </w:rPr>
        <w:t>fl</w:t>
      </w:r>
      <w:r w:rsidRPr="00F303D9">
        <w:rPr>
          <w:rFonts w:ascii="Times New Roman" w:hAnsi="Times New Roman" w:cs="Times New Roman"/>
        </w:rPr>
        <w:t>ation expectations or experience a</w:t>
      </w:r>
      <w:r w:rsidRPr="00F303D9">
        <w:rPr>
          <w:rFonts w:ascii="Times New Roman" w:hAnsi="Times New Roman" w:cs="Times New Roman" w:hint="eastAsia"/>
        </w:rPr>
        <w:t>ff</w:t>
      </w:r>
      <w:r w:rsidRPr="00F303D9">
        <w:rPr>
          <w:rFonts w:ascii="Times New Roman" w:hAnsi="Times New Roman" w:cs="Times New Roman"/>
        </w:rPr>
        <w:t>ecting price-setting</w:t>
      </w:r>
      <w:r w:rsidRPr="00F303D9">
        <w:rPr>
          <w:rFonts w:ascii="Times New Roman" w:hAnsi="Times New Roman" w:cs="Times New Roman" w:hint="eastAsia"/>
        </w:rPr>
        <w:t xml:space="preserve"> </w:t>
      </w:r>
      <w:r w:rsidRPr="00F303D9">
        <w:rPr>
          <w:rFonts w:ascii="Times New Roman" w:hAnsi="Times New Roman" w:cs="Times New Roman"/>
        </w:rPr>
        <w:t>behavior). Chair Volcker hiked rates and generated a recession to reduce in</w:t>
      </w:r>
      <w:r w:rsidRPr="00F303D9">
        <w:rPr>
          <w:rFonts w:ascii="Times New Roman" w:hAnsi="Times New Roman" w:cs="Times New Roman" w:hint="eastAsia"/>
        </w:rPr>
        <w:t>fl</w:t>
      </w:r>
      <w:r w:rsidRPr="00F303D9">
        <w:rPr>
          <w:rFonts w:ascii="Times New Roman" w:hAnsi="Times New Roman" w:cs="Times New Roman"/>
        </w:rPr>
        <w:t>ation. Afterward, there were several “</w:t>
      </w:r>
      <w:r w:rsidRPr="00F303D9">
        <w:rPr>
          <w:rFonts w:ascii="Times New Roman" w:hAnsi="Times New Roman" w:cs="Times New Roman" w:hint="eastAsia"/>
        </w:rPr>
        <w:t>inflation scares</w:t>
      </w:r>
      <w:r w:rsidRPr="00F303D9">
        <w:rPr>
          <w:rFonts w:ascii="Times New Roman" w:hAnsi="Times New Roman" w:cs="Times New Roman"/>
        </w:rPr>
        <w:t>”—</w:t>
      </w:r>
      <w:r w:rsidRPr="00F303D9">
        <w:rPr>
          <w:rFonts w:ascii="Times New Roman" w:hAnsi="Times New Roman" w:cs="Times New Roman" w:hint="eastAsia"/>
        </w:rPr>
        <w:t xml:space="preserve">the </w:t>
      </w:r>
      <w:r w:rsidRPr="00F303D9">
        <w:rPr>
          <w:rFonts w:ascii="Times New Roman" w:hAnsi="Times New Roman" w:cs="Times New Roman"/>
        </w:rPr>
        <w:t>markets were</w:t>
      </w:r>
      <w:r w:rsidRPr="00F303D9">
        <w:rPr>
          <w:rFonts w:ascii="Times New Roman" w:hAnsi="Times New Roman" w:cs="Times New Roman" w:hint="eastAsia"/>
        </w:rPr>
        <w:t xml:space="preserve"> </w:t>
      </w:r>
      <w:r w:rsidRPr="00F303D9">
        <w:rPr>
          <w:rFonts w:ascii="Times New Roman" w:hAnsi="Times New Roman" w:cs="Times New Roman"/>
        </w:rPr>
        <w:t>testing the Fed’s resolve to see whether they are serious about controlling</w:t>
      </w:r>
      <w:r w:rsidRPr="00F303D9">
        <w:rPr>
          <w:rFonts w:ascii="Times New Roman" w:hAnsi="Times New Roman" w:cs="Times New Roman" w:hint="eastAsia"/>
        </w:rPr>
        <w:t xml:space="preserve"> </w:t>
      </w:r>
      <w:r w:rsidRPr="00F303D9">
        <w:rPr>
          <w:rFonts w:ascii="Times New Roman" w:hAnsi="Times New Roman" w:cs="Times New Roman"/>
        </w:rPr>
        <w:t>in</w:t>
      </w:r>
      <w:r w:rsidRPr="00F303D9">
        <w:rPr>
          <w:rFonts w:ascii="Times New Roman" w:hAnsi="Times New Roman" w:cs="Times New Roman" w:hint="eastAsia"/>
        </w:rPr>
        <w:t>fl</w:t>
      </w:r>
      <w:r w:rsidRPr="00F303D9">
        <w:rPr>
          <w:rFonts w:ascii="Times New Roman" w:hAnsi="Times New Roman" w:cs="Times New Roman"/>
        </w:rPr>
        <w:t>ation or whether in</w:t>
      </w:r>
      <w:r w:rsidRPr="00F303D9">
        <w:rPr>
          <w:rFonts w:ascii="Times New Roman" w:hAnsi="Times New Roman" w:cs="Times New Roman" w:hint="eastAsia"/>
        </w:rPr>
        <w:t>fl</w:t>
      </w:r>
      <w:r w:rsidRPr="00F303D9">
        <w:rPr>
          <w:rFonts w:ascii="Times New Roman" w:hAnsi="Times New Roman" w:cs="Times New Roman"/>
        </w:rPr>
        <w:t xml:space="preserve">ation would </w:t>
      </w:r>
      <w:r w:rsidRPr="00F303D9">
        <w:rPr>
          <w:rFonts w:ascii="Times New Roman" w:hAnsi="Times New Roman" w:cs="Times New Roman" w:hint="eastAsia"/>
        </w:rPr>
        <w:t>fl</w:t>
      </w:r>
      <w:r w:rsidRPr="00F303D9">
        <w:rPr>
          <w:rFonts w:ascii="Times New Roman" w:hAnsi="Times New Roman" w:cs="Times New Roman"/>
        </w:rPr>
        <w:t>are up again. Over time, the Fed managed to keep in</w:t>
      </w:r>
      <w:r w:rsidRPr="00F303D9">
        <w:rPr>
          <w:rFonts w:ascii="Times New Roman" w:hAnsi="Times New Roman" w:cs="Times New Roman" w:hint="eastAsia"/>
        </w:rPr>
        <w:t>fl</w:t>
      </w:r>
      <w:r w:rsidRPr="00F303D9">
        <w:rPr>
          <w:rFonts w:ascii="Times New Roman" w:hAnsi="Times New Roman" w:cs="Times New Roman"/>
        </w:rPr>
        <w:t>ation at its implicit target (2%). The Fed eventually gained</w:t>
      </w:r>
      <w:r w:rsidRPr="00F303D9">
        <w:rPr>
          <w:rFonts w:ascii="Times New Roman" w:hAnsi="Times New Roman" w:cs="Times New Roman" w:hint="eastAsia"/>
        </w:rPr>
        <w:t xml:space="preserve"> </w:t>
      </w:r>
      <w:r w:rsidRPr="00F303D9">
        <w:rPr>
          <w:rFonts w:ascii="Times New Roman" w:hAnsi="Times New Roman" w:cs="Times New Roman"/>
        </w:rPr>
        <w:t>credibility and in</w:t>
      </w:r>
      <w:r w:rsidRPr="00F303D9">
        <w:rPr>
          <w:rFonts w:ascii="Times New Roman" w:hAnsi="Times New Roman" w:cs="Times New Roman" w:hint="eastAsia"/>
        </w:rPr>
        <w:t>fl</w:t>
      </w:r>
      <w:r w:rsidRPr="00F303D9">
        <w:rPr>
          <w:rFonts w:ascii="Times New Roman" w:hAnsi="Times New Roman" w:cs="Times New Roman"/>
        </w:rPr>
        <w:t>ation expectations became anchored. This credibility is</w:t>
      </w:r>
      <w:r w:rsidRPr="00F303D9">
        <w:rPr>
          <w:rFonts w:ascii="Times New Roman" w:hAnsi="Times New Roman" w:cs="Times New Roman" w:hint="eastAsia"/>
        </w:rPr>
        <w:t xml:space="preserve"> </w:t>
      </w:r>
      <w:r w:rsidRPr="00F303D9">
        <w:rPr>
          <w:rFonts w:ascii="Times New Roman" w:hAnsi="Times New Roman" w:cs="Times New Roman"/>
        </w:rPr>
        <w:t>why (among other things) bond-stock betas eventually turned negative.</w:t>
      </w:r>
      <w:r w:rsidR="00A6114B">
        <w:rPr>
          <w:rFonts w:ascii="Times New Roman" w:hAnsi="Times New Roman" w:cs="Times New Roman"/>
        </w:rPr>
        <w:t xml:space="preserve">This </w:t>
      </w:r>
      <w:r>
        <w:rPr>
          <w:rStyle w:val="FootnoteReference"/>
          <w:rFonts w:ascii="Times New Roman" w:hAnsi="Times New Roman" w:cs="Times New Roman"/>
        </w:rPr>
        <w:footnoteReference w:id="1"/>
      </w:r>
      <w:r w:rsidRPr="00F303D9">
        <w:rPr>
          <w:rFonts w:ascii="Times New Roman" w:hAnsi="Times New Roman" w:cs="Times New Roman" w:hint="eastAsia"/>
        </w:rPr>
        <w:t xml:space="preserve"> </w:t>
      </w:r>
    </w:p>
    <w:p w14:paraId="6B103A15" w14:textId="77777777" w:rsidR="00F303D9" w:rsidRDefault="00F303D9"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r w:rsidRPr="00AE5C04">
        <w:rPr>
          <w:rFonts w:ascii="Times New Roman" w:hAnsi="Times New Roman" w:cs="Times New Roman"/>
        </w:rPr>
        <w:br/>
        <w:t>Given this history, what should we make of this paper’s explanation that this</w:t>
      </w:r>
      <w:r w:rsidRPr="00AE5C04">
        <w:rPr>
          <w:rFonts w:ascii="Times New Roman" w:hAnsi="Times New Roman" w:cs="Times New Roman" w:hint="eastAsia"/>
        </w:rPr>
        <w:t xml:space="preserve"> </w:t>
      </w:r>
      <w:r w:rsidRPr="00AE5C04">
        <w:rPr>
          <w:rFonts w:ascii="Times New Roman" w:hAnsi="Times New Roman" w:cs="Times New Roman"/>
        </w:rPr>
        <w:t>period featured dominant “supply shocks”</w:t>
      </w:r>
      <w:r w:rsidRPr="00AE5C04">
        <w:rPr>
          <w:rFonts w:ascii="Times New Roman" w:hAnsi="Times New Roman" w:cs="Times New Roman" w:hint="eastAsia"/>
        </w:rPr>
        <w:t xml:space="preserve"> </w:t>
      </w:r>
      <w:r w:rsidRPr="00AE5C04">
        <w:rPr>
          <w:rFonts w:ascii="Times New Roman" w:hAnsi="Times New Roman" w:cs="Times New Roman"/>
        </w:rPr>
        <w:t>with a fast and in</w:t>
      </w:r>
      <w:r w:rsidRPr="00AE5C04">
        <w:rPr>
          <w:rFonts w:ascii="Times New Roman" w:hAnsi="Times New Roman" w:cs="Times New Roman" w:hint="eastAsia"/>
        </w:rPr>
        <w:t>fl</w:t>
      </w:r>
      <w:r w:rsidRPr="00AE5C04">
        <w:rPr>
          <w:rFonts w:ascii="Times New Roman" w:hAnsi="Times New Roman" w:cs="Times New Roman"/>
        </w:rPr>
        <w:t>ation-focused</w:t>
      </w:r>
      <w:r w:rsidRPr="00AE5C04">
        <w:rPr>
          <w:rFonts w:ascii="Times New Roman" w:hAnsi="Times New Roman" w:cs="Times New Roman" w:hint="eastAsia"/>
        </w:rPr>
        <w:t xml:space="preserve"> </w:t>
      </w:r>
      <w:r w:rsidRPr="00AE5C04">
        <w:rPr>
          <w:rFonts w:ascii="Times New Roman" w:hAnsi="Times New Roman" w:cs="Times New Roman"/>
        </w:rPr>
        <w:t xml:space="preserve">monetary policy? We can </w:t>
      </w:r>
      <w:r w:rsidRPr="00AE5C04">
        <w:rPr>
          <w:rFonts w:ascii="Times New Roman" w:hAnsi="Times New Roman" w:cs="Times New Roman"/>
          <w:i/>
          <w:iCs/>
        </w:rPr>
        <w:t>perhaps</w:t>
      </w:r>
      <w:r w:rsidRPr="00AE5C04">
        <w:rPr>
          <w:rFonts w:ascii="Times New Roman" w:hAnsi="Times New Roman" w:cs="Times New Roman"/>
        </w:rPr>
        <w:t xml:space="preserve"> interpret the supply shocks as an “as-if”</w:t>
      </w:r>
      <w:r w:rsidRPr="00AE5C04">
        <w:rPr>
          <w:rFonts w:ascii="Times New Roman" w:hAnsi="Times New Roman" w:cs="Times New Roman" w:hint="eastAsia"/>
        </w:rPr>
        <w:t xml:space="preserve"> </w:t>
      </w:r>
      <w:r w:rsidRPr="00AE5C04">
        <w:rPr>
          <w:rFonts w:ascii="Times New Roman" w:hAnsi="Times New Roman" w:cs="Times New Roman"/>
        </w:rPr>
        <w:t>modeling device to capture in</w:t>
      </w:r>
      <w:r w:rsidRPr="00AE5C04">
        <w:rPr>
          <w:rFonts w:ascii="Times New Roman" w:hAnsi="Times New Roman" w:cs="Times New Roman" w:hint="eastAsia"/>
        </w:rPr>
        <w:t>fl</w:t>
      </w:r>
      <w:r w:rsidRPr="00AE5C04">
        <w:rPr>
          <w:rFonts w:ascii="Times New Roman" w:hAnsi="Times New Roman" w:cs="Times New Roman"/>
        </w:rPr>
        <w:t>ation scares driven by weak credibility. But we</w:t>
      </w:r>
      <w:r w:rsidRPr="00AE5C04">
        <w:rPr>
          <w:rFonts w:ascii="Times New Roman" w:hAnsi="Times New Roman" w:cs="Times New Roman" w:hint="eastAsia"/>
        </w:rPr>
        <w:t xml:space="preserve"> </w:t>
      </w:r>
      <w:r w:rsidRPr="00AE5C04">
        <w:rPr>
          <w:rFonts w:ascii="Times New Roman" w:hAnsi="Times New Roman" w:cs="Times New Roman"/>
        </w:rPr>
        <w:t>could do a similar interpretation for CPV. This paper’s ambition appears to</w:t>
      </w:r>
      <w:r w:rsidRPr="00AE5C04">
        <w:rPr>
          <w:rFonts w:ascii="Times New Roman" w:hAnsi="Times New Roman" w:cs="Times New Roman" w:hint="eastAsia"/>
        </w:rPr>
        <w:t xml:space="preserve"> </w:t>
      </w:r>
      <w:r w:rsidRPr="00AE5C04">
        <w:rPr>
          <w:rFonts w:ascii="Times New Roman" w:hAnsi="Times New Roman" w:cs="Times New Roman"/>
        </w:rPr>
        <w:t>go deeper than CPV and provide a “structural”</w:t>
      </w:r>
      <w:r w:rsidRPr="00AE5C04">
        <w:rPr>
          <w:rFonts w:ascii="Times New Roman" w:hAnsi="Times New Roman" w:cs="Times New Roman" w:hint="eastAsia"/>
        </w:rPr>
        <w:t xml:space="preserve"> </w:t>
      </w:r>
      <w:r w:rsidRPr="00AE5C04">
        <w:rPr>
          <w:rFonts w:ascii="Times New Roman" w:hAnsi="Times New Roman" w:cs="Times New Roman"/>
        </w:rPr>
        <w:t>interpretation rather than an</w:t>
      </w:r>
      <w:r>
        <w:rPr>
          <w:rFonts w:ascii="Times New Roman" w:hAnsi="Times New Roman" w:cs="Times New Roman" w:hint="eastAsia"/>
        </w:rPr>
        <w:t xml:space="preserve"> </w:t>
      </w:r>
      <w:r w:rsidRPr="00AE5C04">
        <w:rPr>
          <w:rFonts w:ascii="Times New Roman" w:hAnsi="Times New Roman" w:cs="Times New Roman"/>
        </w:rPr>
        <w:t>as-if interpretation. But the structural interpretation does not seem correct.</w:t>
      </w:r>
    </w:p>
    <w:p w14:paraId="1FC2F7BC" w14:textId="77777777" w:rsidR="00FC1393" w:rsidRDefault="00FC1393"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p>
    <w:p w14:paraId="230B3DCD" w14:textId="2CA1B7EC" w:rsidR="0079087F" w:rsidRDefault="00FC1393" w:rsidP="0079087F">
      <w:pPr>
        <w:autoSpaceDE w:val="0"/>
        <w:autoSpaceDN w:val="0"/>
        <w:adjustRightInd w:val="0"/>
        <w:spacing w:after="0" w:line="240" w:lineRule="auto"/>
        <w:rPr>
          <w:rFonts w:ascii="Times New Roman" w:hAnsi="Times New Roman" w:cs="Times New Roman"/>
          <w:color w:val="0000FF"/>
        </w:rPr>
      </w:pPr>
      <w:r w:rsidRPr="00E7757A">
        <w:rPr>
          <w:rFonts w:ascii="Times New Roman" w:hAnsi="Times New Roman" w:cs="Times New Roman"/>
          <w:b/>
          <w:bCs/>
          <w:color w:val="0000FF"/>
        </w:rPr>
        <w:lastRenderedPageBreak/>
        <w:t>Reply:</w:t>
      </w:r>
      <w:r w:rsidRPr="00E7757A">
        <w:rPr>
          <w:rFonts w:ascii="Times New Roman" w:hAnsi="Times New Roman" w:cs="Times New Roman"/>
          <w:color w:val="0000FF"/>
        </w:rPr>
        <w:t xml:space="preserve"> </w:t>
      </w:r>
      <w:r w:rsidR="0079087F">
        <w:rPr>
          <w:rFonts w:ascii="Times New Roman" w:hAnsi="Times New Roman" w:cs="Times New Roman"/>
          <w:color w:val="0000FF"/>
        </w:rPr>
        <w:t xml:space="preserve">I have addressed the issue twofold. First, I followed </w:t>
      </w:r>
      <w:r w:rsidR="001A6E52">
        <w:rPr>
          <w:rFonts w:ascii="Times New Roman" w:hAnsi="Times New Roman" w:cs="Times New Roman"/>
          <w:color w:val="0000FF"/>
        </w:rPr>
        <w:t xml:space="preserve">the AE’s </w:t>
      </w:r>
      <w:r w:rsidR="0079087F">
        <w:rPr>
          <w:rFonts w:ascii="Times New Roman" w:hAnsi="Times New Roman" w:cs="Times New Roman"/>
          <w:color w:val="0000FF"/>
        </w:rPr>
        <w:t xml:space="preserve">suggestion to calculate the necessary changes in parameters to explain the nominal bond-stock betas during the 1980s from the second subperiod calibration (see the </w:t>
      </w:r>
      <w:r w:rsidR="0079087F" w:rsidRPr="003C5071">
        <w:rPr>
          <w:rFonts w:ascii="Times New Roman" w:hAnsi="Times New Roman" w:cs="Times New Roman"/>
          <w:b/>
          <w:bCs/>
          <w:color w:val="0000FF"/>
        </w:rPr>
        <w:t>new Figure 8</w:t>
      </w:r>
      <w:r w:rsidR="0079087F">
        <w:rPr>
          <w:rFonts w:ascii="Times New Roman" w:hAnsi="Times New Roman" w:cs="Times New Roman"/>
          <w:color w:val="0000FF"/>
        </w:rPr>
        <w:t xml:space="preserve">). This new figure clearly shows that volatile supply shocks are required to explain risky nominal Treasury bonds observed during the 1980s. Panel A of that figure is reproduced below for your convenience. The nominal bond-stock beta during the first subperiod is depicted with an orange plane, while blue circles depict model bond-stock betas. All parameters not explicitly mentioned are set to their values in the 2000s calibration listed in Table 1. The new Figure 8 shows that a high volatility of supply shocks is necessary to reverse-engineer the bond-stock betas observed during the first subperiod, further supporting a high supply shock volatility for the first calibration period. For a detailed discussion of this figure see the </w:t>
      </w:r>
      <w:r w:rsidR="0079087F" w:rsidRPr="00C2376C">
        <w:rPr>
          <w:rFonts w:ascii="Times New Roman" w:hAnsi="Times New Roman" w:cs="Times New Roman"/>
          <w:b/>
          <w:bCs/>
          <w:color w:val="0000FF"/>
        </w:rPr>
        <w:t>new Section 4.4</w:t>
      </w:r>
      <w:r w:rsidR="0079087F">
        <w:rPr>
          <w:rFonts w:ascii="Times New Roman" w:hAnsi="Times New Roman" w:cs="Times New Roman"/>
          <w:color w:val="0000FF"/>
        </w:rPr>
        <w:t xml:space="preserve"> </w:t>
      </w:r>
      <w:r w:rsidR="0079087F" w:rsidRPr="00C2376C">
        <w:rPr>
          <w:rFonts w:ascii="Times New Roman" w:hAnsi="Times New Roman" w:cs="Times New Roman"/>
          <w:b/>
          <w:bCs/>
          <w:color w:val="0000FF"/>
        </w:rPr>
        <w:t>(pp.3</w:t>
      </w:r>
      <w:r w:rsidR="004A2B1F">
        <w:rPr>
          <w:rFonts w:ascii="Times New Roman" w:hAnsi="Times New Roman" w:cs="Times New Roman"/>
          <w:b/>
          <w:bCs/>
          <w:color w:val="0000FF"/>
        </w:rPr>
        <w:t>1</w:t>
      </w:r>
      <w:r w:rsidR="0079087F" w:rsidRPr="00C2376C">
        <w:rPr>
          <w:rFonts w:ascii="Times New Roman" w:hAnsi="Times New Roman" w:cs="Times New Roman"/>
          <w:b/>
          <w:bCs/>
          <w:color w:val="0000FF"/>
        </w:rPr>
        <w:t>-3</w:t>
      </w:r>
      <w:r w:rsidR="004A2B1F">
        <w:rPr>
          <w:rFonts w:ascii="Times New Roman" w:hAnsi="Times New Roman" w:cs="Times New Roman"/>
          <w:b/>
          <w:bCs/>
          <w:color w:val="0000FF"/>
        </w:rPr>
        <w:t>2</w:t>
      </w:r>
      <w:r w:rsidR="0079087F" w:rsidRPr="00C2376C">
        <w:rPr>
          <w:rFonts w:ascii="Times New Roman" w:hAnsi="Times New Roman" w:cs="Times New Roman"/>
          <w:b/>
          <w:bCs/>
          <w:color w:val="0000FF"/>
        </w:rPr>
        <w:t>)</w:t>
      </w:r>
      <w:r w:rsidR="0079087F">
        <w:rPr>
          <w:rFonts w:ascii="Times New Roman" w:hAnsi="Times New Roman" w:cs="Times New Roman"/>
          <w:color w:val="0000FF"/>
        </w:rPr>
        <w:t xml:space="preserve"> in the manuscript.</w:t>
      </w:r>
    </w:p>
    <w:p w14:paraId="014E9494"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EA6A099" w14:textId="2DFEF7D3" w:rsidR="0079087F" w:rsidRDefault="0079087F" w:rsidP="0079087F">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I refrained from calibrating the model to the 1970s period. While I agree that this was plausibly a period of substantial supply shock volatility, monetary policy during the 1970s was more complicated, which would complicate the analysis. In particular, it has been argued that </w:t>
      </w:r>
      <w:r w:rsidR="001A6E52">
        <w:rPr>
          <w:rFonts w:ascii="Times New Roman" w:hAnsi="Times New Roman" w:cs="Times New Roman"/>
          <w:color w:val="0000FF"/>
        </w:rPr>
        <w:t xml:space="preserve">during this period </w:t>
      </w:r>
      <w:r>
        <w:rPr>
          <w:rFonts w:ascii="Times New Roman" w:hAnsi="Times New Roman" w:cs="Times New Roman"/>
          <w:color w:val="0000FF"/>
        </w:rPr>
        <w:t xml:space="preserve">monetary policy opened up the </w:t>
      </w:r>
      <w:r w:rsidRPr="00337A40">
        <w:rPr>
          <w:rFonts w:ascii="Times New Roman" w:hAnsi="Times New Roman" w:cs="Times New Roman"/>
          <w:color w:val="0000FF"/>
        </w:rPr>
        <w:t>economy to self-fulfilling sunspots</w:t>
      </w:r>
      <w:r>
        <w:rPr>
          <w:rFonts w:ascii="Times New Roman" w:hAnsi="Times New Roman" w:cs="Times New Roman"/>
          <w:color w:val="0000FF"/>
        </w:rPr>
        <w:t xml:space="preserve"> or “inflation scares” </w:t>
      </w:r>
      <w:r w:rsidRPr="00337A40">
        <w:rPr>
          <w:rFonts w:ascii="Times New Roman" w:hAnsi="Times New Roman" w:cs="Times New Roman"/>
          <w:color w:val="0000FF"/>
        </w:rPr>
        <w:t>(Clarida, Gali, and Gertler (1999), Goodfriend (2007))</w:t>
      </w:r>
      <w:r>
        <w:rPr>
          <w:rFonts w:ascii="Times New Roman" w:hAnsi="Times New Roman" w:cs="Times New Roman"/>
          <w:color w:val="0000FF"/>
        </w:rPr>
        <w:t xml:space="preserve">. While important, these issues are beyond the scope of this paper. The 1980s hence provide an ideal calibration period for this paper, as this period featured substantial supply shock uncertainty and a sufficiently inflation-responsive monetary policy rule, thereby sidestepping the issue of sunspots and self-fulfilling inflation expectations.  I added a brief discussion to the introduction explaining why I calibrate the model to the 1980s rather than the 1970s </w:t>
      </w:r>
      <w:r w:rsidRPr="005C3C2D">
        <w:rPr>
          <w:rFonts w:ascii="Times New Roman" w:hAnsi="Times New Roman" w:cs="Times New Roman"/>
          <w:color w:val="0000FF"/>
        </w:rPr>
        <w:t>(</w:t>
      </w:r>
      <w:r>
        <w:rPr>
          <w:rFonts w:ascii="Times New Roman" w:hAnsi="Times New Roman" w:cs="Times New Roman"/>
          <w:b/>
          <w:bCs/>
          <w:color w:val="0000FF"/>
        </w:rPr>
        <w:t xml:space="preserve">p3, </w:t>
      </w:r>
      <w:r w:rsidRPr="005C3C2D">
        <w:rPr>
          <w:rFonts w:ascii="Times New Roman" w:hAnsi="Times New Roman" w:cs="Times New Roman"/>
          <w:b/>
          <w:bCs/>
          <w:color w:val="0000FF"/>
        </w:rPr>
        <w:t>paragraph starting “The calibrated changes…”</w:t>
      </w:r>
      <w:r>
        <w:rPr>
          <w:rFonts w:ascii="Times New Roman" w:hAnsi="Times New Roman" w:cs="Times New Roman"/>
          <w:color w:val="0000FF"/>
        </w:rPr>
        <w:t>).</w:t>
      </w:r>
    </w:p>
    <w:p w14:paraId="196BD538"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651BE1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7A37E76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200ED75A"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6015C8C9"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18EBA32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7EBEA09"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5078200"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0C5099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1F0B2F9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C58E592"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46D12BF"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C49596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EC0DA0E"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749C819E"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387D90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CB5E602"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58DF76CC"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FDD4575"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6BE48B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CF8323A"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18ABB92F"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EEBF8F3"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DBA309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AE6A7B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DBCB3F4" w14:textId="3649EA18" w:rsidR="0079087F" w:rsidRPr="00911C0D" w:rsidRDefault="0079087F" w:rsidP="0079087F">
      <w:pPr>
        <w:autoSpaceDE w:val="0"/>
        <w:autoSpaceDN w:val="0"/>
        <w:adjustRightInd w:val="0"/>
        <w:spacing w:after="0" w:line="240" w:lineRule="auto"/>
        <w:jc w:val="center"/>
        <w:rPr>
          <w:b/>
          <w:bCs/>
        </w:rPr>
      </w:pPr>
      <w:r w:rsidRPr="00911C0D">
        <w:rPr>
          <w:rFonts w:ascii="Times New Roman" w:hAnsi="Times New Roman" w:cs="Times New Roman"/>
          <w:b/>
          <w:bCs/>
        </w:rPr>
        <w:lastRenderedPageBreak/>
        <w:t xml:space="preserve">Figure 8: </w:t>
      </w:r>
      <w:r w:rsidRPr="00911C0D">
        <w:rPr>
          <w:b/>
          <w:bCs/>
        </w:rPr>
        <w:t>Model</w:t>
      </w:r>
      <w:r w:rsidR="00D20A4E">
        <w:rPr>
          <w:b/>
          <w:bCs/>
        </w:rPr>
        <w:t>-Implied</w:t>
      </w:r>
      <w:r w:rsidRPr="00911C0D">
        <w:rPr>
          <w:b/>
          <w:bCs/>
        </w:rPr>
        <w:t xml:space="preserve"> Nominal Bond-Stock Beta vs. 1980s Bond-Stock Beta</w:t>
      </w:r>
    </w:p>
    <w:p w14:paraId="0B507262" w14:textId="77777777" w:rsidR="0079087F" w:rsidRPr="00911C0D" w:rsidRDefault="0079087F" w:rsidP="0079087F">
      <w:pPr>
        <w:autoSpaceDE w:val="0"/>
        <w:autoSpaceDN w:val="0"/>
        <w:adjustRightInd w:val="0"/>
        <w:spacing w:after="0" w:line="240" w:lineRule="auto"/>
        <w:jc w:val="center"/>
        <w:rPr>
          <w:rFonts w:ascii="Times New Roman" w:hAnsi="Times New Roman" w:cs="Times New Roman"/>
          <w:b/>
          <w:bCs/>
        </w:rPr>
      </w:pPr>
      <w:r w:rsidRPr="00911C0D">
        <w:rPr>
          <w:b/>
          <w:bCs/>
        </w:rPr>
        <w:t xml:space="preserve">Panel A: </w:t>
      </w:r>
      <w:r w:rsidRPr="00911C0D">
        <w:t xml:space="preserve">MP Inertia </w:t>
      </w:r>
      <m:oMath>
        <m:sSup>
          <m:sSupPr>
            <m:ctrlPr>
              <w:rPr>
                <w:rFonts w:ascii="Cambria Math" w:hAnsi="Cambria Math"/>
                <w:i/>
              </w:rPr>
            </m:ctrlPr>
          </m:sSupPr>
          <m:e>
            <m:r>
              <w:rPr>
                <w:rFonts w:ascii="Cambria Math" w:hAnsi="Cambria Math"/>
              </w:rPr>
              <m:t>ρ</m:t>
            </m:r>
          </m:e>
          <m:sup>
            <m:r>
              <w:rPr>
                <w:rFonts w:ascii="Cambria Math" w:hAnsi="Cambria Math"/>
              </w:rPr>
              <m:t>i</m:t>
            </m:r>
          </m:sup>
        </m:sSup>
        <m:r>
          <w:rPr>
            <w:rFonts w:ascii="Cambria Math" w:hAnsi="Cambria Math"/>
          </w:rPr>
          <m:t>=0.54</m:t>
        </m:r>
      </m:oMath>
    </w:p>
    <w:p w14:paraId="2840CBCE"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58D76C23" w14:textId="77777777" w:rsidR="0079087F" w:rsidRDefault="0079087F" w:rsidP="0079087F">
      <w:pPr>
        <w:autoSpaceDE w:val="0"/>
        <w:autoSpaceDN w:val="0"/>
        <w:adjustRightInd w:val="0"/>
        <w:spacing w:after="0" w:line="240" w:lineRule="auto"/>
        <w:rPr>
          <w:rFonts w:ascii="Segoe UI" w:hAnsi="Segoe UI" w:cs="Segoe UI"/>
          <w:color w:val="000000"/>
          <w:sz w:val="21"/>
          <w:szCs w:val="21"/>
        </w:rPr>
      </w:pPr>
      <w:r>
        <w:rPr>
          <w:noProof/>
        </w:rPr>
        <w:drawing>
          <wp:inline distT="0" distB="0" distL="0" distR="0" wp14:anchorId="34E66C88" wp14:editId="06DE6D22">
            <wp:extent cx="5334000" cy="4000500"/>
            <wp:effectExtent l="0" t="0" r="0" b="0"/>
            <wp:docPr id="1016956891"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1127" name="Picture 4" descr="A diagram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5B5C4D6F"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7F13898A"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2B907AC1"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Second, the revised manuscript includes new anecdotes and references for examples of supply shocks during the 1980s and 1990s. It is important to keep in mind that in my model bond-stock betas depend on the volatility of supply shocks, but the sign of these shocks can be either positive or negative. While the 1970s were a period of dramatic adverse supply shocks, the 1980s and 1990s featured substantial supply shocks that tended to be positive, such as in 1986 when Saudi Arabia more than doubled its own oil output leading to a dramatic drop in oil prices (Gately, 1986). These shocks were viewed as highly relevant for monetary policy during 1980s and 1990s, as illustrated by the following quote from Greg Mankiw in a </w:t>
      </w:r>
      <w:r w:rsidRPr="00A4499C">
        <w:rPr>
          <w:rFonts w:ascii="Times New Roman" w:hAnsi="Times New Roman" w:cs="Times New Roman"/>
          <w:color w:val="0000FF"/>
        </w:rPr>
        <w:t>Fortune</w:t>
      </w:r>
      <w:r>
        <w:rPr>
          <w:rFonts w:ascii="Times New Roman" w:hAnsi="Times New Roman" w:cs="Times New Roman"/>
          <w:color w:val="0000FF"/>
        </w:rPr>
        <w:t xml:space="preserve"> article from December 1997: </w:t>
      </w:r>
    </w:p>
    <w:p w14:paraId="60C20F42"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0FD04C51" w14:textId="77777777" w:rsidR="0079087F" w:rsidRPr="00A4499C" w:rsidRDefault="0079087F" w:rsidP="0079087F">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 xml:space="preserve">to 120 yen per dollar has put downward </w:t>
      </w:r>
      <w:r w:rsidRPr="00713C40">
        <w:rPr>
          <w:rFonts w:ascii="Times New Roman" w:hAnsi="Times New Roman" w:cs="Times New Roman"/>
          <w:color w:val="0000FF"/>
          <w:sz w:val="22"/>
          <w:szCs w:val="22"/>
        </w:rPr>
        <w:lastRenderedPageBreak/>
        <w:t>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450C8423" w14:textId="77777777" w:rsidR="0079087F" w:rsidRPr="00A4499C" w:rsidRDefault="0079087F" w:rsidP="0079087F">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0C35FBD9" w14:textId="77777777" w:rsidR="0079087F" w:rsidRPr="00A4499C" w:rsidRDefault="0079087F" w:rsidP="0079087F">
      <w:pPr>
        <w:pStyle w:val="Default"/>
        <w:ind w:left="720" w:firstLine="720"/>
        <w:rPr>
          <w:rFonts w:ascii="Times New Roman" w:hAnsi="Times New Roman" w:cs="Times New Roman"/>
          <w:color w:val="0000FF"/>
          <w:sz w:val="22"/>
          <w:szCs w:val="22"/>
        </w:rPr>
      </w:pPr>
    </w:p>
    <w:p w14:paraId="0E0B721A"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Supply shocks arising from new technology and the “New Economy” were also highly salient to monetary policy makers during my first subperiod, and in particular during the 1990s. The puzzle for economists and policy makers during the 1990s was how the US economy was able to perform so well while inflation remained low. It is immediate that these empirical observations would contribute to the negative empirical inflation-output gap relationship displayed in the top-left panel of Figure 2, and hence to the identification of volatile supply shocks during my first calibration period. Fed Chair Alan Greenspan himself famously attributed the performance of the US economy with low inflation during this period to technology shocks and the “New Economy” in statements such as the following:</w:t>
      </w:r>
    </w:p>
    <w:p w14:paraId="682500BF"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6E9A8D27" w14:textId="77777777" w:rsidR="0079087F" w:rsidRPr="00A4499C" w:rsidRDefault="0079087F" w:rsidP="0079087F">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 contain inflationary tendencies. An ever-increasing share of our nation's workforce uses the tools of new technologies. Microchips embodied in physical capital make it work more efficiently, and sophisticated software adds to intellectual capital.”</w:t>
      </w:r>
    </w:p>
    <w:p w14:paraId="3A261558" w14:textId="77777777" w:rsidR="0079087F" w:rsidRPr="00A4499C" w:rsidRDefault="0079087F" w:rsidP="0079087F">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(Chairman Alan Greenspan, Semiannual monetary policy report, U.S. Senate July 18, 1996)</w:t>
      </w:r>
    </w:p>
    <w:p w14:paraId="76C755F5" w14:textId="77777777" w:rsidR="0079087F" w:rsidRDefault="0079087F" w:rsidP="00510E8A">
      <w:pPr>
        <w:pStyle w:val="Default"/>
        <w:rPr>
          <w:rFonts w:ascii="Times New Roman" w:hAnsi="Times New Roman" w:cs="Times New Roman"/>
          <w:color w:val="0000FF"/>
          <w:sz w:val="22"/>
          <w:szCs w:val="22"/>
        </w:rPr>
      </w:pPr>
    </w:p>
    <w:p w14:paraId="31807C15" w14:textId="4C656C0A" w:rsidR="0079087F" w:rsidRPr="003623A0" w:rsidRDefault="0079087F" w:rsidP="0079087F">
      <w:pPr>
        <w:pStyle w:val="Default"/>
        <w:ind w:left="360"/>
        <w:rPr>
          <w:rFonts w:ascii="Times New Roman" w:hAnsi="Times New Roman" w:cs="Times New Roman"/>
          <w:color w:val="0000FF"/>
          <w:sz w:val="22"/>
          <w:szCs w:val="22"/>
        </w:rPr>
      </w:pPr>
      <w:r w:rsidRPr="003623A0">
        <w:rPr>
          <w:rFonts w:ascii="Times New Roman" w:hAnsi="Times New Roman" w:cs="Times New Roman"/>
          <w:color w:val="0000FF"/>
          <w:sz w:val="22"/>
          <w:szCs w:val="22"/>
        </w:rPr>
        <w:t>Not all supply shocks during the 1980s and 1990s were positive</w:t>
      </w:r>
      <w:r>
        <w:rPr>
          <w:rFonts w:ascii="Times New Roman" w:hAnsi="Times New Roman" w:cs="Times New Roman"/>
          <w:color w:val="0000FF"/>
          <w:sz w:val="22"/>
          <w:szCs w:val="22"/>
        </w:rPr>
        <w:t xml:space="preserve">. As mentioned by the AE,  </w:t>
      </w:r>
      <w:r w:rsidRPr="003623A0">
        <w:rPr>
          <w:rFonts w:ascii="Times New Roman" w:hAnsi="Times New Roman" w:cs="Times New Roman"/>
          <w:color w:val="0000FF"/>
          <w:sz w:val="22"/>
          <w:szCs w:val="22"/>
        </w:rPr>
        <w:t xml:space="preserve">Goodfriend (2007) </w:t>
      </w:r>
      <w:r>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w:t>
      </w:r>
      <w:r w:rsidRPr="00A476FF">
        <w:rPr>
          <w:rFonts w:ascii="Times New Roman" w:hAnsi="Times New Roman" w:cs="Times New Roman"/>
          <w:color w:val="0000FF"/>
          <w:sz w:val="22"/>
          <w:szCs w:val="22"/>
        </w:rPr>
        <w:t xml:space="preserve">Consistent </w:t>
      </w:r>
      <w:r w:rsidRPr="003623A0">
        <w:rPr>
          <w:rFonts w:ascii="Times New Roman" w:hAnsi="Times New Roman" w:cs="Times New Roman"/>
          <w:color w:val="0000FF"/>
          <w:sz w:val="22"/>
          <w:szCs w:val="22"/>
        </w:rPr>
        <w:t xml:space="preserve">with my break date, Goodfriend (2007) argues that the late 1990s represented a significant break in monetary policy towards a “new consensus”. I therefore view </w:t>
      </w:r>
      <w:r>
        <w:rPr>
          <w:rFonts w:ascii="Times New Roman" w:hAnsi="Times New Roman" w:cs="Times New Roman"/>
          <w:color w:val="0000FF"/>
          <w:sz w:val="22"/>
          <w:szCs w:val="22"/>
        </w:rPr>
        <w:t xml:space="preserve">Goodfriend (2007)’s </w:t>
      </w:r>
      <w:r w:rsidRPr="003623A0">
        <w:rPr>
          <w:rFonts w:ascii="Times New Roman" w:hAnsi="Times New Roman" w:cs="Times New Roman"/>
          <w:color w:val="0000FF"/>
          <w:sz w:val="22"/>
          <w:szCs w:val="22"/>
        </w:rPr>
        <w:t xml:space="preserve">insightful account of US monetary policy as </w:t>
      </w:r>
      <w:r>
        <w:rPr>
          <w:rFonts w:ascii="Times New Roman" w:hAnsi="Times New Roman" w:cs="Times New Roman"/>
          <w:color w:val="0000FF"/>
          <w:sz w:val="22"/>
          <w:szCs w:val="22"/>
        </w:rPr>
        <w:t>supportive of the break date used in this manuscript.</w:t>
      </w:r>
      <w:r w:rsidRPr="003623A0">
        <w:rPr>
          <w:rFonts w:ascii="Times New Roman" w:hAnsi="Times New Roman" w:cs="Times New Roman"/>
          <w:color w:val="0000FF"/>
          <w:sz w:val="22"/>
          <w:szCs w:val="22"/>
        </w:rPr>
        <w:t xml:space="preserve"> </w:t>
      </w:r>
    </w:p>
    <w:p w14:paraId="3238361B" w14:textId="77777777" w:rsidR="0079087F" w:rsidRPr="003623A0" w:rsidRDefault="0079087F" w:rsidP="0079087F">
      <w:pPr>
        <w:pStyle w:val="Default"/>
        <w:ind w:left="360"/>
        <w:rPr>
          <w:rFonts w:ascii="Times New Roman" w:hAnsi="Times New Roman" w:cs="Times New Roman"/>
          <w:color w:val="0000FF"/>
          <w:sz w:val="22"/>
          <w:szCs w:val="22"/>
        </w:rPr>
      </w:pPr>
    </w:p>
    <w:p w14:paraId="0D124CD1"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To quantify this anecdotal evidence, I added a simple quantification for the perceived relevance of supply shocks across the decades using newspaper counts to the revised manuscript. The results are shown in the </w:t>
      </w:r>
      <w:r w:rsidRPr="00911C0D">
        <w:rPr>
          <w:rFonts w:ascii="Times New Roman" w:hAnsi="Times New Roman" w:cs="Times New Roman"/>
          <w:b/>
          <w:bCs/>
          <w:color w:val="0000FF"/>
        </w:rPr>
        <w:t>new Appendix Figure A1</w:t>
      </w:r>
      <w:r>
        <w:rPr>
          <w:rFonts w:ascii="Times New Roman" w:hAnsi="Times New Roman" w:cs="Times New Roman"/>
          <w:color w:val="0000FF"/>
        </w:rPr>
        <w:t xml:space="preserve">, reproduced below for your convenience. This figure shows for each decade the number of Wall Street Journal articles mentioning both “supply” and “inflation”, scaled by the number of articles mentioning “inflation” from Proquest Historical Newspapers. This new analysis shows that the share of supply mentions peaked in the 1980s. It even slightly increased from the 1970s to the 1980s. This seems plausible because the dramatic supply shocks during the 1970s arguably struck as a surprise, whereas by the 1980s and 1990s economists, the public, and investors had learned to worry about supply shocks and these worries were plausibly reflected in more frequent news mentions. The figure also shows a spike in the concern about supply-driven inflation during the post-pandemic period starting in 2020, similar to the level last observed during the 1980s. Overall, this analysis based on newspaper counts further supports the notion that the public and investors were highly attuned to macroeconomic supply shocks during the 1980s and again during the post-pandemic period after 2020. </w:t>
      </w:r>
    </w:p>
    <w:p w14:paraId="1219A800"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0F8EDC81" w14:textId="69EE9EC3"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2E48851"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13C86E52"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3C336A8A"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3FC84A1B"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0CDD26D1" w14:textId="77777777" w:rsidR="00D66209"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47563B4F" w14:textId="77777777" w:rsidR="00D66209" w:rsidRPr="00911C0D" w:rsidRDefault="00D66209" w:rsidP="00D66209">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lastRenderedPageBreak/>
        <w:t>Figure A1: Relative Frequency of Supply and Inflation in WSJ Articles</w:t>
      </w:r>
    </w:p>
    <w:p w14:paraId="3B946793" w14:textId="77777777" w:rsidR="00D66209"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6ADF7B5" w14:textId="384EB8F2" w:rsidR="00D95858"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3F19F873" wp14:editId="625D3A21">
            <wp:extent cx="5562161" cy="2990850"/>
            <wp:effectExtent l="0" t="0" r="635" b="0"/>
            <wp:docPr id="323695703"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61F4491B" w14:textId="6BBB50CC" w:rsidR="00510E8A" w:rsidRDefault="00510E8A" w:rsidP="000D4D8D">
      <w:pPr>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The revised manuscript discusses this news count evidence and prominent examples of supply shocks during my first subperiod in the following locations of the revised manuscript:</w:t>
      </w:r>
    </w:p>
    <w:p w14:paraId="1521E70F" w14:textId="77777777" w:rsidR="00354FE9" w:rsidRPr="009F3240" w:rsidRDefault="00354FE9" w:rsidP="00354FE9">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p.3, paragraph starting “The calibrated changes in the monetary policy rule (…)</w:t>
      </w:r>
    </w:p>
    <w:p w14:paraId="50A9F839" w14:textId="77777777" w:rsidR="00354FE9" w:rsidRPr="009F3240" w:rsidRDefault="00354FE9" w:rsidP="00354FE9">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new footnote </w:t>
      </w:r>
      <w:r>
        <w:rPr>
          <w:rFonts w:ascii="Times New Roman" w:hAnsi="Times New Roman" w:cs="Times New Roman"/>
          <w:b/>
          <w:bCs/>
          <w:color w:val="0000FF"/>
        </w:rPr>
        <w:t>4</w:t>
      </w:r>
      <w:r w:rsidRPr="009F3240">
        <w:rPr>
          <w:rFonts w:ascii="Times New Roman" w:hAnsi="Times New Roman" w:cs="Times New Roman"/>
          <w:b/>
          <w:bCs/>
          <w:color w:val="0000FF"/>
        </w:rPr>
        <w:t xml:space="preserve"> on p.3</w:t>
      </w:r>
    </w:p>
    <w:p w14:paraId="23A49161" w14:textId="77777777" w:rsidR="00354FE9" w:rsidRPr="009F3240" w:rsidRDefault="00354FE9" w:rsidP="00354FE9">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p.18, paragraph starting “A simple newspaper count exercise (…)”</w:t>
      </w:r>
    </w:p>
    <w:p w14:paraId="7B69F493" w14:textId="77777777" w:rsidR="00354FE9" w:rsidRDefault="00354FE9" w:rsidP="00354FE9">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new footnote 14 on p.18</w:t>
      </w:r>
    </w:p>
    <w:p w14:paraId="2AD8B067" w14:textId="77777777" w:rsidR="00354FE9" w:rsidRPr="009F3240" w:rsidRDefault="00354FE9" w:rsidP="00354FE9">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Pr>
          <w:rFonts w:ascii="Times New Roman" w:hAnsi="Times New Roman" w:cs="Times New Roman"/>
          <w:b/>
          <w:bCs/>
          <w:color w:val="0000FF"/>
        </w:rPr>
        <w:t>new footnote 27 on p.37</w:t>
      </w:r>
    </w:p>
    <w:p w14:paraId="76D45061" w14:textId="77777777" w:rsidR="0046217C" w:rsidRDefault="0046217C" w:rsidP="0046217C">
      <w:pPr>
        <w:pStyle w:val="ListParagraph"/>
        <w:autoSpaceDE w:val="0"/>
        <w:autoSpaceDN w:val="0"/>
        <w:adjustRightInd w:val="0"/>
        <w:spacing w:after="0" w:line="240" w:lineRule="auto"/>
        <w:ind w:left="780"/>
      </w:pPr>
    </w:p>
    <w:p w14:paraId="0E1EA850" w14:textId="68912F96" w:rsidR="00F303D9" w:rsidRPr="00A47183"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A47183">
        <w:rPr>
          <w:rFonts w:ascii="Times New Roman" w:hAnsi="Times New Roman" w:cs="Times New Roman" w:hint="eastAsia"/>
        </w:rPr>
        <w:t xml:space="preserve">A similar qualitative look at the recent decades suggests the Fed is not less focused on inflation and it is not more inertial, compared to the 1980s. </w:t>
      </w:r>
      <w:r w:rsidRPr="00A47183">
        <w:rPr>
          <w:rFonts w:ascii="Times New Roman" w:hAnsi="Times New Roman" w:cs="Times New Roman"/>
        </w:rPr>
        <w:t>As I</w:t>
      </w:r>
      <w:r w:rsidRPr="00A47183">
        <w:rPr>
          <w:rFonts w:ascii="Times New Roman" w:hAnsi="Times New Roman" w:cs="Times New Roman" w:hint="eastAsia"/>
        </w:rPr>
        <w:t xml:space="preserve"> </w:t>
      </w:r>
      <w:r w:rsidRPr="00A47183">
        <w:rPr>
          <w:rFonts w:ascii="Times New Roman" w:hAnsi="Times New Roman" w:cs="Times New Roman"/>
        </w:rPr>
        <w:t>already mentioned, the Fed managed to keep in</w:t>
      </w:r>
      <w:r w:rsidRPr="00A47183">
        <w:rPr>
          <w:rFonts w:ascii="Times New Roman" w:hAnsi="Times New Roman" w:cs="Times New Roman" w:hint="eastAsia"/>
        </w:rPr>
        <w:t>fl</w:t>
      </w:r>
      <w:r w:rsidRPr="00A47183">
        <w:rPr>
          <w:rFonts w:ascii="Times New Roman" w:hAnsi="Times New Roman" w:cs="Times New Roman"/>
        </w:rPr>
        <w:t>ation around 2% for decades</w:t>
      </w:r>
      <w:r w:rsidRPr="00A47183">
        <w:rPr>
          <w:rFonts w:ascii="Times New Roman" w:hAnsi="Times New Roman" w:cs="Times New Roman" w:hint="eastAsia"/>
        </w:rPr>
        <w:t xml:space="preserve"> </w:t>
      </w:r>
      <w:r w:rsidRPr="00A47183">
        <w:rPr>
          <w:rFonts w:ascii="Times New Roman" w:hAnsi="Times New Roman" w:cs="Times New Roman"/>
        </w:rPr>
        <w:t xml:space="preserve">until the </w:t>
      </w:r>
      <w:r w:rsidRPr="00E32CA4">
        <w:rPr>
          <w:rFonts w:ascii="Times New Roman" w:hAnsi="Times New Roman" w:cs="Times New Roman"/>
        </w:rPr>
        <w:t xml:space="preserve">Covid-19 </w:t>
      </w:r>
      <w:r w:rsidRPr="00BE49F4">
        <w:rPr>
          <w:rFonts w:ascii="Times New Roman" w:hAnsi="Times New Roman" w:cs="Times New Roman"/>
        </w:rPr>
        <w:t>shock. In</w:t>
      </w:r>
      <w:r w:rsidRPr="00BE49F4">
        <w:rPr>
          <w:rFonts w:ascii="Times New Roman" w:hAnsi="Times New Roman" w:cs="Times New Roman" w:hint="eastAsia"/>
        </w:rPr>
        <w:t>fl</w:t>
      </w:r>
      <w:r w:rsidRPr="00BE49F4">
        <w:rPr>
          <w:rFonts w:ascii="Times New Roman" w:hAnsi="Times New Roman" w:cs="Times New Roman"/>
        </w:rPr>
        <w:t xml:space="preserve">ation </w:t>
      </w:r>
      <w:r w:rsidRPr="00BE49F4">
        <w:rPr>
          <w:rFonts w:ascii="Times New Roman" w:hAnsi="Times New Roman" w:cs="Times New Roman" w:hint="eastAsia"/>
        </w:rPr>
        <w:t>fl</w:t>
      </w:r>
      <w:r w:rsidRPr="00BE49F4">
        <w:rPr>
          <w:rFonts w:ascii="Times New Roman" w:hAnsi="Times New Roman" w:cs="Times New Roman"/>
        </w:rPr>
        <w:t>ared up recently, but that is because</w:t>
      </w:r>
      <w:r w:rsidRPr="00BE49F4">
        <w:rPr>
          <w:rFonts w:ascii="Times New Roman" w:hAnsi="Times New Roman" w:cs="Times New Roman" w:hint="eastAsia"/>
        </w:rPr>
        <w:t xml:space="preserve"> </w:t>
      </w:r>
      <w:r w:rsidRPr="00BE49F4">
        <w:rPr>
          <w:rFonts w:ascii="Times New Roman" w:hAnsi="Times New Roman" w:cs="Times New Roman"/>
        </w:rPr>
        <w:t>Covid-19 was a large and unusual supply shock. The Fed made a mistake</w:t>
      </w:r>
      <w:r w:rsidRPr="00BE49F4">
        <w:rPr>
          <w:rFonts w:ascii="Times New Roman" w:hAnsi="Times New Roman" w:cs="Times New Roman" w:hint="eastAsia"/>
        </w:rPr>
        <w:t xml:space="preserve"> </w:t>
      </w:r>
      <w:r w:rsidRPr="00BE49F4">
        <w:rPr>
          <w:rFonts w:ascii="Times New Roman" w:hAnsi="Times New Roman" w:cs="Times New Roman"/>
        </w:rPr>
        <w:t>in thinking that this shock was more transitory than it was (the markets</w:t>
      </w:r>
      <w:r w:rsidRPr="00BE49F4">
        <w:rPr>
          <w:rFonts w:ascii="Times New Roman" w:hAnsi="Times New Roman" w:cs="Times New Roman" w:hint="eastAsia"/>
        </w:rPr>
        <w:t xml:space="preserve"> </w:t>
      </w:r>
      <w:r w:rsidRPr="00BE49F4">
        <w:rPr>
          <w:rFonts w:ascii="Times New Roman" w:hAnsi="Times New Roman" w:cs="Times New Roman"/>
        </w:rPr>
        <w:t>made the same mistake throughout 2021). There is no evidence that the</w:t>
      </w:r>
      <w:r w:rsidRPr="00BE49F4">
        <w:rPr>
          <w:rFonts w:ascii="Times New Roman" w:hAnsi="Times New Roman" w:cs="Times New Roman" w:hint="eastAsia"/>
        </w:rPr>
        <w:t xml:space="preserve"> </w:t>
      </w:r>
      <w:r w:rsidRPr="00BE49F4">
        <w:rPr>
          <w:rFonts w:ascii="Times New Roman" w:hAnsi="Times New Roman" w:cs="Times New Roman"/>
        </w:rPr>
        <w:t>Fed was less in</w:t>
      </w:r>
      <w:r w:rsidRPr="00BE49F4">
        <w:rPr>
          <w:rFonts w:ascii="Times New Roman" w:hAnsi="Times New Roman" w:cs="Times New Roman" w:hint="eastAsia"/>
        </w:rPr>
        <w:t>fl</w:t>
      </w:r>
      <w:r w:rsidRPr="00BE49F4">
        <w:rPr>
          <w:rFonts w:ascii="Times New Roman" w:hAnsi="Times New Roman" w:cs="Times New Roman"/>
        </w:rPr>
        <w:t>ation focused or less inertial. In fact, once</w:t>
      </w:r>
      <w:r w:rsidRPr="00A47183">
        <w:rPr>
          <w:rFonts w:ascii="Times New Roman" w:hAnsi="Times New Roman" w:cs="Times New Roman"/>
        </w:rPr>
        <w:t xml:space="preserve"> the Fed realized</w:t>
      </w:r>
      <w:r w:rsidRPr="00A47183">
        <w:rPr>
          <w:rFonts w:ascii="Times New Roman" w:hAnsi="Times New Roman" w:cs="Times New Roman" w:hint="eastAsia"/>
        </w:rPr>
        <w:t xml:space="preserve"> </w:t>
      </w:r>
      <w:r w:rsidRPr="00A47183">
        <w:rPr>
          <w:rFonts w:ascii="Times New Roman" w:hAnsi="Times New Roman" w:cs="Times New Roman"/>
        </w:rPr>
        <w:t>its mistake, it quickly reversed course and started a very aggressive hiking</w:t>
      </w:r>
      <w:r w:rsidRPr="00A47183">
        <w:rPr>
          <w:rFonts w:ascii="Times New Roman" w:hAnsi="Times New Roman" w:cs="Times New Roman" w:hint="eastAsia"/>
        </w:rPr>
        <w:t xml:space="preserve"> campaign: raising interest rates by 500 basis points in one year. This seems like </w:t>
      </w:r>
      <w:r w:rsidRPr="00A47183">
        <w:rPr>
          <w:rFonts w:ascii="Times New Roman" w:hAnsi="Times New Roman" w:cs="Times New Roman" w:hint="eastAsia"/>
          <w:i/>
          <w:iCs/>
        </w:rPr>
        <w:t>the opposite</w:t>
      </w:r>
      <w:r w:rsidRPr="00A47183">
        <w:rPr>
          <w:rFonts w:ascii="Times New Roman" w:hAnsi="Times New Roman" w:cs="Times New Roman" w:hint="eastAsia"/>
        </w:rPr>
        <w:t xml:space="preserve"> of an inertial central bank.</w:t>
      </w:r>
    </w:p>
    <w:p w14:paraId="5A1A70A6" w14:textId="3F3EF5A5" w:rsidR="00F303D9" w:rsidRDefault="00F303D9" w:rsidP="00DD71CF">
      <w:pPr>
        <w:adjustRightInd w:val="0"/>
        <w:spacing w:before="240" w:after="0" w:line="240" w:lineRule="auto"/>
        <w:rPr>
          <w:rFonts w:ascii="Times New Roman" w:hAnsi="Times New Roman" w:cs="Times New Roman"/>
        </w:rPr>
      </w:pPr>
      <w:r w:rsidRPr="00A47183">
        <w:rPr>
          <w:rFonts w:ascii="Times New Roman" w:hAnsi="Times New Roman" w:cs="Times New Roman" w:hint="eastAsia"/>
        </w:rPr>
        <w:t xml:space="preserve">In terms of the behavior of inflation </w:t>
      </w:r>
      <w:r w:rsidRPr="00A47183">
        <w:rPr>
          <w:rFonts w:ascii="Times New Roman" w:hAnsi="Times New Roman" w:cs="Times New Roman"/>
        </w:rPr>
        <w:t>expectations and stock-bond betas in the Covid-19 cycle, there is a simpler explanation than what this paper proposes. The Fed has</w:t>
      </w:r>
      <w:r w:rsidRPr="00A47183">
        <w:rPr>
          <w:rFonts w:ascii="Times New Roman" w:hAnsi="Times New Roman" w:cs="Times New Roman" w:hint="eastAsia"/>
        </w:rPr>
        <w:t xml:space="preserve"> </w:t>
      </w:r>
      <w:r w:rsidRPr="00A47183">
        <w:rPr>
          <w:rFonts w:ascii="Times New Roman" w:hAnsi="Times New Roman" w:cs="Times New Roman"/>
        </w:rPr>
        <w:t>gained credibility so in</w:t>
      </w:r>
      <w:r w:rsidRPr="00A47183">
        <w:rPr>
          <w:rFonts w:ascii="Times New Roman" w:hAnsi="Times New Roman" w:cs="Times New Roman" w:hint="eastAsia"/>
        </w:rPr>
        <w:t>fl</w:t>
      </w:r>
      <w:r w:rsidRPr="00A47183">
        <w:rPr>
          <w:rFonts w:ascii="Times New Roman" w:hAnsi="Times New Roman" w:cs="Times New Roman"/>
        </w:rPr>
        <w:t xml:space="preserve">ation </w:t>
      </w:r>
      <w:r w:rsidRPr="00E66513">
        <w:rPr>
          <w:rFonts w:ascii="Times New Roman" w:hAnsi="Times New Roman" w:cs="Times New Roman"/>
        </w:rPr>
        <w:t>expectations have not changed very much (beyond a few</w:t>
      </w:r>
      <w:r w:rsidRPr="00E66513">
        <w:rPr>
          <w:rFonts w:ascii="Times New Roman" w:hAnsi="Times New Roman" w:cs="Times New Roman" w:hint="eastAsia"/>
        </w:rPr>
        <w:t xml:space="preserve"> </w:t>
      </w:r>
      <w:r w:rsidRPr="00E66513">
        <w:rPr>
          <w:rFonts w:ascii="Times New Roman" w:hAnsi="Times New Roman" w:cs="Times New Roman"/>
        </w:rPr>
        <w:t>years). At the same time, because of large macroeconomic shocks (both supply and</w:t>
      </w:r>
      <w:r w:rsidRPr="00E66513">
        <w:rPr>
          <w:rFonts w:ascii="Times New Roman" w:hAnsi="Times New Roman" w:cs="Times New Roman" w:hint="eastAsia"/>
        </w:rPr>
        <w:t xml:space="preserve"> </w:t>
      </w:r>
      <w:r w:rsidRPr="00E66513">
        <w:rPr>
          <w:rFonts w:ascii="Times New Roman" w:hAnsi="Times New Roman" w:cs="Times New Roman"/>
        </w:rPr>
        <w:t xml:space="preserve">demand), the Fed had to move interest rates much more than in the past to shift </w:t>
      </w:r>
      <w:r w:rsidRPr="00E66513">
        <w:rPr>
          <w:rFonts w:ascii="Times New Roman" w:hAnsi="Times New Roman" w:cs="Times New Roman" w:hint="eastAsia"/>
        </w:rPr>
        <w:t>fi</w:t>
      </w:r>
      <w:r w:rsidRPr="00E66513">
        <w:rPr>
          <w:rFonts w:ascii="Times New Roman" w:hAnsi="Times New Roman" w:cs="Times New Roman"/>
        </w:rPr>
        <w:t>nancial</w:t>
      </w:r>
      <w:r w:rsidRPr="00E66513">
        <w:rPr>
          <w:rFonts w:ascii="Times New Roman" w:hAnsi="Times New Roman" w:cs="Times New Roman" w:hint="eastAsia"/>
        </w:rPr>
        <w:t xml:space="preserve"> </w:t>
      </w:r>
      <w:r w:rsidRPr="00E66513">
        <w:rPr>
          <w:rFonts w:ascii="Times New Roman" w:hAnsi="Times New Roman" w:cs="Times New Roman"/>
        </w:rPr>
        <w:t>conditions and control in</w:t>
      </w:r>
      <w:r w:rsidRPr="00E66513">
        <w:rPr>
          <w:rFonts w:ascii="Times New Roman" w:hAnsi="Times New Roman" w:cs="Times New Roman" w:hint="eastAsia"/>
        </w:rPr>
        <w:t>fl</w:t>
      </w:r>
      <w:r w:rsidRPr="00E66513">
        <w:rPr>
          <w:rFonts w:ascii="Times New Roman" w:hAnsi="Times New Roman" w:cs="Times New Roman"/>
        </w:rPr>
        <w:t xml:space="preserve">ation. The prevalence of macroeconomic shocks </w:t>
      </w:r>
      <w:r w:rsidRPr="00E66513">
        <w:rPr>
          <w:rFonts w:ascii="Times New Roman" w:hAnsi="Times New Roman" w:cs="Times New Roman"/>
        </w:rPr>
        <w:lastRenderedPageBreak/>
        <w:t>increased the</w:t>
      </w:r>
      <w:r w:rsidRPr="00E66513">
        <w:rPr>
          <w:rFonts w:ascii="Times New Roman" w:hAnsi="Times New Roman" w:cs="Times New Roman" w:hint="eastAsia"/>
        </w:rPr>
        <w:t xml:space="preserve"> </w:t>
      </w:r>
      <w:r w:rsidRPr="00E66513">
        <w:rPr>
          <w:rFonts w:ascii="Times New Roman" w:hAnsi="Times New Roman" w:cs="Times New Roman"/>
        </w:rPr>
        <w:t>interest rate volatility and the bond-stock betas starting from a negative level.</w:t>
      </w:r>
      <w:r w:rsidRPr="00E66513">
        <w:rPr>
          <w:rStyle w:val="FootnoteReference"/>
          <w:rFonts w:ascii="Times New Roman" w:hAnsi="Times New Roman" w:cs="Times New Roman"/>
        </w:rPr>
        <w:footnoteReference w:id="2"/>
      </w:r>
      <w:r w:rsidRPr="00E66513">
        <w:rPr>
          <w:rFonts w:ascii="Times New Roman" w:hAnsi="Times New Roman" w:cs="Times New Roman"/>
        </w:rPr>
        <w:t xml:space="preserve"> This</w:t>
      </w:r>
      <w:r w:rsidRPr="00E66513">
        <w:rPr>
          <w:rFonts w:ascii="Times New Roman" w:hAnsi="Times New Roman" w:cs="Times New Roman" w:hint="eastAsia"/>
        </w:rPr>
        <w:t xml:space="preserve"> </w:t>
      </w:r>
      <w:r w:rsidRPr="00E66513">
        <w:rPr>
          <w:rFonts w:ascii="Times New Roman" w:hAnsi="Times New Roman" w:cs="Times New Roman"/>
        </w:rPr>
        <w:t>story does not require a change in the Fed’s inertia or in</w:t>
      </w:r>
      <w:r w:rsidRPr="00E66513">
        <w:rPr>
          <w:rFonts w:ascii="Times New Roman" w:hAnsi="Times New Roman" w:cs="Times New Roman" w:hint="eastAsia"/>
        </w:rPr>
        <w:t>fl</w:t>
      </w:r>
      <w:r w:rsidRPr="00E66513">
        <w:rPr>
          <w:rFonts w:ascii="Times New Roman" w:hAnsi="Times New Roman" w:cs="Times New Roman"/>
        </w:rPr>
        <w:t>ation focus, and it does not</w:t>
      </w:r>
      <w:r w:rsidRPr="00E66513">
        <w:rPr>
          <w:rFonts w:ascii="Times New Roman" w:hAnsi="Times New Roman" w:cs="Times New Roman" w:hint="eastAsia"/>
        </w:rPr>
        <w:t xml:space="preserve"> </w:t>
      </w:r>
      <w:r w:rsidRPr="00E66513">
        <w:rPr>
          <w:rFonts w:ascii="Times New Roman" w:hAnsi="Times New Roman" w:cs="Times New Roman"/>
        </w:rPr>
        <w:t>require a complicated model with habit formation.</w:t>
      </w:r>
    </w:p>
    <w:p w14:paraId="6CE8473A" w14:textId="4458BC56" w:rsidR="00665504" w:rsidRPr="00665504" w:rsidRDefault="005B672C" w:rsidP="00665504">
      <w:pPr>
        <w:pStyle w:val="NormalWeb"/>
        <w:ind w:left="360"/>
        <w:rPr>
          <w:rFonts w:eastAsiaTheme="minorHAnsi"/>
          <w:color w:val="0000FF"/>
          <w:sz w:val="22"/>
          <w:szCs w:val="22"/>
          <w:lang w:eastAsia="en-US"/>
        </w:rPr>
      </w:pPr>
      <w:r w:rsidRPr="00A7502E">
        <w:rPr>
          <w:rFonts w:eastAsiaTheme="minorHAnsi"/>
          <w:b/>
          <w:bCs/>
          <w:color w:val="0000FF"/>
          <w:sz w:val="22"/>
          <w:szCs w:val="22"/>
          <w:lang w:eastAsia="en-US"/>
        </w:rPr>
        <w:t>Reply:</w:t>
      </w:r>
      <w:r w:rsidRPr="00A7502E">
        <w:rPr>
          <w:rFonts w:eastAsiaTheme="minorHAnsi"/>
          <w:color w:val="0000FF"/>
          <w:sz w:val="22"/>
          <w:szCs w:val="22"/>
          <w:lang w:eastAsia="en-US"/>
        </w:rPr>
        <w:t xml:space="preserve"> </w:t>
      </w:r>
      <w:r w:rsidR="00E604EF" w:rsidRPr="00A7502E">
        <w:rPr>
          <w:rFonts w:eastAsiaTheme="minorHAnsi"/>
          <w:color w:val="0000FF"/>
          <w:sz w:val="22"/>
          <w:szCs w:val="22"/>
          <w:lang w:eastAsia="en-US"/>
        </w:rPr>
        <w:t xml:space="preserve">I completely re-wrote the account of recent events in the </w:t>
      </w:r>
      <w:r w:rsidR="00665504" w:rsidRPr="0043324F">
        <w:rPr>
          <w:rFonts w:eastAsiaTheme="minorHAnsi"/>
          <w:b/>
          <w:bCs/>
          <w:color w:val="0000FF"/>
          <w:sz w:val="22"/>
          <w:szCs w:val="22"/>
          <w:lang w:eastAsia="en-US"/>
        </w:rPr>
        <w:t xml:space="preserve">new Section </w:t>
      </w:r>
      <w:r w:rsidR="00E604EF" w:rsidRPr="0043324F">
        <w:rPr>
          <w:rFonts w:eastAsiaTheme="minorHAnsi"/>
          <w:b/>
          <w:bCs/>
          <w:color w:val="0000FF"/>
          <w:sz w:val="22"/>
          <w:szCs w:val="22"/>
          <w:lang w:eastAsia="en-US"/>
        </w:rPr>
        <w:t>5</w:t>
      </w:r>
      <w:r w:rsidR="00E604EF">
        <w:rPr>
          <w:rFonts w:eastAsiaTheme="minorHAnsi"/>
          <w:color w:val="0000FF"/>
          <w:sz w:val="22"/>
          <w:szCs w:val="22"/>
          <w:lang w:eastAsia="en-US"/>
        </w:rPr>
        <w:t xml:space="preserve">. </w:t>
      </w:r>
      <w:r w:rsidR="00E953D2">
        <w:rPr>
          <w:rFonts w:eastAsiaTheme="minorHAnsi"/>
          <w:color w:val="0000FF"/>
          <w:sz w:val="22"/>
          <w:szCs w:val="22"/>
          <w:lang w:eastAsia="en-US"/>
        </w:rPr>
        <w:t>F</w:t>
      </w:r>
      <w:r w:rsidR="00E604EF">
        <w:rPr>
          <w:rFonts w:eastAsiaTheme="minorHAnsi"/>
          <w:color w:val="0000FF"/>
          <w:sz w:val="22"/>
          <w:szCs w:val="22"/>
          <w:lang w:eastAsia="en-US"/>
        </w:rPr>
        <w:t xml:space="preserve">ollowing the AE’s guidance, the clarified explanation of recent events emphasizes the difference between </w:t>
      </w:r>
      <w:r w:rsidR="00A627D7">
        <w:rPr>
          <w:rFonts w:eastAsiaTheme="minorHAnsi"/>
          <w:color w:val="0000FF"/>
          <w:sz w:val="22"/>
          <w:szCs w:val="22"/>
          <w:lang w:eastAsia="en-US"/>
        </w:rPr>
        <w:t>the early post-</w:t>
      </w:r>
      <w:r w:rsidR="00E604EF">
        <w:rPr>
          <w:rFonts w:eastAsiaTheme="minorHAnsi"/>
          <w:color w:val="0000FF"/>
          <w:sz w:val="22"/>
          <w:szCs w:val="22"/>
          <w:lang w:eastAsia="en-US"/>
        </w:rPr>
        <w:t xml:space="preserve">pandemic – characterized by large supply shocks but little response by the Fed – and </w:t>
      </w:r>
      <w:r w:rsidR="00A627D7">
        <w:rPr>
          <w:rFonts w:eastAsiaTheme="minorHAnsi"/>
          <w:color w:val="0000FF"/>
          <w:sz w:val="22"/>
          <w:szCs w:val="22"/>
          <w:lang w:eastAsia="en-US"/>
        </w:rPr>
        <w:t>the</w:t>
      </w:r>
      <w:r w:rsidR="00E604EF">
        <w:rPr>
          <w:rFonts w:eastAsiaTheme="minorHAnsi"/>
          <w:color w:val="0000FF"/>
          <w:sz w:val="22"/>
          <w:szCs w:val="22"/>
          <w:lang w:eastAsia="en-US"/>
        </w:rPr>
        <w:t xml:space="preserve"> later </w:t>
      </w:r>
      <w:r w:rsidR="00A627D7">
        <w:rPr>
          <w:rFonts w:eastAsiaTheme="minorHAnsi"/>
          <w:color w:val="0000FF"/>
          <w:sz w:val="22"/>
          <w:szCs w:val="22"/>
          <w:lang w:eastAsia="en-US"/>
        </w:rPr>
        <w:t>post-</w:t>
      </w:r>
      <w:r w:rsidR="00E604EF">
        <w:rPr>
          <w:rFonts w:eastAsiaTheme="minorHAnsi"/>
          <w:color w:val="0000FF"/>
          <w:sz w:val="22"/>
          <w:szCs w:val="22"/>
          <w:lang w:eastAsia="en-US"/>
        </w:rPr>
        <w:t xml:space="preserve">pandemic – characterized by </w:t>
      </w:r>
      <w:r w:rsidR="00BE49F4">
        <w:rPr>
          <w:rFonts w:eastAsiaTheme="minorHAnsi"/>
          <w:color w:val="0000FF"/>
          <w:sz w:val="22"/>
          <w:szCs w:val="22"/>
          <w:lang w:eastAsia="en-US"/>
        </w:rPr>
        <w:t xml:space="preserve">supply shocks and </w:t>
      </w:r>
      <w:r w:rsidR="00E604EF">
        <w:rPr>
          <w:rFonts w:eastAsiaTheme="minorHAnsi"/>
          <w:color w:val="0000FF"/>
          <w:sz w:val="22"/>
          <w:szCs w:val="22"/>
          <w:lang w:eastAsia="en-US"/>
        </w:rPr>
        <w:t xml:space="preserve">a much aggressive Fed response. </w:t>
      </w:r>
      <w:r w:rsidR="00E953D2">
        <w:rPr>
          <w:rFonts w:eastAsiaTheme="minorHAnsi"/>
          <w:color w:val="0000FF"/>
          <w:sz w:val="22"/>
          <w:szCs w:val="22"/>
          <w:lang w:eastAsia="en-US"/>
        </w:rPr>
        <w:t xml:space="preserve">I believe this </w:t>
      </w:r>
      <w:r w:rsidR="001C3347">
        <w:rPr>
          <w:rFonts w:eastAsiaTheme="minorHAnsi"/>
          <w:color w:val="0000FF"/>
          <w:sz w:val="22"/>
          <w:szCs w:val="22"/>
          <w:lang w:eastAsia="en-US"/>
        </w:rPr>
        <w:t xml:space="preserve">model-implied </w:t>
      </w:r>
      <w:r w:rsidR="00E953D2">
        <w:rPr>
          <w:rFonts w:eastAsiaTheme="minorHAnsi"/>
          <w:color w:val="0000FF"/>
          <w:sz w:val="22"/>
          <w:szCs w:val="22"/>
          <w:lang w:eastAsia="en-US"/>
        </w:rPr>
        <w:t xml:space="preserve">account of recent events lines up closely with </w:t>
      </w:r>
      <w:r w:rsidR="001C3347">
        <w:rPr>
          <w:rFonts w:eastAsiaTheme="minorHAnsi"/>
          <w:color w:val="0000FF"/>
          <w:sz w:val="22"/>
          <w:szCs w:val="22"/>
          <w:lang w:eastAsia="en-US"/>
        </w:rPr>
        <w:t>the narrative you suggest</w:t>
      </w:r>
      <w:r w:rsidR="00A627D7">
        <w:rPr>
          <w:rFonts w:eastAsiaTheme="minorHAnsi"/>
          <w:color w:val="0000FF"/>
          <w:sz w:val="22"/>
          <w:szCs w:val="22"/>
          <w:lang w:eastAsia="en-US"/>
        </w:rPr>
        <w:t>,</w:t>
      </w:r>
      <w:r w:rsidR="00453B9A">
        <w:rPr>
          <w:rFonts w:eastAsiaTheme="minorHAnsi"/>
          <w:color w:val="0000FF"/>
          <w:sz w:val="22"/>
          <w:szCs w:val="22"/>
          <w:lang w:eastAsia="en-US"/>
        </w:rPr>
        <w:t xml:space="preserve"> and thereby addresses your comment</w:t>
      </w:r>
      <w:r w:rsidR="00E953D2">
        <w:rPr>
          <w:rFonts w:eastAsiaTheme="minorHAnsi"/>
          <w:color w:val="0000FF"/>
          <w:sz w:val="22"/>
          <w:szCs w:val="22"/>
          <w:lang w:eastAsia="en-US"/>
        </w:rPr>
        <w:t xml:space="preserve">. </w:t>
      </w:r>
    </w:p>
    <w:p w14:paraId="2427D090" w14:textId="0F516F19" w:rsidR="00837AF3" w:rsidRDefault="00B34328" w:rsidP="00B34328">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timeline of inflation and policy rates during the post-pandemic period </w:t>
      </w:r>
      <w:r w:rsidR="00DE3CC6">
        <w:rPr>
          <w:rFonts w:ascii="Times New Roman" w:hAnsi="Times New Roman" w:cs="Times New Roman"/>
          <w:color w:val="0000FF"/>
        </w:rPr>
        <w:t>is</w:t>
      </w:r>
      <w:r>
        <w:rPr>
          <w:rFonts w:ascii="Times New Roman" w:hAnsi="Times New Roman" w:cs="Times New Roman"/>
          <w:color w:val="0000FF"/>
        </w:rPr>
        <w:t xml:space="preserve"> depicted at the beginning of Section 5 in the </w:t>
      </w:r>
      <w:r w:rsidRPr="00E96ED9">
        <w:rPr>
          <w:rFonts w:ascii="Times New Roman" w:hAnsi="Times New Roman" w:cs="Times New Roman"/>
          <w:b/>
          <w:bCs/>
          <w:color w:val="0000FF"/>
        </w:rPr>
        <w:t>new Figure 9</w:t>
      </w:r>
      <w:r>
        <w:rPr>
          <w:rFonts w:ascii="Times New Roman" w:hAnsi="Times New Roman" w:cs="Times New Roman"/>
          <w:color w:val="0000FF"/>
        </w:rPr>
        <w:t xml:space="preserve">. The key takeaway from this figure is that inflation rose already in 2021, well before the Fed started lifting interest rates. The policy rate initially remained constant, lifted off from zero in March 2022, and reached its new plateau in late 2023. This timeline suggests that supply shocks became salient in 2021, but a change in the monetary policy stance only occurred </w:t>
      </w:r>
      <w:r w:rsidR="00A15ADC">
        <w:rPr>
          <w:rFonts w:ascii="Times New Roman" w:hAnsi="Times New Roman" w:cs="Times New Roman"/>
          <w:color w:val="0000FF"/>
        </w:rPr>
        <w:t>with a substantial delay</w:t>
      </w:r>
      <w:r w:rsidR="00BF30A9">
        <w:rPr>
          <w:rFonts w:ascii="Times New Roman" w:hAnsi="Times New Roman" w:cs="Times New Roman"/>
          <w:color w:val="0000FF"/>
        </w:rPr>
        <w:t xml:space="preserve">. </w:t>
      </w:r>
      <w:r w:rsidR="00837AF3">
        <w:rPr>
          <w:rFonts w:ascii="Times New Roman" w:hAnsi="Times New Roman" w:cs="Times New Roman"/>
          <w:color w:val="0000FF"/>
        </w:rPr>
        <w:t xml:space="preserve">The revised paper discusses the </w:t>
      </w:r>
      <w:r w:rsidR="0019232D">
        <w:rPr>
          <w:rFonts w:ascii="Times New Roman" w:hAnsi="Times New Roman" w:cs="Times New Roman"/>
          <w:color w:val="0000FF"/>
        </w:rPr>
        <w:t xml:space="preserve">model implications in relation to the </w:t>
      </w:r>
      <w:r w:rsidR="00837AF3">
        <w:rPr>
          <w:rFonts w:ascii="Times New Roman" w:hAnsi="Times New Roman" w:cs="Times New Roman"/>
          <w:color w:val="0000FF"/>
        </w:rPr>
        <w:t xml:space="preserve">timeline of recent inflation and monetary policy on </w:t>
      </w:r>
      <w:r w:rsidR="00837AF3" w:rsidRPr="008D2916">
        <w:rPr>
          <w:rFonts w:ascii="Times New Roman" w:hAnsi="Times New Roman" w:cs="Times New Roman"/>
          <w:b/>
          <w:bCs/>
          <w:color w:val="0000FF"/>
        </w:rPr>
        <w:t>p.4</w:t>
      </w:r>
      <w:r w:rsidR="00837AF3">
        <w:rPr>
          <w:rFonts w:ascii="Times New Roman" w:hAnsi="Times New Roman" w:cs="Times New Roman"/>
          <w:color w:val="0000FF"/>
        </w:rPr>
        <w:t xml:space="preserve"> of the introduction and in more detail on </w:t>
      </w:r>
      <w:r w:rsidR="00837AF3" w:rsidRPr="008D2916">
        <w:rPr>
          <w:rFonts w:ascii="Times New Roman" w:hAnsi="Times New Roman" w:cs="Times New Roman"/>
          <w:b/>
          <w:bCs/>
          <w:color w:val="0000FF"/>
        </w:rPr>
        <w:t>p</w:t>
      </w:r>
      <w:r w:rsidR="00D338D1">
        <w:rPr>
          <w:rFonts w:ascii="Times New Roman" w:hAnsi="Times New Roman" w:cs="Times New Roman"/>
          <w:b/>
          <w:bCs/>
          <w:color w:val="0000FF"/>
        </w:rPr>
        <w:t>p</w:t>
      </w:r>
      <w:r w:rsidR="00837AF3" w:rsidRPr="008D2916">
        <w:rPr>
          <w:rFonts w:ascii="Times New Roman" w:hAnsi="Times New Roman" w:cs="Times New Roman"/>
          <w:b/>
          <w:bCs/>
          <w:color w:val="0000FF"/>
        </w:rPr>
        <w:t>.3</w:t>
      </w:r>
      <w:r w:rsidR="005400A9">
        <w:rPr>
          <w:rFonts w:ascii="Times New Roman" w:hAnsi="Times New Roman" w:cs="Times New Roman"/>
          <w:b/>
          <w:bCs/>
          <w:color w:val="0000FF"/>
        </w:rPr>
        <w:t>4</w:t>
      </w:r>
      <w:r w:rsidR="00D338D1">
        <w:rPr>
          <w:rFonts w:ascii="Times New Roman" w:hAnsi="Times New Roman" w:cs="Times New Roman"/>
          <w:b/>
          <w:bCs/>
          <w:color w:val="0000FF"/>
        </w:rPr>
        <w:t>-3</w:t>
      </w:r>
      <w:r w:rsidR="005400A9">
        <w:rPr>
          <w:rFonts w:ascii="Times New Roman" w:hAnsi="Times New Roman" w:cs="Times New Roman"/>
          <w:b/>
          <w:bCs/>
          <w:color w:val="0000FF"/>
        </w:rPr>
        <w:t>5</w:t>
      </w:r>
      <w:r w:rsidR="00837AF3">
        <w:rPr>
          <w:rFonts w:ascii="Times New Roman" w:hAnsi="Times New Roman" w:cs="Times New Roman"/>
          <w:color w:val="0000FF"/>
        </w:rPr>
        <w:t xml:space="preserve">. </w:t>
      </w:r>
    </w:p>
    <w:p w14:paraId="020A0406" w14:textId="05355499" w:rsidR="00B34328" w:rsidRDefault="00B34328" w:rsidP="00B34328">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w:t>
      </w:r>
      <w:r w:rsidRPr="00953058">
        <w:rPr>
          <w:rFonts w:ascii="Times New Roman" w:hAnsi="Times New Roman" w:cs="Times New Roman"/>
          <w:b/>
          <w:bCs/>
          <w:color w:val="0000FF"/>
        </w:rPr>
        <w:t>revised Table 3</w:t>
      </w:r>
      <w:r>
        <w:rPr>
          <w:rFonts w:ascii="Times New Roman" w:hAnsi="Times New Roman" w:cs="Times New Roman"/>
          <w:color w:val="0000FF"/>
        </w:rPr>
        <w:t xml:space="preserve"> provides a simple reverse-engineering exercise, showing that observed nominal and real bond-stock betas in the early and late post-pandemic periods can be matched with 1980s-style macroeconomic shocks, and a low monetary policy inflation coefficient during the early post-pandemic but a higher monetary policy inflation coefficient during the later post-pandemic. The results in Table 3 hence indicate that the monetary policy rule </w:t>
      </w:r>
      <w:r w:rsidR="001C3347">
        <w:rPr>
          <w:rFonts w:ascii="Times New Roman" w:hAnsi="Times New Roman" w:cs="Times New Roman"/>
          <w:color w:val="0000FF"/>
        </w:rPr>
        <w:t>priced in</w:t>
      </w:r>
      <w:r>
        <w:rPr>
          <w:rFonts w:ascii="Times New Roman" w:hAnsi="Times New Roman" w:cs="Times New Roman"/>
          <w:color w:val="0000FF"/>
        </w:rPr>
        <w:t xml:space="preserve"> bond-stock betas </w:t>
      </w:r>
      <w:r w:rsidR="00DE3CC6">
        <w:rPr>
          <w:rFonts w:ascii="Times New Roman" w:hAnsi="Times New Roman" w:cs="Times New Roman"/>
          <w:color w:val="0000FF"/>
        </w:rPr>
        <w:t xml:space="preserve">remained </w:t>
      </w:r>
      <w:r>
        <w:rPr>
          <w:rFonts w:ascii="Times New Roman" w:hAnsi="Times New Roman" w:cs="Times New Roman"/>
          <w:color w:val="0000FF"/>
        </w:rPr>
        <w:t xml:space="preserve"> similar to the 2000s during 2021 and 2022, but became more similar to the 1980s monetary policy rule during 2023 after the series of energetic rate hikes. The revised description of Table 3 can be found on </w:t>
      </w:r>
      <w:r w:rsidRPr="00307FEC">
        <w:rPr>
          <w:rFonts w:ascii="Times New Roman" w:hAnsi="Times New Roman" w:cs="Times New Roman"/>
          <w:b/>
          <w:bCs/>
          <w:color w:val="0000FF"/>
        </w:rPr>
        <w:t>pp. 3</w:t>
      </w:r>
      <w:r w:rsidR="00D338D1">
        <w:rPr>
          <w:rFonts w:ascii="Times New Roman" w:hAnsi="Times New Roman" w:cs="Times New Roman"/>
          <w:b/>
          <w:bCs/>
          <w:color w:val="0000FF"/>
        </w:rPr>
        <w:t>7</w:t>
      </w:r>
      <w:r w:rsidRPr="00307FEC">
        <w:rPr>
          <w:rFonts w:ascii="Times New Roman" w:hAnsi="Times New Roman" w:cs="Times New Roman"/>
          <w:b/>
          <w:bCs/>
          <w:color w:val="0000FF"/>
        </w:rPr>
        <w:t>-3</w:t>
      </w:r>
      <w:r w:rsidR="00D338D1">
        <w:rPr>
          <w:rFonts w:ascii="Times New Roman" w:hAnsi="Times New Roman" w:cs="Times New Roman"/>
          <w:b/>
          <w:bCs/>
          <w:color w:val="0000FF"/>
        </w:rPr>
        <w:t>8</w:t>
      </w:r>
      <w:r>
        <w:rPr>
          <w:rFonts w:ascii="Times New Roman" w:hAnsi="Times New Roman" w:cs="Times New Roman"/>
          <w:color w:val="0000FF"/>
        </w:rPr>
        <w:t xml:space="preserve"> of the paper. </w:t>
      </w:r>
    </w:p>
    <w:p w14:paraId="0D7551D8" w14:textId="3844FFD4" w:rsidR="00B60900" w:rsidRDefault="00B60900" w:rsidP="00B60900">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To support this timeline of events, the revised paper also references my recent complementary paper Bauer, Pflueger, and Sunderam, (2024), which estimates the monetary policy inflation coefficient as perceived by professional forecasters from rich survey data, and links the change in the perceived monetary policy rule to policy rate surprises on FOMC dates. Note that by drawing on rich cross-sectional survey data, Bauer, Pflueger, and Sunderam (2024) can distinguish between transitory inflation expectations and a perceived low monetary policy inflation coefficient, and still finds a substantial role for an initially low monetary policy inflation coefficient, followed by a</w:t>
      </w:r>
      <w:r w:rsidR="001B6239">
        <w:rPr>
          <w:rFonts w:ascii="Times New Roman" w:hAnsi="Times New Roman" w:cs="Times New Roman"/>
          <w:color w:val="0000FF"/>
        </w:rPr>
        <w:t>n</w:t>
      </w:r>
      <w:r>
        <w:rPr>
          <w:rFonts w:ascii="Times New Roman" w:hAnsi="Times New Roman" w:cs="Times New Roman"/>
          <w:color w:val="0000FF"/>
        </w:rPr>
        <w:t xml:space="preserve"> increase in the perceived monetary policy inflation coefficient, peaking in the second half of 2023. Even though the data and methodology in this complementary work are completely separate, it is interesting that the timing lines up closely with the significant increases in rolling nominal, real and breakeven betas in Figure 10 in the present manuscript.  </w:t>
      </w:r>
    </w:p>
    <w:p w14:paraId="68D17341" w14:textId="77777777" w:rsidR="00B60900" w:rsidRDefault="00B60900" w:rsidP="00B60900">
      <w:pPr>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lastRenderedPageBreak/>
        <w:t xml:space="preserve">The revised paper discusses the timeline of recent inflation and monetary policy on </w:t>
      </w:r>
      <w:r w:rsidRPr="008D2916">
        <w:rPr>
          <w:rFonts w:ascii="Times New Roman" w:hAnsi="Times New Roman" w:cs="Times New Roman"/>
          <w:b/>
          <w:bCs/>
          <w:color w:val="0000FF"/>
        </w:rPr>
        <w:t>p.4</w:t>
      </w:r>
      <w:r>
        <w:rPr>
          <w:rFonts w:ascii="Times New Roman" w:hAnsi="Times New Roman" w:cs="Times New Roman"/>
          <w:color w:val="0000FF"/>
        </w:rPr>
        <w:t xml:space="preserve"> of the introduction and in more detail on </w:t>
      </w:r>
      <w:r w:rsidRPr="008D2916">
        <w:rPr>
          <w:rFonts w:ascii="Times New Roman" w:hAnsi="Times New Roman" w:cs="Times New Roman"/>
          <w:b/>
          <w:bCs/>
          <w:color w:val="0000FF"/>
        </w:rPr>
        <w:t>p</w:t>
      </w:r>
      <w:r>
        <w:rPr>
          <w:rFonts w:ascii="Times New Roman" w:hAnsi="Times New Roman" w:cs="Times New Roman"/>
          <w:b/>
          <w:bCs/>
          <w:color w:val="0000FF"/>
        </w:rPr>
        <w:t>p</w:t>
      </w:r>
      <w:r w:rsidRPr="008D2916">
        <w:rPr>
          <w:rFonts w:ascii="Times New Roman" w:hAnsi="Times New Roman" w:cs="Times New Roman"/>
          <w:b/>
          <w:bCs/>
          <w:color w:val="0000FF"/>
        </w:rPr>
        <w:t>.3</w:t>
      </w:r>
      <w:r>
        <w:rPr>
          <w:rFonts w:ascii="Times New Roman" w:hAnsi="Times New Roman" w:cs="Times New Roman"/>
          <w:b/>
          <w:bCs/>
          <w:color w:val="0000FF"/>
        </w:rPr>
        <w:t>4-35</w:t>
      </w:r>
      <w:r>
        <w:rPr>
          <w:rFonts w:ascii="Times New Roman" w:hAnsi="Times New Roman" w:cs="Times New Roman"/>
          <w:color w:val="0000FF"/>
        </w:rPr>
        <w:t xml:space="preserve">. Bauer, Pflueger, and Sunderam, (2024a,b) do not speak to bond-stock betas, so this paper has a unique ability to explain bond-stock betas. I clarify the unique contribution of this paper compared to Bauer, Pflueger, and Sunderam, (2024a,b) in the literature review on </w:t>
      </w:r>
      <w:r w:rsidRPr="008D2916">
        <w:rPr>
          <w:rFonts w:ascii="Times New Roman" w:hAnsi="Times New Roman" w:cs="Times New Roman"/>
          <w:b/>
          <w:bCs/>
          <w:color w:val="0000FF"/>
        </w:rPr>
        <w:t>p.6</w:t>
      </w:r>
      <w:r>
        <w:rPr>
          <w:rFonts w:ascii="Times New Roman" w:hAnsi="Times New Roman" w:cs="Times New Roman"/>
          <w:color w:val="0000FF"/>
        </w:rPr>
        <w:t xml:space="preserve"> (“</w:t>
      </w:r>
      <w:r w:rsidRPr="00E94707">
        <w:rPr>
          <w:rFonts w:ascii="Times New Roman" w:hAnsi="Times New Roman" w:cs="Times New Roman"/>
          <w:b/>
          <w:bCs/>
          <w:color w:val="0000FF"/>
        </w:rPr>
        <w:t>Complementary to this paper</w:t>
      </w:r>
      <w:r>
        <w:rPr>
          <w:rFonts w:ascii="Times New Roman" w:hAnsi="Times New Roman" w:cs="Times New Roman"/>
          <w:b/>
          <w:bCs/>
          <w:color w:val="0000FF"/>
        </w:rPr>
        <w:t>,</w:t>
      </w:r>
      <w:r w:rsidRPr="00E94707">
        <w:rPr>
          <w:rFonts w:ascii="Times New Roman" w:hAnsi="Times New Roman" w:cs="Times New Roman"/>
          <w:b/>
          <w:bCs/>
          <w:color w:val="0000FF"/>
        </w:rPr>
        <w:t xml:space="preserve"> Bauer,</w:t>
      </w:r>
      <w:r>
        <w:rPr>
          <w:rFonts w:ascii="Times New Roman" w:hAnsi="Times New Roman" w:cs="Times New Roman"/>
          <w:b/>
          <w:bCs/>
          <w:color w:val="0000FF"/>
        </w:rPr>
        <w:t xml:space="preserve"> </w:t>
      </w:r>
      <w:r w:rsidRPr="00E94707">
        <w:rPr>
          <w:rFonts w:ascii="Times New Roman" w:hAnsi="Times New Roman" w:cs="Times New Roman"/>
          <w:b/>
          <w:bCs/>
          <w:color w:val="0000FF"/>
        </w:rPr>
        <w:t>P</w:t>
      </w:r>
      <w:r>
        <w:rPr>
          <w:rFonts w:ascii="Times New Roman" w:hAnsi="Times New Roman" w:cs="Times New Roman"/>
          <w:b/>
          <w:bCs/>
          <w:color w:val="0000FF"/>
        </w:rPr>
        <w:t>fl</w:t>
      </w:r>
      <w:r w:rsidRPr="00E94707">
        <w:rPr>
          <w:rFonts w:ascii="Times New Roman" w:hAnsi="Times New Roman" w:cs="Times New Roman"/>
          <w:b/>
          <w:bCs/>
          <w:color w:val="0000FF"/>
        </w:rPr>
        <w:t>ueger, and Sunderam (2024a,b) (…)</w:t>
      </w:r>
      <w:r w:rsidRPr="00E94707">
        <w:rPr>
          <w:rFonts w:ascii="Times New Roman" w:hAnsi="Times New Roman" w:cs="Times New Roman"/>
          <w:color w:val="0000FF"/>
        </w:rPr>
        <w:t>”</w:t>
      </w:r>
      <w:r>
        <w:rPr>
          <w:rFonts w:ascii="Times New Roman" w:hAnsi="Times New Roman" w:cs="Times New Roman"/>
          <w:color w:val="0000FF"/>
        </w:rPr>
        <w:t xml:space="preserve">). </w:t>
      </w:r>
    </w:p>
    <w:p w14:paraId="2C4BA141" w14:textId="77777777" w:rsidR="00B60900" w:rsidRDefault="00B60900" w:rsidP="00AC098A">
      <w:pPr>
        <w:autoSpaceDE w:val="0"/>
        <w:autoSpaceDN w:val="0"/>
        <w:adjustRightInd w:val="0"/>
        <w:spacing w:after="0" w:line="240" w:lineRule="auto"/>
        <w:ind w:left="360"/>
        <w:rPr>
          <w:rFonts w:ascii="Times New Roman" w:hAnsi="Times New Roman" w:cs="Times New Roman"/>
          <w:color w:val="0000FF"/>
        </w:rPr>
      </w:pPr>
    </w:p>
    <w:p w14:paraId="3C23DE94" w14:textId="64F1D37F" w:rsidR="00AC098A" w:rsidRDefault="00AC098A" w:rsidP="00AC098A">
      <w:pPr>
        <w:autoSpaceDE w:val="0"/>
        <w:autoSpaceDN w:val="0"/>
        <w:adjustRightInd w:val="0"/>
        <w:spacing w:after="0" w:line="240" w:lineRule="auto"/>
        <w:ind w:left="360"/>
        <w:rPr>
          <w:rFonts w:ascii="Times New Roman" w:eastAsiaTheme="minorEastAsia" w:hAnsi="Times New Roman" w:cs="Times New Roman"/>
          <w:color w:val="0000FF"/>
        </w:rPr>
      </w:pPr>
      <w:r>
        <w:rPr>
          <w:rFonts w:ascii="Times New Roman" w:hAnsi="Times New Roman" w:cs="Times New Roman"/>
          <w:color w:val="0000FF"/>
        </w:rPr>
        <w:t>More broadly, the general equilibrium framework in this paper unifies various channels priced in bond-stock betas</w:t>
      </w:r>
      <w:r w:rsidR="001628A4">
        <w:rPr>
          <w:rFonts w:ascii="Times New Roman" w:hAnsi="Times New Roman" w:cs="Times New Roman"/>
          <w:color w:val="0000FF"/>
        </w:rPr>
        <w:t xml:space="preserve"> </w:t>
      </w:r>
      <w:r>
        <w:rPr>
          <w:rFonts w:ascii="Times New Roman" w:hAnsi="Times New Roman" w:cs="Times New Roman"/>
          <w:color w:val="0000FF"/>
        </w:rPr>
        <w:t>in a relatively parsimonious manner, including “sentiment” or risk premium shocks, the rationality of inflation expectations, and the monetary policy response to macroeconomic shocks. The revised manuscript states this contribution clearly in the introduction (</w:t>
      </w:r>
      <w:r w:rsidRPr="00EE36D3">
        <w:rPr>
          <w:rFonts w:ascii="Times New Roman" w:hAnsi="Times New Roman" w:cs="Times New Roman"/>
          <w:b/>
          <w:bCs/>
          <w:color w:val="0000FF"/>
        </w:rPr>
        <w:t>p.5, “The model in this paper incorporates these channels in a relatively parsimonious setup (…)”</w:t>
      </w:r>
      <w:r w:rsidRPr="00EE36D3">
        <w:rPr>
          <w:rFonts w:ascii="Times New Roman" w:hAnsi="Times New Roman" w:cs="Times New Roman"/>
          <w:color w:val="0000FF"/>
        </w:rPr>
        <w:t>)</w:t>
      </w:r>
      <w:r>
        <w:rPr>
          <w:rFonts w:ascii="Times New Roman" w:hAnsi="Times New Roman" w:cs="Times New Roman"/>
          <w:color w:val="0000FF"/>
        </w:rPr>
        <w:t>. The revised Section 4 makes clear how “sentiment” shocks are accounted for in the model (</w:t>
      </w:r>
      <w:r w:rsidRPr="00ED1DAA">
        <w:rPr>
          <w:rFonts w:ascii="Times New Roman" w:hAnsi="Times New Roman" w:cs="Times New Roman"/>
          <w:b/>
          <w:bCs/>
          <w:color w:val="0000FF"/>
        </w:rPr>
        <w:t xml:space="preserve">p. </w:t>
      </w:r>
      <w:r w:rsidR="00680AF7">
        <w:rPr>
          <w:rFonts w:ascii="Times New Roman" w:hAnsi="Times New Roman" w:cs="Times New Roman"/>
          <w:b/>
          <w:bCs/>
          <w:color w:val="0000FF"/>
        </w:rPr>
        <w:t>30</w:t>
      </w:r>
      <w:r w:rsidRPr="00ED1DAA">
        <w:rPr>
          <w:rFonts w:ascii="Times New Roman" w:hAnsi="Times New Roman" w:cs="Times New Roman"/>
          <w:b/>
          <w:bCs/>
          <w:color w:val="0000FF"/>
        </w:rPr>
        <w:t xml:space="preserve">, “One might wonder whether </w:t>
      </w:r>
      <w:r>
        <w:rPr>
          <w:rFonts w:ascii="Times New Roman" w:hAnsi="Times New Roman" w:cs="Times New Roman"/>
          <w:b/>
          <w:bCs/>
          <w:color w:val="0000FF"/>
        </w:rPr>
        <w:t>“</w:t>
      </w:r>
      <w:r w:rsidRPr="00ED1DAA">
        <w:rPr>
          <w:rFonts w:ascii="Times New Roman" w:hAnsi="Times New Roman" w:cs="Times New Roman"/>
          <w:b/>
          <w:bCs/>
          <w:color w:val="0000FF"/>
        </w:rPr>
        <w:t>sentiment</w:t>
      </w:r>
      <w:r>
        <w:rPr>
          <w:rFonts w:ascii="Times New Roman" w:hAnsi="Times New Roman" w:cs="Times New Roman"/>
          <w:b/>
          <w:bCs/>
          <w:color w:val="0000FF"/>
        </w:rPr>
        <w:t>”</w:t>
      </w:r>
      <w:r w:rsidRPr="00ED1DAA">
        <w:rPr>
          <w:rFonts w:ascii="Times New Roman" w:hAnsi="Times New Roman" w:cs="Times New Roman"/>
          <w:b/>
          <w:bCs/>
          <w:color w:val="0000FF"/>
        </w:rPr>
        <w:t xml:space="preserve"> shocks could turn bond-stock betas negative</w:t>
      </w:r>
      <w:r>
        <w:rPr>
          <w:rFonts w:ascii="Times New Roman" w:hAnsi="Times New Roman" w:cs="Times New Roman"/>
          <w:b/>
          <w:bCs/>
          <w:color w:val="0000FF"/>
        </w:rPr>
        <w:t xml:space="preserve"> (</w:t>
      </w:r>
      <w:r w:rsidRPr="00ED1DAA">
        <w:rPr>
          <w:rFonts w:ascii="Times New Roman" w:hAnsi="Times New Roman" w:cs="Times New Roman"/>
          <w:b/>
          <w:bCs/>
          <w:color w:val="0000FF"/>
        </w:rPr>
        <w:t>…</w:t>
      </w:r>
      <w:r>
        <w:rPr>
          <w:rFonts w:ascii="Times New Roman" w:hAnsi="Times New Roman" w:cs="Times New Roman"/>
          <w:b/>
          <w:bCs/>
          <w:color w:val="0000FF"/>
        </w:rPr>
        <w:t>)</w:t>
      </w:r>
      <w:r w:rsidRPr="00ED1DAA">
        <w:rPr>
          <w:rFonts w:ascii="Times New Roman" w:hAnsi="Times New Roman" w:cs="Times New Roman"/>
          <w:b/>
          <w:bCs/>
          <w:color w:val="0000FF"/>
        </w:rPr>
        <w:t>”</w:t>
      </w:r>
      <w:r>
        <w:rPr>
          <w:rFonts w:ascii="Times New Roman" w:hAnsi="Times New Roman" w:cs="Times New Roman"/>
          <w:color w:val="0000FF"/>
        </w:rPr>
        <w:t xml:space="preserve">). To address your comment about the anchoring of inflation expectations during the recent period, the </w:t>
      </w:r>
      <w:r>
        <w:rPr>
          <w:rFonts w:ascii="Times New Roman" w:eastAsiaTheme="minorEastAsia" w:hAnsi="Times New Roman" w:cs="Times New Roman"/>
          <w:color w:val="0000FF"/>
        </w:rPr>
        <w:t xml:space="preserve">revised manuscript </w:t>
      </w:r>
      <w:r w:rsidR="00DE3CC6">
        <w:rPr>
          <w:rFonts w:ascii="Times New Roman" w:eastAsiaTheme="minorEastAsia" w:hAnsi="Times New Roman" w:cs="Times New Roman"/>
          <w:color w:val="0000FF"/>
        </w:rPr>
        <w:t xml:space="preserve">says clearly that I assume </w:t>
      </w:r>
      <w:r w:rsidR="001628A4">
        <w:rPr>
          <w:rFonts w:ascii="Times New Roman" w:eastAsiaTheme="minorEastAsia" w:hAnsi="Times New Roman" w:cs="Times New Roman"/>
          <w:color w:val="0000FF"/>
        </w:rPr>
        <w:t>rational</w:t>
      </w:r>
      <w:r>
        <w:rPr>
          <w:rFonts w:ascii="Times New Roman" w:eastAsiaTheme="minorEastAsia" w:hAnsi="Times New Roman" w:cs="Times New Roman"/>
          <w:color w:val="0000FF"/>
        </w:rPr>
        <w:t xml:space="preserve"> inflation expectations</w:t>
      </w:r>
      <w:r w:rsidR="00DE3CC6">
        <w:rPr>
          <w:rFonts w:ascii="Times New Roman" w:eastAsiaTheme="minorEastAsia" w:hAnsi="Times New Roman" w:cs="Times New Roman"/>
          <w:color w:val="0000FF"/>
        </w:rPr>
        <w:t xml:space="preserve"> when interpreting recent events</w:t>
      </w:r>
      <w:r w:rsidR="00276D3E">
        <w:rPr>
          <w:rFonts w:ascii="Times New Roman" w:eastAsiaTheme="minorEastAsia" w:hAnsi="Times New Roman" w:cs="Times New Roman"/>
          <w:color w:val="0000FF"/>
        </w:rPr>
        <w:t xml:space="preserve"> </w:t>
      </w:r>
      <w:r>
        <w:rPr>
          <w:rFonts w:ascii="Times New Roman" w:eastAsiaTheme="minorEastAsia" w:hAnsi="Times New Roman" w:cs="Times New Roman"/>
          <w:color w:val="0000FF"/>
        </w:rPr>
        <w:t xml:space="preserve"> </w:t>
      </w:r>
      <w:r w:rsidRPr="00091B11">
        <w:rPr>
          <w:rFonts w:ascii="Times New Roman" w:eastAsiaTheme="minorEastAsia" w:hAnsi="Times New Roman" w:cs="Times New Roman"/>
          <w:color w:val="0000FF"/>
        </w:rPr>
        <w:t>(</w:t>
      </w:r>
      <w:r w:rsidRPr="00AC098A">
        <w:rPr>
          <w:rFonts w:ascii="Times New Roman" w:eastAsiaTheme="minorEastAsia" w:hAnsi="Times New Roman" w:cs="Times New Roman"/>
          <w:b/>
          <w:bCs/>
          <w:color w:val="0000FF"/>
        </w:rPr>
        <w:t xml:space="preserve">top of p.37, </w:t>
      </w:r>
      <w:r w:rsidRPr="00E039E1">
        <w:rPr>
          <w:rFonts w:ascii="Times New Roman" w:eastAsiaTheme="minorEastAsia" w:hAnsi="Times New Roman" w:cs="Times New Roman"/>
          <w:b/>
          <w:bCs/>
          <w:color w:val="0000FF"/>
        </w:rPr>
        <w:t xml:space="preserve">“To account for strongly anchored long-term inflation expectations </w:t>
      </w:r>
      <w:r>
        <w:rPr>
          <w:rFonts w:ascii="Times New Roman" w:eastAsiaTheme="minorEastAsia" w:hAnsi="Times New Roman" w:cs="Times New Roman"/>
          <w:b/>
          <w:bCs/>
          <w:color w:val="0000FF"/>
        </w:rPr>
        <w:t>during the recent period (…)”</w:t>
      </w:r>
      <w:r w:rsidRPr="00091B11">
        <w:rPr>
          <w:rFonts w:ascii="Times New Roman" w:eastAsiaTheme="minorEastAsia" w:hAnsi="Times New Roman" w:cs="Times New Roman"/>
          <w:color w:val="0000FF"/>
        </w:rPr>
        <w:t>)</w:t>
      </w:r>
      <w:r>
        <w:rPr>
          <w:rFonts w:ascii="Times New Roman" w:eastAsiaTheme="minorEastAsia" w:hAnsi="Times New Roman" w:cs="Times New Roman"/>
          <w:color w:val="0000FF"/>
        </w:rPr>
        <w:t>.</w:t>
      </w:r>
    </w:p>
    <w:p w14:paraId="103F441C" w14:textId="77777777" w:rsidR="00BE4CC5" w:rsidRDefault="00BE4CC5" w:rsidP="00176021">
      <w:pPr>
        <w:autoSpaceDE w:val="0"/>
        <w:autoSpaceDN w:val="0"/>
        <w:adjustRightInd w:val="0"/>
        <w:spacing w:after="0" w:line="240" w:lineRule="auto"/>
        <w:rPr>
          <w:rFonts w:ascii="Times New Roman" w:eastAsiaTheme="minorEastAsia" w:hAnsi="Times New Roman" w:cs="Times New Roman"/>
          <w:color w:val="0000FF"/>
        </w:rPr>
      </w:pPr>
    </w:p>
    <w:p w14:paraId="092BA350"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25E19EA6"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428D045B"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3AE838F8"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612C407F"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6AC6277C"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5F74A457"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389DAE0B"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41C03041"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2265C40B"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7478DAD6"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7ACC252D"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1A1F3CF0"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0CFBB140"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52F5F2D6"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6CCA87E4"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2150AFF9"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37569296"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7F521E3F"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40DEFC34"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1470EF7F"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6CA82AE2"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38B474FC"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48A48138"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52D8FD98"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41FA3F89"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7B63926D"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1E38B1F3" w14:textId="77777777" w:rsidR="006176DA" w:rsidRDefault="006176DA" w:rsidP="00176021">
      <w:pPr>
        <w:autoSpaceDE w:val="0"/>
        <w:autoSpaceDN w:val="0"/>
        <w:adjustRightInd w:val="0"/>
        <w:spacing w:after="0" w:line="240" w:lineRule="auto"/>
        <w:rPr>
          <w:rFonts w:ascii="Times New Roman" w:eastAsiaTheme="minorEastAsia" w:hAnsi="Times New Roman" w:cs="Times New Roman"/>
          <w:color w:val="0000FF"/>
        </w:rPr>
      </w:pPr>
    </w:p>
    <w:p w14:paraId="2EDEF8A8" w14:textId="77777777" w:rsidR="00680AF7" w:rsidRPr="00BE4CC5" w:rsidRDefault="00680AF7" w:rsidP="00176021">
      <w:pPr>
        <w:autoSpaceDE w:val="0"/>
        <w:autoSpaceDN w:val="0"/>
        <w:adjustRightInd w:val="0"/>
        <w:spacing w:after="0" w:line="240" w:lineRule="auto"/>
        <w:rPr>
          <w:rFonts w:ascii="Times New Roman" w:eastAsiaTheme="minorEastAsia" w:hAnsi="Times New Roman" w:cs="Times New Roman"/>
          <w:color w:val="0000FF"/>
        </w:rPr>
      </w:pPr>
    </w:p>
    <w:p w14:paraId="1DF6A348" w14:textId="114AAF2E" w:rsidR="008B07AC" w:rsidRPr="00B84221" w:rsidRDefault="008B07AC" w:rsidP="00A75284">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lastRenderedPageBreak/>
        <w:t xml:space="preserve">Responses to Referee </w:t>
      </w:r>
      <w:r>
        <w:rPr>
          <w:rFonts w:ascii="Times New Roman" w:hAnsi="Times New Roman" w:cs="Times New Roman"/>
          <w:b/>
          <w:bCs/>
          <w:u w:val="single"/>
        </w:rPr>
        <w:t>2</w:t>
      </w:r>
    </w:p>
    <w:p w14:paraId="19E2C3B2" w14:textId="77777777" w:rsidR="008B07AC" w:rsidRDefault="008B07AC" w:rsidP="00A75284">
      <w:pPr>
        <w:adjustRightInd w:val="0"/>
        <w:spacing w:after="0" w:line="240" w:lineRule="auto"/>
        <w:rPr>
          <w:rFonts w:ascii="Times New Roman" w:hAnsi="Times New Roman" w:cs="Times New Roman"/>
          <w:b/>
          <w:bCs/>
        </w:rPr>
      </w:pPr>
    </w:p>
    <w:p w14:paraId="2B7A4288" w14:textId="530000A7" w:rsidR="008B07AC" w:rsidRDefault="008B07AC" w:rsidP="00A75284">
      <w:pPr>
        <w:adjustRightInd w:val="0"/>
        <w:spacing w:after="0" w:line="240" w:lineRule="auto"/>
        <w:rPr>
          <w:rFonts w:ascii="Times New Roman" w:hAnsi="Times New Roman" w:cs="Times New Roman"/>
          <w:color w:val="0000FF"/>
        </w:rPr>
      </w:pPr>
      <w:r w:rsidRPr="00E81D4B">
        <w:rPr>
          <w:rFonts w:ascii="Times New Roman" w:hAnsi="Times New Roman" w:cs="Times New Roman"/>
          <w:color w:val="0000FF"/>
        </w:rPr>
        <w:t xml:space="preserve">Thank you for </w:t>
      </w:r>
      <w:r>
        <w:rPr>
          <w:rFonts w:ascii="Times New Roman" w:hAnsi="Times New Roman" w:cs="Times New Roman"/>
          <w:color w:val="0000FF"/>
        </w:rPr>
        <w:t>your suggestions, and especially your lucid discussion of the literature. Following your and the AE’s suggestion</w:t>
      </w:r>
      <w:r w:rsidR="0050191E">
        <w:rPr>
          <w:rFonts w:ascii="Times New Roman" w:hAnsi="Times New Roman" w:cs="Times New Roman"/>
          <w:color w:val="0000FF"/>
        </w:rPr>
        <w:t>s</w:t>
      </w:r>
      <w:r>
        <w:rPr>
          <w:rFonts w:ascii="Times New Roman" w:hAnsi="Times New Roman" w:cs="Times New Roman"/>
          <w:color w:val="0000FF"/>
        </w:rPr>
        <w:t>,</w:t>
      </w:r>
      <w:r w:rsidR="0050191E">
        <w:rPr>
          <w:rFonts w:ascii="Times New Roman" w:hAnsi="Times New Roman" w:cs="Times New Roman"/>
          <w:color w:val="0000FF"/>
        </w:rPr>
        <w:t xml:space="preserve"> I re-wrote the introduction to delineate more clearly how </w:t>
      </w:r>
      <w:r>
        <w:rPr>
          <w:rFonts w:ascii="Times New Roman" w:hAnsi="Times New Roman" w:cs="Times New Roman"/>
          <w:color w:val="0000FF"/>
        </w:rPr>
        <w:t xml:space="preserve">the current manuscript stands out from the existing literature. </w:t>
      </w:r>
      <w:r w:rsidR="0050191E">
        <w:rPr>
          <w:rFonts w:ascii="Times New Roman" w:hAnsi="Times New Roman" w:cs="Times New Roman"/>
          <w:color w:val="0000FF"/>
        </w:rPr>
        <w:t xml:space="preserve">The revised paper also contains </w:t>
      </w:r>
      <w:r w:rsidR="0050191E" w:rsidRPr="00980B93">
        <w:rPr>
          <w:rFonts w:ascii="Times New Roman" w:hAnsi="Times New Roman" w:cs="Times New Roman"/>
          <w:color w:val="0000FF"/>
        </w:rPr>
        <w:t xml:space="preserve">additional discussion and results </w:t>
      </w:r>
      <w:r w:rsidR="0050191E">
        <w:rPr>
          <w:rFonts w:ascii="Times New Roman" w:hAnsi="Times New Roman" w:cs="Times New Roman"/>
          <w:color w:val="0000FF"/>
        </w:rPr>
        <w:t>supporting</w:t>
      </w:r>
      <w:r w:rsidR="0050191E" w:rsidRPr="00980B93">
        <w:rPr>
          <w:rFonts w:ascii="Times New Roman" w:hAnsi="Times New Roman" w:cs="Times New Roman"/>
          <w:color w:val="0000FF"/>
        </w:rPr>
        <w:t xml:space="preserve"> the calibration for the first subperiod.</w:t>
      </w:r>
      <w:r w:rsidR="0050191E">
        <w:rPr>
          <w:rFonts w:ascii="Times New Roman" w:hAnsi="Times New Roman" w:cs="Times New Roman"/>
          <w:color w:val="0000FF"/>
        </w:rPr>
        <w:t xml:space="preserve"> </w:t>
      </w:r>
      <w:r>
        <w:rPr>
          <w:rFonts w:ascii="Times New Roman" w:hAnsi="Times New Roman" w:cs="Times New Roman"/>
          <w:color w:val="0000FF"/>
        </w:rPr>
        <w:t xml:space="preserve">Detailed point-by-point responses to your comments are included below. </w:t>
      </w:r>
    </w:p>
    <w:p w14:paraId="7BB20C3E" w14:textId="77777777" w:rsidR="00730FE5" w:rsidRDefault="00730FE5" w:rsidP="00A75284">
      <w:pPr>
        <w:adjustRightInd w:val="0"/>
        <w:spacing w:after="0" w:line="240" w:lineRule="auto"/>
        <w:rPr>
          <w:rFonts w:ascii="Times New Roman" w:hAnsi="Times New Roman" w:cs="Times New Roman"/>
          <w:color w:val="0000FF"/>
        </w:rPr>
      </w:pPr>
    </w:p>
    <w:p w14:paraId="61A2380A" w14:textId="77777777" w:rsidR="004A54B1" w:rsidRDefault="004A54B1" w:rsidP="00A75284">
      <w:pPr>
        <w:adjustRightInd w:val="0"/>
        <w:spacing w:after="0" w:line="240" w:lineRule="auto"/>
        <w:rPr>
          <w:rFonts w:ascii="Times New Roman" w:hAnsi="Times New Roman" w:cs="Times New Roman"/>
        </w:rPr>
      </w:pPr>
      <w:r>
        <w:rPr>
          <w:rFonts w:ascii="Times New Roman" w:hAnsi="Times New Roman" w:cs="Times New Roman"/>
        </w:rPr>
        <w:t>In</w:t>
      </w:r>
      <w:r>
        <w:rPr>
          <w:rFonts w:ascii="Times New Roman" w:hAnsi="Times New Roman" w:cs="Times New Roman" w:hint="eastAsia"/>
        </w:rPr>
        <w:t xml:space="preserve"> this sense, the paper</w:t>
      </w:r>
      <w:r>
        <w:rPr>
          <w:rFonts w:ascii="Times New Roman" w:hAnsi="Times New Roman" w:cs="Times New Roman"/>
        </w:rPr>
        <w:t>’</w:t>
      </w:r>
      <w:r>
        <w:rPr>
          <w:rFonts w:ascii="Times New Roman" w:hAnsi="Times New Roman" w:cs="Times New Roman" w:hint="eastAsia"/>
        </w:rPr>
        <w:t>s setup builds on the author</w:t>
      </w:r>
      <w:r>
        <w:rPr>
          <w:rFonts w:ascii="Times New Roman" w:hAnsi="Times New Roman" w:cs="Times New Roman"/>
        </w:rPr>
        <w:t>’</w:t>
      </w:r>
      <w:r>
        <w:rPr>
          <w:rFonts w:ascii="Times New Roman" w:hAnsi="Times New Roman" w:cs="Times New Roman" w:hint="eastAsia"/>
        </w:rPr>
        <w:t>s previous two published papers, Campbell, Pflueger, and Viceira (2020) and Pflueger and Rinaldi (2022), as they both include (P1) and (P2). While the model (P1) in Campbell, Pflueger, and Viceira (2020) is not as micro-founded as the one in the current paper, (P1) in Pflueger and Rinaldi (2022) is very similar, but with some important changes such as enriching structural shocks to include both demand and supply, and considering adaptive subjective inflation expectations.</w:t>
      </w:r>
    </w:p>
    <w:p w14:paraId="4804354E" w14:textId="77777777" w:rsidR="004A54B1" w:rsidRDefault="004A54B1" w:rsidP="00A75284">
      <w:pPr>
        <w:adjustRightInd w:val="0"/>
        <w:spacing w:after="0" w:line="240" w:lineRule="auto"/>
        <w:rPr>
          <w:rFonts w:ascii="Times New Roman" w:hAnsi="Times New Roman" w:cs="Times New Roman"/>
        </w:rPr>
      </w:pPr>
    </w:p>
    <w:p w14:paraId="4A159A78" w14:textId="274CCA93" w:rsidR="00730FE5" w:rsidRPr="009A39D9"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The calibration of the model for two distinct subperiods sets the current paper apart from Pflueger</w:t>
      </w:r>
      <w:r>
        <w:rPr>
          <w:rFonts w:ascii="Times New Roman" w:hAnsi="Times New Roman" w:cs="Times New Roman" w:hint="eastAsia"/>
        </w:rPr>
        <w:t xml:space="preserve"> </w:t>
      </w:r>
      <w:r w:rsidRPr="009A39D9">
        <w:rPr>
          <w:rFonts w:ascii="Times New Roman" w:hAnsi="Times New Roman" w:cs="Times New Roman"/>
        </w:rPr>
        <w:t>and Rinaldi (2022), while its unique ability to perform counterfactual exercises assessing the impact of</w:t>
      </w:r>
      <w:r>
        <w:rPr>
          <w:rFonts w:ascii="Times New Roman" w:hAnsi="Times New Roman" w:cs="Times New Roman" w:hint="eastAsia"/>
        </w:rPr>
        <w:t xml:space="preserve"> </w:t>
      </w:r>
      <w:r w:rsidRPr="009A39D9">
        <w:rPr>
          <w:rFonts w:ascii="Times New Roman" w:hAnsi="Times New Roman" w:cs="Times New Roman"/>
        </w:rPr>
        <w:t>Taylor-rule coefficients and macroeconomic shock volatilities on bond-stock betas amplifies its significance.</w:t>
      </w:r>
    </w:p>
    <w:p w14:paraId="39D3D2BF" w14:textId="77777777" w:rsidR="00730FE5" w:rsidRDefault="00730FE5" w:rsidP="00A75284">
      <w:pPr>
        <w:adjustRightInd w:val="0"/>
        <w:spacing w:after="0" w:line="240" w:lineRule="auto"/>
        <w:rPr>
          <w:rFonts w:ascii="Times New Roman" w:hAnsi="Times New Roman" w:cs="Times New Roman"/>
        </w:rPr>
      </w:pPr>
    </w:p>
    <w:p w14:paraId="0E48CB79" w14:textId="77777777"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In the literature, various channels explain bond-stock comovement, including the inflation-risk narrative</w:t>
      </w:r>
      <w:r>
        <w:rPr>
          <w:rFonts w:ascii="Times New Roman" w:hAnsi="Times New Roman" w:cs="Times New Roman" w:hint="eastAsia"/>
        </w:rPr>
        <w:t xml:space="preserve"> </w:t>
      </w:r>
      <w:r w:rsidRPr="009A39D9">
        <w:rPr>
          <w:rFonts w:ascii="Times New Roman" w:hAnsi="Times New Roman" w:cs="Times New Roman"/>
        </w:rPr>
        <w:t>proposed by David and Veronesi (2013), Song (2017), Campbell, Pflueger, and Viceira (2020),</w:t>
      </w:r>
      <w:r>
        <w:rPr>
          <w:rFonts w:ascii="Times New Roman" w:hAnsi="Times New Roman" w:cs="Times New Roman" w:hint="eastAsia"/>
        </w:rPr>
        <w:t xml:space="preserve"> </w:t>
      </w:r>
      <w:r w:rsidRPr="009A39D9">
        <w:rPr>
          <w:rFonts w:ascii="Times New Roman" w:hAnsi="Times New Roman" w:cs="Times New Roman"/>
        </w:rPr>
        <w:t>Gourio and Ngo (2020), and Fang, Liu, and Roussanov (2022); the liquidity, flight-to-safety, and time</w:t>
      </w:r>
      <w:r>
        <w:rPr>
          <w:rFonts w:ascii="Times New Roman" w:hAnsi="Times New Roman" w:cs="Times New Roman" w:hint="eastAsia"/>
        </w:rPr>
        <w:t>-</w:t>
      </w:r>
      <w:r w:rsidRPr="009A39D9">
        <w:rPr>
          <w:rFonts w:ascii="Times New Roman" w:hAnsi="Times New Roman" w:cs="Times New Roman"/>
        </w:rPr>
        <w:t>varying</w:t>
      </w:r>
      <w:r>
        <w:rPr>
          <w:rFonts w:ascii="Times New Roman" w:hAnsi="Times New Roman" w:cs="Times New Roman" w:hint="eastAsia"/>
        </w:rPr>
        <w:t xml:space="preserve"> </w:t>
      </w:r>
      <w:r w:rsidRPr="009A39D9">
        <w:rPr>
          <w:rFonts w:ascii="Times New Roman" w:hAnsi="Times New Roman" w:cs="Times New Roman"/>
        </w:rPr>
        <w:t>risk aversion argument presented by Baele, Bekaert, and Inghelbrecht (2010), Kozak (2022),</w:t>
      </w:r>
      <w:r>
        <w:rPr>
          <w:rFonts w:ascii="Times New Roman" w:hAnsi="Times New Roman" w:cs="Times New Roman" w:hint="eastAsia"/>
        </w:rPr>
        <w:t xml:space="preserve"> </w:t>
      </w:r>
      <w:r w:rsidRPr="009A39D9">
        <w:rPr>
          <w:rFonts w:ascii="Times New Roman" w:hAnsi="Times New Roman" w:cs="Times New Roman"/>
        </w:rPr>
        <w:t>and Laarits (2022); examination of permanent-transitory compositional changes discussed by Chernov,</w:t>
      </w:r>
      <w:r>
        <w:rPr>
          <w:rFonts w:ascii="Times New Roman" w:hAnsi="Times New Roman" w:cs="Times New Roman" w:hint="eastAsia"/>
        </w:rPr>
        <w:t xml:space="preserve"> </w:t>
      </w:r>
      <w:r w:rsidRPr="009A39D9">
        <w:rPr>
          <w:rFonts w:ascii="Times New Roman" w:hAnsi="Times New Roman" w:cs="Times New Roman"/>
        </w:rPr>
        <w:t>Lochstoer, and Song (2021); and the examination of monetary-fiscal mix regimes explored by Li, Zha,</w:t>
      </w:r>
      <w:r>
        <w:rPr>
          <w:rFonts w:ascii="Times New Roman" w:hAnsi="Times New Roman" w:cs="Times New Roman" w:hint="eastAsia"/>
        </w:rPr>
        <w:t xml:space="preserve"> </w:t>
      </w:r>
      <w:r w:rsidRPr="009A39D9">
        <w:rPr>
          <w:rFonts w:ascii="Times New Roman" w:hAnsi="Times New Roman" w:cs="Times New Roman"/>
        </w:rPr>
        <w:t>Zhang, and Zhou (2022), among others.</w:t>
      </w:r>
    </w:p>
    <w:p w14:paraId="19B28B85" w14:textId="77777777" w:rsidR="00730FE5" w:rsidRPr="009A39D9" w:rsidRDefault="00730FE5" w:rsidP="00A75284">
      <w:pPr>
        <w:adjustRightInd w:val="0"/>
        <w:spacing w:after="0" w:line="240" w:lineRule="auto"/>
        <w:rPr>
          <w:rFonts w:ascii="Times New Roman" w:hAnsi="Times New Roman" w:cs="Times New Roman"/>
        </w:rPr>
      </w:pPr>
    </w:p>
    <w:p w14:paraId="48C509CB" w14:textId="719F2762"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What sets the current paper apart is its remarkable ability to integrate these popular narratives</w:t>
      </w:r>
      <w:r>
        <w:rPr>
          <w:rFonts w:ascii="Times New Roman" w:hAnsi="Times New Roman" w:cs="Times New Roman" w:hint="eastAsia"/>
        </w:rPr>
        <w:t xml:space="preserve"> </w:t>
      </w:r>
      <w:r w:rsidRPr="009A39D9">
        <w:rPr>
          <w:rFonts w:ascii="Times New Roman" w:hAnsi="Times New Roman" w:cs="Times New Roman"/>
        </w:rPr>
        <w:t>within a relatively simple unified framework. It adeptly incorporates elements such as the inflation</w:t>
      </w:r>
      <w:r>
        <w:rPr>
          <w:rFonts w:ascii="Times New Roman" w:hAnsi="Times New Roman" w:cs="Times New Roman" w:hint="eastAsia"/>
        </w:rPr>
        <w:t xml:space="preserve"> </w:t>
      </w:r>
      <w:r w:rsidRPr="009A39D9">
        <w:rPr>
          <w:rFonts w:ascii="Times New Roman" w:hAnsi="Times New Roman" w:cs="Times New Roman"/>
        </w:rPr>
        <w:t>risk</w:t>
      </w:r>
      <w:r>
        <w:rPr>
          <w:rFonts w:ascii="Times New Roman" w:hAnsi="Times New Roman" w:cs="Times New Roman" w:hint="eastAsia"/>
        </w:rPr>
        <w:t xml:space="preserve"> </w:t>
      </w:r>
      <w:r w:rsidRPr="009A39D9">
        <w:rPr>
          <w:rFonts w:ascii="Times New Roman" w:hAnsi="Times New Roman" w:cs="Times New Roman"/>
        </w:rPr>
        <w:t>narrative through the differentiation of demand versus supply shocks, time-varying risk aversion via</w:t>
      </w:r>
      <w:r>
        <w:rPr>
          <w:rFonts w:ascii="Times New Roman" w:hAnsi="Times New Roman" w:cs="Times New Roman" w:hint="eastAsia"/>
        </w:rPr>
        <w:t xml:space="preserve"> </w:t>
      </w:r>
      <w:r w:rsidRPr="009A39D9">
        <w:rPr>
          <w:rFonts w:ascii="Times New Roman" w:hAnsi="Times New Roman" w:cs="Times New Roman"/>
        </w:rPr>
        <w:t>habit-formation preferences, adjustments in the persistence of state variables, achieved by calibrating</w:t>
      </w:r>
      <w:r>
        <w:rPr>
          <w:rFonts w:ascii="Times New Roman" w:hAnsi="Times New Roman" w:cs="Times New Roman" w:hint="eastAsia"/>
        </w:rPr>
        <w:t xml:space="preserve"> </w:t>
      </w:r>
      <w:r w:rsidRPr="009A39D9">
        <w:rPr>
          <w:rFonts w:ascii="Times New Roman" w:hAnsi="Times New Roman" w:cs="Times New Roman"/>
        </w:rPr>
        <w:t>the model for two distinct subperiods, and modifications in the monetary policy rule, all contributing</w:t>
      </w:r>
      <w:r>
        <w:rPr>
          <w:rFonts w:ascii="Times New Roman" w:hAnsi="Times New Roman" w:cs="Times New Roman" w:hint="eastAsia"/>
        </w:rPr>
        <w:t xml:space="preserve"> </w:t>
      </w:r>
      <w:r w:rsidRPr="009A39D9">
        <w:rPr>
          <w:rFonts w:ascii="Times New Roman" w:hAnsi="Times New Roman" w:cs="Times New Roman"/>
        </w:rPr>
        <w:t>to a comprehensive understanding of bond-stock comovement.</w:t>
      </w:r>
    </w:p>
    <w:p w14:paraId="2115D19E" w14:textId="77777777" w:rsidR="00730FE5" w:rsidRPr="00C62C29"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 xml:space="preserve">Overall, I believe the paper merits publication in the </w:t>
      </w:r>
      <w:r w:rsidRPr="00C62C29">
        <w:rPr>
          <w:rFonts w:ascii="Times New Roman" w:hAnsi="Times New Roman" w:cs="Times New Roman"/>
          <w:i/>
          <w:iCs/>
        </w:rPr>
        <w:t>Journal of Financial Economics</w:t>
      </w:r>
      <w:r w:rsidRPr="00C62C29">
        <w:rPr>
          <w:rFonts w:ascii="Times New Roman" w:hAnsi="Times New Roman" w:cs="Times New Roman"/>
        </w:rPr>
        <w:t>. While I find</w:t>
      </w:r>
      <w:r>
        <w:rPr>
          <w:rFonts w:ascii="Times New Roman" w:hAnsi="Times New Roman" w:cs="Times New Roman" w:hint="eastAsia"/>
        </w:rPr>
        <w:t xml:space="preserve"> </w:t>
      </w:r>
      <w:r w:rsidRPr="00C62C29">
        <w:rPr>
          <w:rFonts w:ascii="Times New Roman" w:hAnsi="Times New Roman" w:cs="Times New Roman"/>
        </w:rPr>
        <w:t>the current paper already quite clear, I will only raise two relatively minor points.</w:t>
      </w:r>
    </w:p>
    <w:p w14:paraId="5D175F8E" w14:textId="77777777" w:rsidR="00730FE5"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Firstly, considering that the paper’s primary contribution focuses on explaining changing bond-stock</w:t>
      </w:r>
      <w:r>
        <w:rPr>
          <w:rFonts w:ascii="Times New Roman" w:hAnsi="Times New Roman" w:cs="Times New Roman" w:hint="eastAsia"/>
        </w:rPr>
        <w:t xml:space="preserve"> </w:t>
      </w:r>
      <w:r w:rsidRPr="00C62C29">
        <w:rPr>
          <w:rFonts w:ascii="Times New Roman" w:hAnsi="Times New Roman" w:cs="Times New Roman"/>
        </w:rPr>
        <w:t>comovement, I recommend that the author provide a more precise explanation of her contribution to</w:t>
      </w:r>
      <w:r>
        <w:rPr>
          <w:rFonts w:ascii="Times New Roman" w:hAnsi="Times New Roman" w:cs="Times New Roman" w:hint="eastAsia"/>
        </w:rPr>
        <w:t xml:space="preserve"> </w:t>
      </w:r>
      <w:r w:rsidRPr="00C62C29">
        <w:rPr>
          <w:rFonts w:ascii="Times New Roman" w:hAnsi="Times New Roman" w:cs="Times New Roman"/>
        </w:rPr>
        <w:t>the literature. Although the author cites most of the papers mentioned above in the paper, many</w:t>
      </w:r>
      <w:r>
        <w:rPr>
          <w:rFonts w:ascii="Times New Roman" w:hAnsi="Times New Roman" w:cs="Times New Roman" w:hint="eastAsia"/>
        </w:rPr>
        <w:t xml:space="preserve"> </w:t>
      </w:r>
      <w:r w:rsidRPr="00C62C29">
        <w:rPr>
          <w:rFonts w:ascii="Times New Roman" w:hAnsi="Times New Roman" w:cs="Times New Roman"/>
        </w:rPr>
        <w:t>of them are relegated to footnotes. For example, among the more pertinent papers, the author’s</w:t>
      </w:r>
      <w:r>
        <w:rPr>
          <w:rFonts w:ascii="Times New Roman" w:hAnsi="Times New Roman" w:cs="Times New Roman" w:hint="eastAsia"/>
        </w:rPr>
        <w:t xml:space="preserve"> </w:t>
      </w:r>
      <w:r w:rsidRPr="00C62C29">
        <w:rPr>
          <w:rFonts w:ascii="Times New Roman" w:hAnsi="Times New Roman" w:cs="Times New Roman"/>
        </w:rPr>
        <w:t xml:space="preserve">paper undoubtedly </w:t>
      </w:r>
      <w:r w:rsidRPr="00D024F0">
        <w:rPr>
          <w:rFonts w:ascii="Times New Roman" w:hAnsi="Times New Roman" w:cs="Times New Roman"/>
        </w:rPr>
        <w:t>presents advancements beyond Song (2017), which also discussed changes in the</w:t>
      </w:r>
      <w:r w:rsidRPr="00D024F0">
        <w:rPr>
          <w:rFonts w:ascii="Times New Roman" w:hAnsi="Times New Roman" w:cs="Times New Roman" w:hint="eastAsia"/>
        </w:rPr>
        <w:t xml:space="preserve"> </w:t>
      </w:r>
      <w:r w:rsidRPr="00D024F0">
        <w:rPr>
          <w:rFonts w:ascii="Times New Roman" w:hAnsi="Times New Roman" w:cs="Times New Roman"/>
        </w:rPr>
        <w:t>monetary policy rule within an endowment economy, and it extends Campbell, Pflueger, and Viceira</w:t>
      </w:r>
      <w:r w:rsidRPr="00D024F0">
        <w:rPr>
          <w:rFonts w:ascii="Times New Roman" w:hAnsi="Times New Roman" w:cs="Times New Roman" w:hint="eastAsia"/>
        </w:rPr>
        <w:t xml:space="preserve"> </w:t>
      </w:r>
      <w:r w:rsidRPr="00D024F0">
        <w:rPr>
          <w:rFonts w:ascii="Times New Roman" w:hAnsi="Times New Roman" w:cs="Times New Roman"/>
        </w:rPr>
        <w:t>(2020), where the monetary policy rule isn’t specified. None of the production-based papers mentioned</w:t>
      </w:r>
      <w:r w:rsidRPr="00D024F0">
        <w:rPr>
          <w:rFonts w:ascii="Times New Roman" w:hAnsi="Times New Roman" w:cs="Times New Roman" w:hint="eastAsia"/>
        </w:rPr>
        <w:t xml:space="preserve"> </w:t>
      </w:r>
      <w:r w:rsidRPr="00D024F0">
        <w:rPr>
          <w:rFonts w:ascii="Times New Roman" w:hAnsi="Times New Roman" w:cs="Times New Roman"/>
        </w:rPr>
        <w:t>above, such as Gourio and Ngo (2020), Fang, Liu, and Roussanov (2022), and Kozak (2022), incorporate</w:t>
      </w:r>
      <w:r w:rsidRPr="00D024F0">
        <w:rPr>
          <w:rFonts w:ascii="Times New Roman" w:hAnsi="Times New Roman" w:cs="Times New Roman" w:hint="eastAsia"/>
        </w:rPr>
        <w:t xml:space="preserve"> </w:t>
      </w:r>
      <w:r w:rsidRPr="00D024F0">
        <w:rPr>
          <w:rFonts w:ascii="Times New Roman" w:hAnsi="Times New Roman" w:cs="Times New Roman"/>
        </w:rPr>
        <w:t>changes in the monetary policy rule. However, the work of Li, Zha, Zhang, and Zhou (2022) is somewhat</w:t>
      </w:r>
      <w:r w:rsidRPr="00D024F0">
        <w:rPr>
          <w:rFonts w:ascii="Times New Roman" w:hAnsi="Times New Roman" w:cs="Times New Roman" w:hint="eastAsia"/>
        </w:rPr>
        <w:t xml:space="preserve"> </w:t>
      </w:r>
      <w:r w:rsidRPr="00D024F0">
        <w:rPr>
          <w:rFonts w:ascii="Times New Roman" w:hAnsi="Times New Roman" w:cs="Times New Roman"/>
        </w:rPr>
        <w:t>unclear, as it also explores changes in policy rules, encompassing both monetary</w:t>
      </w:r>
      <w:r w:rsidRPr="00C62C29">
        <w:rPr>
          <w:rFonts w:ascii="Times New Roman" w:hAnsi="Times New Roman" w:cs="Times New Roman"/>
        </w:rPr>
        <w:t xml:space="preserve"> and fiscal aspects.</w:t>
      </w:r>
      <w:r>
        <w:rPr>
          <w:rFonts w:ascii="Times New Roman" w:hAnsi="Times New Roman" w:cs="Times New Roman" w:hint="eastAsia"/>
        </w:rPr>
        <w:t xml:space="preserve"> </w:t>
      </w:r>
      <w:r w:rsidRPr="00C62C29">
        <w:rPr>
          <w:rFonts w:ascii="Times New Roman" w:hAnsi="Times New Roman" w:cs="Times New Roman"/>
        </w:rPr>
        <w:t xml:space="preserve">The distinction </w:t>
      </w:r>
      <w:r w:rsidRPr="00C62C29">
        <w:rPr>
          <w:rFonts w:ascii="Times New Roman" w:hAnsi="Times New Roman" w:cs="Times New Roman"/>
        </w:rPr>
        <w:lastRenderedPageBreak/>
        <w:t>may lie in the fact that Li, Zha, Zhang, and Zhou (2022) do not consider changes in</w:t>
      </w:r>
      <w:r>
        <w:rPr>
          <w:rFonts w:ascii="Times New Roman" w:hAnsi="Times New Roman" w:cs="Times New Roman" w:hint="eastAsia"/>
        </w:rPr>
        <w:t xml:space="preserve"> </w:t>
      </w:r>
      <w:r w:rsidRPr="00C62C29">
        <w:rPr>
          <w:rFonts w:ascii="Times New Roman" w:hAnsi="Times New Roman" w:cs="Times New Roman"/>
        </w:rPr>
        <w:t>volatility related to structural shocks. Clarifying both the precise contribution of this paper and that</w:t>
      </w:r>
      <w:r>
        <w:rPr>
          <w:rFonts w:ascii="Times New Roman" w:hAnsi="Times New Roman" w:cs="Times New Roman" w:hint="eastAsia"/>
        </w:rPr>
        <w:t xml:space="preserve"> </w:t>
      </w:r>
      <w:r w:rsidRPr="00C62C29">
        <w:rPr>
          <w:rFonts w:ascii="Times New Roman" w:hAnsi="Times New Roman" w:cs="Times New Roman"/>
        </w:rPr>
        <w:t>of others would be beneficial for readers to comprehend its position in the literature.</w:t>
      </w:r>
    </w:p>
    <w:p w14:paraId="3D40ADB7" w14:textId="77777777" w:rsidR="00A94F9C" w:rsidRDefault="00A94F9C" w:rsidP="00A94F9C">
      <w:pPr>
        <w:adjustRightInd w:val="0"/>
        <w:spacing w:after="0" w:line="240" w:lineRule="auto"/>
        <w:rPr>
          <w:rFonts w:ascii="Times New Roman" w:hAnsi="Times New Roman" w:cs="Times New Roman"/>
          <w:b/>
          <w:bCs/>
          <w:color w:val="0000FF"/>
        </w:rPr>
      </w:pPr>
    </w:p>
    <w:p w14:paraId="665C089B" w14:textId="6482767E" w:rsidR="00A94F9C" w:rsidRDefault="00A94F9C" w:rsidP="001C00B9">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I liked your summary a lot and found it very helpful to clarify the current manuscript’s relationship to the literature. The revised manuscript now highlights the papers’ key difference relative to </w:t>
      </w:r>
      <w:r w:rsidR="00D1179F">
        <w:rPr>
          <w:rFonts w:ascii="Times New Roman" w:hAnsi="Times New Roman" w:cs="Times New Roman"/>
          <w:color w:val="0000FF"/>
        </w:rPr>
        <w:t>the key papers you mentioned</w:t>
      </w:r>
      <w:r>
        <w:rPr>
          <w:rFonts w:ascii="Times New Roman" w:hAnsi="Times New Roman" w:cs="Times New Roman"/>
          <w:color w:val="0000FF"/>
        </w:rPr>
        <w:t xml:space="preserve"> at the very beginning of the introduction </w:t>
      </w:r>
      <w:r w:rsidRPr="00C10E55">
        <w:rPr>
          <w:rFonts w:ascii="Times New Roman" w:hAnsi="Times New Roman" w:cs="Times New Roman"/>
          <w:b/>
          <w:bCs/>
          <w:color w:val="0000FF"/>
        </w:rPr>
        <w:t>(</w:t>
      </w:r>
      <w:r>
        <w:rPr>
          <w:rFonts w:ascii="Times New Roman" w:hAnsi="Times New Roman" w:cs="Times New Roman"/>
          <w:b/>
          <w:bCs/>
          <w:color w:val="0000FF"/>
        </w:rPr>
        <w:t xml:space="preserve">see </w:t>
      </w:r>
      <w:r w:rsidRPr="00C10E55">
        <w:rPr>
          <w:rFonts w:ascii="Times New Roman" w:hAnsi="Times New Roman" w:cs="Times New Roman"/>
          <w:b/>
          <w:bCs/>
          <w:color w:val="0000FF"/>
        </w:rPr>
        <w:t>p.1, paragraph starting "</w:t>
      </w:r>
      <w:r w:rsidR="00D1179F" w:rsidRPr="00D1179F">
        <w:rPr>
          <w:rFonts w:ascii="Times New Roman" w:hAnsi="Times New Roman" w:cs="Times New Roman"/>
          <w:b/>
          <w:bCs/>
          <w:color w:val="0000FF"/>
        </w:rPr>
        <w:t>Despite the substantial literature studying bond-stock comovements</w:t>
      </w:r>
      <w:r w:rsidR="00D1179F" w:rsidRPr="00C10E55">
        <w:rPr>
          <w:rFonts w:ascii="Times New Roman" w:hAnsi="Times New Roman" w:cs="Times New Roman"/>
          <w:b/>
          <w:bCs/>
          <w:color w:val="0000FF"/>
        </w:rPr>
        <w:t xml:space="preserve"> </w:t>
      </w:r>
      <w:r w:rsidRPr="00C10E55">
        <w:rPr>
          <w:rFonts w:ascii="Times New Roman" w:hAnsi="Times New Roman" w:cs="Times New Roman"/>
          <w:b/>
          <w:bCs/>
          <w:color w:val="0000FF"/>
        </w:rPr>
        <w:t>(…)”</w:t>
      </w:r>
      <w:r>
        <w:rPr>
          <w:rFonts w:ascii="Times New Roman" w:hAnsi="Times New Roman" w:cs="Times New Roman"/>
          <w:b/>
          <w:bCs/>
          <w:color w:val="0000FF"/>
        </w:rPr>
        <w:t>)</w:t>
      </w:r>
      <w:r w:rsidRPr="00D1179F">
        <w:rPr>
          <w:rFonts w:ascii="Times New Roman" w:hAnsi="Times New Roman" w:cs="Times New Roman"/>
          <w:b/>
          <w:bCs/>
          <w:color w:val="0000FF"/>
        </w:rPr>
        <w:t>.</w:t>
      </w:r>
      <w:r>
        <w:rPr>
          <w:rFonts w:ascii="Times New Roman" w:hAnsi="Times New Roman" w:cs="Times New Roman"/>
          <w:color w:val="0000FF"/>
        </w:rPr>
        <w:t xml:space="preserve"> </w:t>
      </w:r>
    </w:p>
    <w:p w14:paraId="1F6BF4A3" w14:textId="77777777" w:rsidR="00A94F9C" w:rsidRDefault="00A94F9C" w:rsidP="001C00B9">
      <w:pPr>
        <w:adjustRightInd w:val="0"/>
        <w:spacing w:after="0" w:line="240" w:lineRule="auto"/>
        <w:ind w:left="360"/>
        <w:rPr>
          <w:rFonts w:ascii="Times New Roman" w:hAnsi="Times New Roman" w:cs="Times New Roman"/>
          <w:color w:val="0000FF"/>
        </w:rPr>
      </w:pPr>
    </w:p>
    <w:p w14:paraId="4B1FC0DD" w14:textId="77BC4EA5" w:rsidR="00A94F9C" w:rsidRDefault="00A94F9C" w:rsidP="001C00B9">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A </w:t>
      </w:r>
      <w:r w:rsidR="00566033">
        <w:rPr>
          <w:rFonts w:ascii="Times New Roman" w:hAnsi="Times New Roman" w:cs="Times New Roman"/>
          <w:color w:val="0000FF"/>
        </w:rPr>
        <w:t xml:space="preserve">new </w:t>
      </w:r>
      <w:r>
        <w:rPr>
          <w:rFonts w:ascii="Times New Roman" w:hAnsi="Times New Roman" w:cs="Times New Roman"/>
          <w:color w:val="0000FF"/>
        </w:rPr>
        <w:t xml:space="preserve">detailed discussion of how this paper contributes over the broader literature </w:t>
      </w:r>
      <w:r w:rsidR="00CD4E6E">
        <w:rPr>
          <w:rFonts w:ascii="Times New Roman" w:hAnsi="Times New Roman" w:cs="Times New Roman"/>
          <w:color w:val="0000FF"/>
        </w:rPr>
        <w:t xml:space="preserve">on bond-stock betas </w:t>
      </w:r>
      <w:r>
        <w:rPr>
          <w:rFonts w:ascii="Times New Roman" w:hAnsi="Times New Roman" w:cs="Times New Roman"/>
          <w:color w:val="0000FF"/>
        </w:rPr>
        <w:t>is</w:t>
      </w:r>
      <w:r w:rsidR="00566033">
        <w:rPr>
          <w:rFonts w:ascii="Times New Roman" w:hAnsi="Times New Roman" w:cs="Times New Roman"/>
          <w:color w:val="0000FF"/>
        </w:rPr>
        <w:t xml:space="preserve"> </w:t>
      </w:r>
      <w:r>
        <w:rPr>
          <w:rFonts w:ascii="Times New Roman" w:hAnsi="Times New Roman" w:cs="Times New Roman"/>
          <w:color w:val="0000FF"/>
        </w:rPr>
        <w:t>included at the end of the introduction (</w:t>
      </w:r>
      <w:r w:rsidR="00566033" w:rsidRPr="00566033">
        <w:rPr>
          <w:rFonts w:ascii="Times New Roman" w:hAnsi="Times New Roman" w:cs="Times New Roman"/>
          <w:b/>
          <w:bCs/>
          <w:color w:val="0000FF"/>
        </w:rPr>
        <w:t xml:space="preserve">starting at the bottom of p.4 </w:t>
      </w:r>
      <w:r w:rsidRPr="00566033">
        <w:rPr>
          <w:rFonts w:ascii="Times New Roman" w:hAnsi="Times New Roman" w:cs="Times New Roman"/>
          <w:b/>
          <w:bCs/>
          <w:color w:val="0000FF"/>
        </w:rPr>
        <w:t>“</w:t>
      </w:r>
      <w:r w:rsidR="00566033" w:rsidRPr="00566033">
        <w:rPr>
          <w:rFonts w:ascii="Times New Roman" w:hAnsi="Times New Roman" w:cs="Times New Roman"/>
          <w:b/>
          <w:bCs/>
          <w:color w:val="0000FF"/>
        </w:rPr>
        <w:t>This paper contains distinct contributions over the</w:t>
      </w:r>
      <w:r w:rsidR="00956BAC">
        <w:rPr>
          <w:rFonts w:ascii="Times New Roman" w:hAnsi="Times New Roman" w:cs="Times New Roman"/>
          <w:b/>
          <w:bCs/>
          <w:color w:val="0000FF"/>
        </w:rPr>
        <w:t xml:space="preserve"> </w:t>
      </w:r>
      <w:r w:rsidR="00566033" w:rsidRPr="00566033">
        <w:rPr>
          <w:rFonts w:ascii="Times New Roman" w:hAnsi="Times New Roman" w:cs="Times New Roman"/>
          <w:b/>
          <w:bCs/>
          <w:color w:val="0000FF"/>
        </w:rPr>
        <w:t>literature studying changing bond-stock comovements. (…)”</w:t>
      </w:r>
      <w:r w:rsidR="00566033" w:rsidRPr="00566033">
        <w:rPr>
          <w:rFonts w:ascii="Times New Roman" w:hAnsi="Times New Roman" w:cs="Times New Roman"/>
          <w:color w:val="0000FF"/>
        </w:rPr>
        <w:t xml:space="preserve">) </w:t>
      </w:r>
      <w:r>
        <w:rPr>
          <w:rFonts w:ascii="Times New Roman" w:hAnsi="Times New Roman" w:cs="Times New Roman"/>
          <w:color w:val="0000FF"/>
        </w:rPr>
        <w:t xml:space="preserve">All papers </w:t>
      </w:r>
      <w:r w:rsidR="006E1431">
        <w:rPr>
          <w:rFonts w:ascii="Times New Roman" w:hAnsi="Times New Roman" w:cs="Times New Roman"/>
          <w:color w:val="0000FF"/>
        </w:rPr>
        <w:t xml:space="preserve">mentioned in your report </w:t>
      </w:r>
      <w:r>
        <w:rPr>
          <w:rFonts w:ascii="Times New Roman" w:hAnsi="Times New Roman" w:cs="Times New Roman"/>
          <w:color w:val="0000FF"/>
        </w:rPr>
        <w:t>are now described in the text of the introduction, and</w:t>
      </w:r>
      <w:r w:rsidR="00401C8E">
        <w:rPr>
          <w:rFonts w:ascii="Times New Roman" w:hAnsi="Times New Roman" w:cs="Times New Roman"/>
          <w:color w:val="0000FF"/>
        </w:rPr>
        <w:t xml:space="preserve"> </w:t>
      </w:r>
      <w:r w:rsidR="00566033">
        <w:rPr>
          <w:rFonts w:ascii="Times New Roman" w:hAnsi="Times New Roman" w:cs="Times New Roman"/>
          <w:color w:val="0000FF"/>
        </w:rPr>
        <w:t xml:space="preserve">previous footnotes </w:t>
      </w:r>
      <w:r w:rsidR="00D3442E">
        <w:rPr>
          <w:rFonts w:ascii="Times New Roman" w:hAnsi="Times New Roman" w:cs="Times New Roman"/>
          <w:color w:val="0000FF"/>
        </w:rPr>
        <w:t>containing</w:t>
      </w:r>
      <w:r w:rsidR="00566033">
        <w:rPr>
          <w:rFonts w:ascii="Times New Roman" w:hAnsi="Times New Roman" w:cs="Times New Roman"/>
          <w:color w:val="0000FF"/>
        </w:rPr>
        <w:t xml:space="preserve"> these references have been moved to the main text. </w:t>
      </w:r>
    </w:p>
    <w:p w14:paraId="7DC4F2AA" w14:textId="77777777" w:rsidR="006E1431" w:rsidRPr="00C62C29" w:rsidRDefault="006E1431" w:rsidP="00A94F9C">
      <w:pPr>
        <w:adjustRightInd w:val="0"/>
        <w:spacing w:after="0" w:line="240" w:lineRule="auto"/>
        <w:rPr>
          <w:rFonts w:ascii="Times New Roman" w:hAnsi="Times New Roman" w:cs="Times New Roman"/>
        </w:rPr>
      </w:pPr>
    </w:p>
    <w:p w14:paraId="4E24FE85" w14:textId="64B9BD86" w:rsidR="00730FE5" w:rsidRDefault="00730FE5" w:rsidP="00A75284">
      <w:pPr>
        <w:adjustRightInd w:val="0"/>
        <w:spacing w:after="0" w:line="240" w:lineRule="auto"/>
        <w:rPr>
          <w:rFonts w:ascii="Times New Roman" w:hAnsi="Times New Roman" w:cs="Times New Roman"/>
        </w:rPr>
      </w:pPr>
      <w:r w:rsidRPr="00C62C29">
        <w:rPr>
          <w:rFonts w:ascii="Times New Roman" w:hAnsi="Times New Roman" w:cs="Times New Roman"/>
        </w:rPr>
        <w:t>Secondly, while I generally agree with the author’s calibration across two periods, denoted as R1</w:t>
      </w:r>
      <w:r>
        <w:rPr>
          <w:rFonts w:ascii="Times New Roman" w:hAnsi="Times New Roman" w:cs="Times New Roman" w:hint="eastAsia"/>
        </w:rPr>
        <w:t xml:space="preserve"> </w:t>
      </w:r>
      <w:r w:rsidRPr="00C62C29">
        <w:rPr>
          <w:rFonts w:ascii="Times New Roman" w:hAnsi="Times New Roman" w:cs="Times New Roman"/>
        </w:rPr>
        <w:t>and R2 in my report, I recommend that the author provide more discussion regarding the existing</w:t>
      </w:r>
      <w:r>
        <w:rPr>
          <w:rFonts w:ascii="Times New Roman" w:hAnsi="Times New Roman" w:cs="Times New Roman" w:hint="eastAsia"/>
        </w:rPr>
        <w:t xml:space="preserve"> </w:t>
      </w:r>
      <w:r w:rsidRPr="00C62C29">
        <w:rPr>
          <w:rFonts w:ascii="Times New Roman" w:hAnsi="Times New Roman" w:cs="Times New Roman"/>
        </w:rPr>
        <w:t>macro literature on calibration. The author has touched upon this to some extent in footnote 4,</w:t>
      </w:r>
      <w:r>
        <w:rPr>
          <w:rFonts w:ascii="Times New Roman" w:hAnsi="Times New Roman" w:cs="Times New Roman" w:hint="eastAsia"/>
        </w:rPr>
        <w:t xml:space="preserve"> </w:t>
      </w:r>
      <w:r w:rsidRPr="00C62C29">
        <w:rPr>
          <w:rFonts w:ascii="Times New Roman" w:hAnsi="Times New Roman" w:cs="Times New Roman"/>
        </w:rPr>
        <w:t>where she discussed the shift to a more inertial monetary policy rule with greater emphasis on output,</w:t>
      </w:r>
      <w:r>
        <w:rPr>
          <w:rFonts w:ascii="Times New Roman" w:hAnsi="Times New Roman" w:cs="Times New Roman" w:hint="eastAsia"/>
        </w:rPr>
        <w:t xml:space="preserve"> </w:t>
      </w:r>
      <w:r w:rsidRPr="00C62C29">
        <w:rPr>
          <w:rFonts w:ascii="Times New Roman" w:hAnsi="Times New Roman" w:cs="Times New Roman"/>
        </w:rPr>
        <w:t>aligning with anecdotal evidence. However, the part concerning dominant supply shocks in the 80s</w:t>
      </w:r>
      <w:r>
        <w:rPr>
          <w:rFonts w:ascii="Times New Roman" w:hAnsi="Times New Roman" w:cs="Times New Roman" w:hint="eastAsia"/>
        </w:rPr>
        <w:t xml:space="preserve"> </w:t>
      </w:r>
      <w:r w:rsidRPr="00C62C29">
        <w:rPr>
          <w:rFonts w:ascii="Times New Roman" w:hAnsi="Times New Roman" w:cs="Times New Roman"/>
        </w:rPr>
        <w:t>versus demand shocks in the 00s may warrant further discussion. In particular, Table 1 highlights a</w:t>
      </w:r>
      <w:r>
        <w:rPr>
          <w:rFonts w:ascii="Times New Roman" w:hAnsi="Times New Roman" w:cs="Times New Roman" w:hint="eastAsia"/>
        </w:rPr>
        <w:t xml:space="preserve"> </w:t>
      </w:r>
      <w:r w:rsidRPr="00C62C29">
        <w:rPr>
          <w:rFonts w:ascii="Times New Roman" w:hAnsi="Times New Roman" w:cs="Times New Roman"/>
        </w:rPr>
        <w:t xml:space="preserve">substantial difference in the </w:t>
      </w:r>
      <w:r w:rsidRPr="00A43011">
        <w:rPr>
          <w:rFonts w:ascii="Times New Roman" w:hAnsi="Times New Roman" w:cs="Times New Roman"/>
        </w:rPr>
        <w:t xml:space="preserve">magnitudes of volatilities </w:t>
      </w:r>
      <m:oMath>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Sub>
      </m:oMath>
      <w:r w:rsidRPr="00A43011">
        <w:rPr>
          <w:rFonts w:ascii="Times New Roman" w:hAnsi="Times New Roman" w:cs="Times New Roman"/>
        </w:rPr>
        <w:t xml:space="preserve"> for </w:t>
      </w:r>
      <m:oMath>
        <m:r>
          <w:rPr>
            <w:rFonts w:ascii="Cambria Math" w:hAnsi="Cambria Math" w:cs="Times New Roman"/>
          </w:rPr>
          <m:t xml:space="preserve">j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x,</m:t>
        </m:r>
        <m:r>
          <m:rPr>
            <m:sty m:val="p"/>
          </m:rPr>
          <w:rPr>
            <w:rFonts w:ascii="Cambria Math" w:hAnsi="Cambria Math" w:cs="Times New Roman"/>
          </w:rPr>
          <m:t>π</m:t>
        </m:r>
        <m:r>
          <w:rPr>
            <w:rFonts w:ascii="Cambria Math" w:hAnsi="Cambria Math" w:cs="Times New Roman"/>
          </w:rPr>
          <m:t>, i</m:t>
        </m:r>
        <m:r>
          <m:rPr>
            <m:lit/>
          </m:rPr>
          <w:rPr>
            <w:rFonts w:ascii="Cambria Math" w:hAnsi="Cambria Math" w:cs="Times New Roman"/>
          </w:rPr>
          <m:t>}</m:t>
        </m:r>
      </m:oMath>
      <w:r w:rsidRPr="00A43011">
        <w:rPr>
          <w:rFonts w:ascii="Times New Roman" w:hAnsi="Times New Roman" w:cs="Times New Roman" w:hint="eastAsia"/>
        </w:rPr>
        <w:t xml:space="preserve"> </w:t>
      </w:r>
      <w:r w:rsidRPr="00A43011">
        <w:rPr>
          <w:rFonts w:ascii="Times New Roman" w:hAnsi="Times New Roman" w:cs="Times New Roman"/>
        </w:rPr>
        <w:t>across the two periods. Two</w:t>
      </w:r>
      <w:r w:rsidRPr="00A43011">
        <w:rPr>
          <w:rFonts w:ascii="Times New Roman" w:hAnsi="Times New Roman" w:cs="Times New Roman" w:hint="eastAsia"/>
        </w:rPr>
        <w:t xml:space="preserve"> </w:t>
      </w:r>
      <w:r w:rsidRPr="00A43011">
        <w:rPr>
          <w:rFonts w:ascii="Times New Roman" w:hAnsi="Times New Roman" w:cs="Times New Roman"/>
        </w:rPr>
        <w:t>notable references, Liu, Waggoner, and Zha (2011) and Bianchi and Ilut (2017), offer diverse volatility</w:t>
      </w:r>
      <w:r w:rsidRPr="00A43011">
        <w:rPr>
          <w:rFonts w:ascii="Times New Roman" w:hAnsi="Times New Roman" w:cs="Times New Roman" w:hint="eastAsia"/>
        </w:rPr>
        <w:t xml:space="preserve"> </w:t>
      </w:r>
      <w:r w:rsidRPr="00A43011">
        <w:rPr>
          <w:rFonts w:ascii="Times New Roman" w:hAnsi="Times New Roman" w:cs="Times New Roman"/>
        </w:rPr>
        <w:t>estimates within regime-switching New Keynesian models, both of which are highly cited. However,</w:t>
      </w:r>
      <w:r w:rsidRPr="00A43011">
        <w:rPr>
          <w:rFonts w:ascii="Times New Roman" w:hAnsi="Times New Roman" w:cs="Times New Roman" w:hint="eastAsia"/>
        </w:rPr>
        <w:t xml:space="preserve"> </w:t>
      </w:r>
      <w:r w:rsidRPr="00A43011">
        <w:rPr>
          <w:rFonts w:ascii="Times New Roman" w:hAnsi="Times New Roman" w:cs="Times New Roman"/>
        </w:rPr>
        <w:t>given the intricacies of their respective frameworks, which incorporate</w:t>
      </w:r>
      <w:r w:rsidRPr="00166411">
        <w:rPr>
          <w:rFonts w:ascii="Times New Roman" w:hAnsi="Times New Roman" w:cs="Times New Roman"/>
        </w:rPr>
        <w:t xml:space="preserve"> a broader array of structural</w:t>
      </w:r>
      <w:r w:rsidRPr="00166411">
        <w:rPr>
          <w:rFonts w:ascii="Times New Roman" w:hAnsi="Times New Roman" w:cs="Times New Roman" w:hint="eastAsia"/>
        </w:rPr>
        <w:t xml:space="preserve"> </w:t>
      </w:r>
      <w:r w:rsidRPr="00166411">
        <w:rPr>
          <w:rFonts w:ascii="Times New Roman" w:hAnsi="Times New Roman" w:cs="Times New Roman"/>
        </w:rPr>
        <w:t>shocks, direct comparisons may be challenging. In light of this complexity, it becomes imperative</w:t>
      </w:r>
      <w:r w:rsidRPr="00166411">
        <w:rPr>
          <w:rFonts w:ascii="Times New Roman" w:hAnsi="Times New Roman" w:cs="Times New Roman" w:hint="eastAsia"/>
        </w:rPr>
        <w:t xml:space="preserve"> </w:t>
      </w:r>
      <w:r w:rsidRPr="00166411">
        <w:rPr>
          <w:rFonts w:ascii="Times New Roman" w:hAnsi="Times New Roman" w:cs="Times New Roman"/>
        </w:rPr>
        <w:t>for the reader to discern whether the current paper’s calibration, particularly on (P1), aligns broadly</w:t>
      </w:r>
      <w:r w:rsidRPr="00166411">
        <w:rPr>
          <w:rFonts w:ascii="Times New Roman" w:hAnsi="Times New Roman" w:cs="Times New Roman" w:hint="eastAsia"/>
        </w:rPr>
        <w:t xml:space="preserve"> </w:t>
      </w:r>
      <w:r w:rsidRPr="00166411">
        <w:rPr>
          <w:rFonts w:ascii="Times New Roman" w:hAnsi="Times New Roman" w:cs="Times New Roman"/>
        </w:rPr>
        <w:t>with the trends observed in the macro DSGE literature. Should disparities arise, elucidating</w:t>
      </w:r>
      <w:r w:rsidRPr="00C62C29">
        <w:rPr>
          <w:rFonts w:ascii="Times New Roman" w:hAnsi="Times New Roman" w:cs="Times New Roman"/>
        </w:rPr>
        <w:t xml:space="preserve"> the</w:t>
      </w:r>
      <w:r>
        <w:rPr>
          <w:rFonts w:ascii="Times New Roman" w:hAnsi="Times New Roman" w:cs="Times New Roman" w:hint="eastAsia"/>
        </w:rPr>
        <w:t xml:space="preserve"> </w:t>
      </w:r>
      <w:r w:rsidRPr="00C62C29">
        <w:rPr>
          <w:rFonts w:ascii="Times New Roman" w:hAnsi="Times New Roman" w:cs="Times New Roman"/>
        </w:rPr>
        <w:t>rationale behind such deviations becomes essential. This clarity is paramount, especially considering</w:t>
      </w:r>
      <w:r>
        <w:rPr>
          <w:rFonts w:ascii="Times New Roman" w:hAnsi="Times New Roman" w:cs="Times New Roman" w:hint="eastAsia"/>
        </w:rPr>
        <w:t xml:space="preserve"> </w:t>
      </w:r>
      <w:r w:rsidRPr="00C62C29">
        <w:rPr>
          <w:rFonts w:ascii="Times New Roman" w:hAnsi="Times New Roman" w:cs="Times New Roman"/>
        </w:rPr>
        <w:t>that subsequent counterfactual analyses pivot critically on the calibration values delineated in Table 1.</w:t>
      </w:r>
    </w:p>
    <w:p w14:paraId="261D2DEB" w14:textId="77777777" w:rsidR="001C00B9" w:rsidRDefault="001C00B9" w:rsidP="00A75284">
      <w:pPr>
        <w:adjustRightInd w:val="0"/>
        <w:spacing w:after="0" w:line="240" w:lineRule="auto"/>
        <w:rPr>
          <w:rFonts w:ascii="Times New Roman" w:hAnsi="Times New Roman" w:cs="Times New Roman"/>
        </w:rPr>
      </w:pPr>
    </w:p>
    <w:p w14:paraId="525EACED" w14:textId="6ACFDA0C" w:rsidR="00D40AFE" w:rsidRDefault="001C00B9" w:rsidP="00D40AFE">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w:t>
      </w:r>
      <w:r w:rsidR="00D40AFE">
        <w:rPr>
          <w:rFonts w:ascii="Times New Roman" w:hAnsi="Times New Roman" w:cs="Times New Roman"/>
          <w:color w:val="0000FF"/>
        </w:rPr>
        <w:t>Thank you for this helpful comment. I added a detailed discussion of the shock volatility calibrations</w:t>
      </w:r>
      <w:r w:rsidR="006B15A0">
        <w:rPr>
          <w:rFonts w:ascii="Times New Roman" w:hAnsi="Times New Roman" w:cs="Times New Roman"/>
          <w:color w:val="0000FF"/>
        </w:rPr>
        <w:t xml:space="preserve"> and their relationship to the DSGE literature with regime switches</w:t>
      </w:r>
      <w:r w:rsidR="008742AB">
        <w:rPr>
          <w:rFonts w:ascii="Times New Roman" w:hAnsi="Times New Roman" w:cs="Times New Roman"/>
          <w:color w:val="0000FF"/>
        </w:rPr>
        <w:t xml:space="preserve"> to the revised manuscript</w:t>
      </w:r>
      <w:r w:rsidR="006B15A0">
        <w:rPr>
          <w:rFonts w:ascii="Times New Roman" w:hAnsi="Times New Roman" w:cs="Times New Roman"/>
          <w:color w:val="0000FF"/>
        </w:rPr>
        <w:t xml:space="preserve">. </w:t>
      </w:r>
    </w:p>
    <w:p w14:paraId="0063DCEA" w14:textId="77777777" w:rsidR="00D40AFE" w:rsidRDefault="00D40AFE" w:rsidP="00D40AFE">
      <w:pPr>
        <w:adjustRightInd w:val="0"/>
        <w:spacing w:after="0" w:line="240" w:lineRule="auto"/>
        <w:ind w:left="360"/>
        <w:rPr>
          <w:rFonts w:ascii="Times New Roman" w:hAnsi="Times New Roman" w:cs="Times New Roman"/>
          <w:color w:val="0000FF"/>
        </w:rPr>
      </w:pPr>
    </w:p>
    <w:p w14:paraId="0B9499C0" w14:textId="77777777" w:rsidR="006B15A0" w:rsidRDefault="00D40AFE" w:rsidP="00D40AFE">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Liu, Waggoner and Zha (2011) and Bianchi and Ilut (2017) </w:t>
      </w:r>
      <w:r w:rsidR="0042698B">
        <w:rPr>
          <w:rFonts w:ascii="Times New Roman" w:hAnsi="Times New Roman" w:cs="Times New Roman"/>
          <w:color w:val="0000FF"/>
        </w:rPr>
        <w:t>both rely on</w:t>
      </w:r>
      <w:r w:rsidR="008661BE">
        <w:rPr>
          <w:rFonts w:ascii="Times New Roman" w:hAnsi="Times New Roman" w:cs="Times New Roman"/>
          <w:color w:val="0000FF"/>
        </w:rPr>
        <w:t xml:space="preserve"> sample</w:t>
      </w:r>
      <w:r w:rsidR="0042698B">
        <w:rPr>
          <w:rFonts w:ascii="Times New Roman" w:hAnsi="Times New Roman" w:cs="Times New Roman"/>
          <w:color w:val="0000FF"/>
        </w:rPr>
        <w:t>s</w:t>
      </w:r>
      <w:r w:rsidR="008661BE">
        <w:rPr>
          <w:rFonts w:ascii="Times New Roman" w:hAnsi="Times New Roman" w:cs="Times New Roman"/>
          <w:color w:val="0000FF"/>
        </w:rPr>
        <w:t xml:space="preserve"> that start significantly earlier and end earlier than </w:t>
      </w:r>
      <w:r w:rsidR="0042698B">
        <w:rPr>
          <w:rFonts w:ascii="Times New Roman" w:hAnsi="Times New Roman" w:cs="Times New Roman"/>
          <w:color w:val="0000FF"/>
        </w:rPr>
        <w:t>the one in this paper, and allow only for two different volatility regimes</w:t>
      </w:r>
      <w:r w:rsidR="00684F25">
        <w:rPr>
          <w:rFonts w:ascii="Times New Roman" w:hAnsi="Times New Roman" w:cs="Times New Roman"/>
          <w:color w:val="0000FF"/>
        </w:rPr>
        <w:t xml:space="preserve">. As a result, they </w:t>
      </w:r>
      <w:r w:rsidR="0042698B">
        <w:rPr>
          <w:rFonts w:ascii="Times New Roman" w:hAnsi="Times New Roman" w:cs="Times New Roman"/>
          <w:color w:val="0000FF"/>
        </w:rPr>
        <w:t xml:space="preserve">naturally </w:t>
      </w:r>
      <w:r w:rsidR="00684F25">
        <w:rPr>
          <w:rFonts w:ascii="Times New Roman" w:hAnsi="Times New Roman" w:cs="Times New Roman"/>
          <w:color w:val="0000FF"/>
        </w:rPr>
        <w:t xml:space="preserve">detect one switch in shock volatilities around </w:t>
      </w:r>
      <w:r w:rsidR="00294589">
        <w:rPr>
          <w:rFonts w:ascii="Times New Roman" w:hAnsi="Times New Roman" w:cs="Times New Roman"/>
          <w:color w:val="0000FF"/>
        </w:rPr>
        <w:t xml:space="preserve">or shortly after 1980, </w:t>
      </w:r>
      <w:r w:rsidR="00DD21D5">
        <w:rPr>
          <w:rFonts w:ascii="Times New Roman" w:hAnsi="Times New Roman" w:cs="Times New Roman"/>
          <w:color w:val="0000FF"/>
        </w:rPr>
        <w:t>characterized by a roughly proportional decline in the volatilities of all shocks</w:t>
      </w:r>
      <w:r w:rsidR="0042698B">
        <w:rPr>
          <w:rFonts w:ascii="Times New Roman" w:hAnsi="Times New Roman" w:cs="Times New Roman"/>
          <w:color w:val="0000FF"/>
        </w:rPr>
        <w:t>. My sample starts roughly at the time of th</w:t>
      </w:r>
      <w:r w:rsidR="00684F25">
        <w:rPr>
          <w:rFonts w:ascii="Times New Roman" w:hAnsi="Times New Roman" w:cs="Times New Roman"/>
          <w:color w:val="0000FF"/>
        </w:rPr>
        <w:t>eir</w:t>
      </w:r>
      <w:r w:rsidR="0042698B">
        <w:rPr>
          <w:rFonts w:ascii="Times New Roman" w:hAnsi="Times New Roman" w:cs="Times New Roman"/>
          <w:color w:val="0000FF"/>
        </w:rPr>
        <w:t xml:space="preserve"> </w:t>
      </w:r>
      <w:r w:rsidR="00684F25">
        <w:rPr>
          <w:rFonts w:ascii="Times New Roman" w:hAnsi="Times New Roman" w:cs="Times New Roman"/>
          <w:color w:val="0000FF"/>
        </w:rPr>
        <w:t>switch in volatilities</w:t>
      </w:r>
      <w:r w:rsidR="0042698B">
        <w:rPr>
          <w:rFonts w:ascii="Times New Roman" w:hAnsi="Times New Roman" w:cs="Times New Roman"/>
          <w:color w:val="0000FF"/>
        </w:rPr>
        <w:t xml:space="preserve">. I </w:t>
      </w:r>
      <w:r w:rsidR="00684F25">
        <w:rPr>
          <w:rFonts w:ascii="Times New Roman" w:hAnsi="Times New Roman" w:cs="Times New Roman"/>
          <w:color w:val="0000FF"/>
        </w:rPr>
        <w:t xml:space="preserve">therefore </w:t>
      </w:r>
      <w:r w:rsidR="0042698B">
        <w:rPr>
          <w:rFonts w:ascii="Times New Roman" w:hAnsi="Times New Roman" w:cs="Times New Roman"/>
          <w:color w:val="0000FF"/>
        </w:rPr>
        <w:t xml:space="preserve">cannot detect the shift from high volatility to low volatility that they </w:t>
      </w:r>
      <w:r w:rsidR="006C295A">
        <w:rPr>
          <w:rFonts w:ascii="Times New Roman" w:hAnsi="Times New Roman" w:cs="Times New Roman"/>
          <w:color w:val="0000FF"/>
        </w:rPr>
        <w:t>focus on</w:t>
      </w:r>
      <w:r w:rsidR="0042698B">
        <w:rPr>
          <w:rFonts w:ascii="Times New Roman" w:hAnsi="Times New Roman" w:cs="Times New Roman"/>
          <w:color w:val="0000FF"/>
        </w:rPr>
        <w:t xml:space="preserve">. </w:t>
      </w:r>
      <w:r w:rsidR="006C295A">
        <w:rPr>
          <w:rFonts w:ascii="Times New Roman" w:hAnsi="Times New Roman" w:cs="Times New Roman"/>
          <w:color w:val="0000FF"/>
        </w:rPr>
        <w:t>I use a break around 2000 and estimate a shift in the relative volatilities of supply-type v. demand-type shocks</w:t>
      </w:r>
      <w:r w:rsidR="009445BB">
        <w:rPr>
          <w:rFonts w:ascii="Times New Roman" w:hAnsi="Times New Roman" w:cs="Times New Roman"/>
          <w:color w:val="0000FF"/>
        </w:rPr>
        <w:t xml:space="preserve">. This </w:t>
      </w:r>
      <w:r w:rsidR="006B15A0">
        <w:rPr>
          <w:rFonts w:ascii="Times New Roman" w:hAnsi="Times New Roman" w:cs="Times New Roman"/>
          <w:color w:val="0000FF"/>
        </w:rPr>
        <w:t xml:space="preserve">break date is supported by the </w:t>
      </w:r>
      <w:r w:rsidR="006C295A">
        <w:rPr>
          <w:rFonts w:ascii="Times New Roman" w:hAnsi="Times New Roman" w:cs="Times New Roman"/>
          <w:color w:val="0000FF"/>
        </w:rPr>
        <w:t>more reduced-form approach to regime switches of Sims and Zha (2006) and the monetary policy model with term premia of Bianchi, Lettau, and Ludvigson (2022)</w:t>
      </w:r>
      <w:r w:rsidR="009445BB">
        <w:rPr>
          <w:rFonts w:ascii="Times New Roman" w:hAnsi="Times New Roman" w:cs="Times New Roman"/>
          <w:color w:val="0000FF"/>
        </w:rPr>
        <w:t>, who also detect switches around 2000</w:t>
      </w:r>
      <w:r w:rsidR="006C295A">
        <w:rPr>
          <w:rFonts w:ascii="Times New Roman" w:hAnsi="Times New Roman" w:cs="Times New Roman"/>
          <w:color w:val="0000FF"/>
        </w:rPr>
        <w:t xml:space="preserve">.  </w:t>
      </w:r>
    </w:p>
    <w:p w14:paraId="51256B10" w14:textId="77777777" w:rsidR="006B15A0" w:rsidRDefault="006B15A0" w:rsidP="00D40AFE">
      <w:pPr>
        <w:adjustRightInd w:val="0"/>
        <w:spacing w:after="0" w:line="240" w:lineRule="auto"/>
        <w:ind w:left="360"/>
        <w:rPr>
          <w:rFonts w:ascii="Times New Roman" w:hAnsi="Times New Roman" w:cs="Times New Roman"/>
          <w:color w:val="0000FF"/>
        </w:rPr>
      </w:pPr>
    </w:p>
    <w:p w14:paraId="4C11B700" w14:textId="05ED8CD2" w:rsidR="00434C5E" w:rsidRDefault="00FD0098" w:rsidP="005560B4">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In addition,</w:t>
      </w:r>
      <w:r w:rsidR="006B15A0">
        <w:rPr>
          <w:rFonts w:ascii="Times New Roman" w:hAnsi="Times New Roman" w:cs="Times New Roman"/>
          <w:color w:val="0000FF"/>
        </w:rPr>
        <w:t xml:space="preserve"> a common shift in all volatilities would leave regression coefficients, such as the target moments depicted in Figure 2, unchanged, so my calibration procedure naturally </w:t>
      </w:r>
      <w:r w:rsidR="003D54B5">
        <w:rPr>
          <w:rFonts w:ascii="Times New Roman" w:hAnsi="Times New Roman" w:cs="Times New Roman"/>
          <w:color w:val="0000FF"/>
        </w:rPr>
        <w:t>is more sensitive to</w:t>
      </w:r>
      <w:r w:rsidR="006B15A0">
        <w:rPr>
          <w:rFonts w:ascii="Times New Roman" w:hAnsi="Times New Roman" w:cs="Times New Roman"/>
          <w:color w:val="0000FF"/>
        </w:rPr>
        <w:t xml:space="preserve"> </w:t>
      </w:r>
      <w:r w:rsidR="006B15A0">
        <w:rPr>
          <w:rFonts w:ascii="Times New Roman" w:hAnsi="Times New Roman" w:cs="Times New Roman"/>
          <w:color w:val="0000FF"/>
        </w:rPr>
        <w:lastRenderedPageBreak/>
        <w:t xml:space="preserve">relative shifts in </w:t>
      </w:r>
      <w:r w:rsidR="003D54B5">
        <w:rPr>
          <w:rFonts w:ascii="Times New Roman" w:hAnsi="Times New Roman" w:cs="Times New Roman"/>
          <w:color w:val="0000FF"/>
        </w:rPr>
        <w:t xml:space="preserve">the volatilities of shocks. </w:t>
      </w:r>
      <w:r w:rsidR="0042698B">
        <w:rPr>
          <w:rFonts w:ascii="Times New Roman" w:hAnsi="Times New Roman" w:cs="Times New Roman"/>
          <w:color w:val="0000FF"/>
        </w:rPr>
        <w:t>The overall volatilit</w:t>
      </w:r>
      <w:r w:rsidR="003C7A80">
        <w:rPr>
          <w:rFonts w:ascii="Times New Roman" w:hAnsi="Times New Roman" w:cs="Times New Roman"/>
          <w:color w:val="0000FF"/>
        </w:rPr>
        <w:t>y</w:t>
      </w:r>
      <w:r w:rsidR="0042698B">
        <w:rPr>
          <w:rFonts w:ascii="Times New Roman" w:hAnsi="Times New Roman" w:cs="Times New Roman"/>
          <w:color w:val="0000FF"/>
        </w:rPr>
        <w:t xml:space="preserve"> of shocks is identified in my calibration </w:t>
      </w:r>
      <w:r w:rsidR="0070572D">
        <w:rPr>
          <w:rFonts w:ascii="Times New Roman" w:hAnsi="Times New Roman" w:cs="Times New Roman"/>
          <w:color w:val="0000FF"/>
        </w:rPr>
        <w:t xml:space="preserve">from </w:t>
      </w:r>
      <w:r w:rsidR="0042698B">
        <w:rPr>
          <w:rFonts w:ascii="Times New Roman" w:hAnsi="Times New Roman" w:cs="Times New Roman"/>
          <w:color w:val="0000FF"/>
        </w:rPr>
        <w:t xml:space="preserve">the macroeconomic volatilities in the bottom panel of Table </w:t>
      </w:r>
      <w:r w:rsidR="00A13943">
        <w:rPr>
          <w:rFonts w:ascii="Times New Roman" w:hAnsi="Times New Roman" w:cs="Times New Roman"/>
          <w:color w:val="0000FF"/>
        </w:rPr>
        <w:t>2</w:t>
      </w:r>
      <w:r w:rsidR="0042698B">
        <w:rPr>
          <w:rFonts w:ascii="Times New Roman" w:hAnsi="Times New Roman" w:cs="Times New Roman"/>
          <w:color w:val="0000FF"/>
        </w:rPr>
        <w:t xml:space="preserve">, but </w:t>
      </w:r>
      <w:r w:rsidR="0070572D">
        <w:rPr>
          <w:rFonts w:ascii="Times New Roman" w:hAnsi="Times New Roman" w:cs="Times New Roman"/>
          <w:color w:val="0000FF"/>
        </w:rPr>
        <w:t>is less central to the question studied here than in</w:t>
      </w:r>
      <w:r w:rsidR="005240CC">
        <w:rPr>
          <w:rFonts w:ascii="Times New Roman" w:hAnsi="Times New Roman" w:cs="Times New Roman"/>
          <w:color w:val="0000FF"/>
        </w:rPr>
        <w:t xml:space="preserve"> the </w:t>
      </w:r>
      <w:r w:rsidR="006C295A">
        <w:rPr>
          <w:rFonts w:ascii="Times New Roman" w:hAnsi="Times New Roman" w:cs="Times New Roman"/>
          <w:color w:val="0000FF"/>
        </w:rPr>
        <w:t>macroeconomics literature on regime switches.</w:t>
      </w:r>
      <w:r w:rsidR="00D40AFE">
        <w:rPr>
          <w:rFonts w:ascii="Times New Roman" w:hAnsi="Times New Roman" w:cs="Times New Roman"/>
          <w:color w:val="0000FF"/>
        </w:rPr>
        <w:t xml:space="preserve"> </w:t>
      </w:r>
      <w:r w:rsidR="00113AF3">
        <w:rPr>
          <w:rFonts w:ascii="Times New Roman" w:hAnsi="Times New Roman" w:cs="Times New Roman"/>
          <w:color w:val="0000FF"/>
        </w:rPr>
        <w:t>The revised manuscript clarifies the relationship to Liu, Waggoner, and Zha (2011) and Bianchi and Ilut (2017) in the introduction (</w:t>
      </w:r>
      <w:r w:rsidR="00113AF3" w:rsidRPr="00113AF3">
        <w:rPr>
          <w:rFonts w:ascii="Times New Roman" w:hAnsi="Times New Roman" w:cs="Times New Roman"/>
          <w:b/>
          <w:bCs/>
          <w:color w:val="0000FF"/>
        </w:rPr>
        <w:t>p.</w:t>
      </w:r>
      <w:r w:rsidR="004800D7">
        <w:rPr>
          <w:rFonts w:ascii="Times New Roman" w:hAnsi="Times New Roman" w:cs="Times New Roman"/>
          <w:b/>
          <w:bCs/>
          <w:color w:val="0000FF"/>
        </w:rPr>
        <w:t>6</w:t>
      </w:r>
      <w:r w:rsidR="00113AF3" w:rsidRPr="00113AF3">
        <w:rPr>
          <w:rFonts w:ascii="Times New Roman" w:hAnsi="Times New Roman" w:cs="Times New Roman"/>
          <w:b/>
          <w:bCs/>
          <w:color w:val="0000FF"/>
        </w:rPr>
        <w:t xml:space="preserve"> “</w:t>
      </w:r>
      <w:r w:rsidR="004800D7">
        <w:rPr>
          <w:rFonts w:ascii="Times New Roman" w:hAnsi="Times New Roman" w:cs="Times New Roman"/>
          <w:b/>
          <w:bCs/>
          <w:color w:val="0000FF"/>
        </w:rPr>
        <w:t>Th</w:t>
      </w:r>
      <w:r w:rsidR="00956BAC">
        <w:rPr>
          <w:rFonts w:ascii="Times New Roman" w:hAnsi="Times New Roman" w:cs="Times New Roman"/>
          <w:b/>
          <w:bCs/>
          <w:color w:val="0000FF"/>
        </w:rPr>
        <w:t>e</w:t>
      </w:r>
      <w:r w:rsidR="004800D7">
        <w:rPr>
          <w:rFonts w:ascii="Times New Roman" w:hAnsi="Times New Roman" w:cs="Times New Roman"/>
          <w:b/>
          <w:bCs/>
          <w:color w:val="0000FF"/>
        </w:rPr>
        <w:t xml:space="preserve"> paper is also complementary to a long-standing </w:t>
      </w:r>
      <w:r w:rsidR="00956BAC">
        <w:rPr>
          <w:rFonts w:ascii="Times New Roman" w:hAnsi="Times New Roman" w:cs="Times New Roman"/>
          <w:b/>
          <w:bCs/>
          <w:color w:val="0000FF"/>
        </w:rPr>
        <w:t xml:space="preserve">macroeconomics </w:t>
      </w:r>
      <w:r w:rsidR="004800D7">
        <w:rPr>
          <w:rFonts w:ascii="Times New Roman" w:hAnsi="Times New Roman" w:cs="Times New Roman"/>
          <w:b/>
          <w:bCs/>
          <w:color w:val="0000FF"/>
        </w:rPr>
        <w:t>literature on DSGE models with regime switches (…)</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 xml:space="preserve">) </w:t>
      </w:r>
      <w:r w:rsidR="00113AF3">
        <w:rPr>
          <w:rFonts w:ascii="Times New Roman" w:hAnsi="Times New Roman" w:cs="Times New Roman"/>
          <w:color w:val="0000FF"/>
        </w:rPr>
        <w:t>and in the calibration section (</w:t>
      </w:r>
      <w:r w:rsidR="00113AF3" w:rsidRPr="00113AF3">
        <w:rPr>
          <w:rFonts w:ascii="Times New Roman" w:hAnsi="Times New Roman" w:cs="Times New Roman"/>
          <w:b/>
          <w:bCs/>
          <w:color w:val="0000FF"/>
        </w:rPr>
        <w:t>p.21, paragraph starting “</w:t>
      </w:r>
      <w:r w:rsidR="00AF5E68">
        <w:rPr>
          <w:rFonts w:ascii="Times New Roman" w:hAnsi="Times New Roman" w:cs="Times New Roman"/>
          <w:b/>
          <w:bCs/>
          <w:color w:val="0000FF"/>
        </w:rPr>
        <w:t>The change in the shock volatilities in Table 1 is consistent (…)</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w:t>
      </w:r>
      <w:r w:rsidR="00113AF3">
        <w:t xml:space="preserve"> </w:t>
      </w:r>
      <w:r w:rsidR="00113AF3">
        <w:rPr>
          <w:rFonts w:ascii="Times New Roman" w:hAnsi="Times New Roman" w:cs="Times New Roman"/>
          <w:color w:val="0000FF"/>
        </w:rPr>
        <w:t xml:space="preserve"> </w:t>
      </w:r>
    </w:p>
    <w:p w14:paraId="3946A139" w14:textId="77777777" w:rsidR="005560B4" w:rsidRDefault="005560B4" w:rsidP="005560B4">
      <w:pPr>
        <w:adjustRightInd w:val="0"/>
        <w:spacing w:after="0" w:line="240" w:lineRule="auto"/>
        <w:ind w:left="360"/>
        <w:rPr>
          <w:rFonts w:ascii="Times New Roman" w:hAnsi="Times New Roman" w:cs="Times New Roman"/>
          <w:color w:val="0000FF"/>
        </w:rPr>
      </w:pPr>
    </w:p>
    <w:p w14:paraId="59CE9804" w14:textId="16EA14B9" w:rsidR="005560B4" w:rsidRDefault="002C148B" w:rsidP="005560B4">
      <w:pPr>
        <w:adjustRightInd w:val="0"/>
        <w:spacing w:after="0" w:line="240" w:lineRule="auto"/>
        <w:ind w:left="360"/>
        <w:rPr>
          <w:rFonts w:ascii="Times New Roman" w:hAnsi="Times New Roman" w:cs="Times New Roman"/>
          <w:b/>
          <w:bCs/>
          <w:color w:val="0000FF"/>
        </w:rPr>
      </w:pPr>
      <w:r>
        <w:rPr>
          <w:rFonts w:ascii="Times New Roman" w:hAnsi="Times New Roman" w:cs="Times New Roman"/>
          <w:color w:val="0000FF"/>
        </w:rPr>
        <w:t xml:space="preserve">To further support the </w:t>
      </w:r>
      <w:r w:rsidR="005560B4">
        <w:rPr>
          <w:rFonts w:ascii="Times New Roman" w:hAnsi="Times New Roman" w:cs="Times New Roman"/>
          <w:color w:val="0000FF"/>
        </w:rPr>
        <w:t xml:space="preserve">high </w:t>
      </w:r>
      <w:r>
        <w:rPr>
          <w:rFonts w:ascii="Times New Roman" w:hAnsi="Times New Roman" w:cs="Times New Roman"/>
          <w:color w:val="0000FF"/>
        </w:rPr>
        <w:t xml:space="preserve">supply shock volatility </w:t>
      </w:r>
      <w:r w:rsidR="005560B4">
        <w:rPr>
          <w:rFonts w:ascii="Times New Roman" w:hAnsi="Times New Roman" w:cs="Times New Roman"/>
          <w:color w:val="0000FF"/>
        </w:rPr>
        <w:t xml:space="preserve">in </w:t>
      </w:r>
      <w:r w:rsidR="003C7A80">
        <w:rPr>
          <w:rFonts w:ascii="Times New Roman" w:hAnsi="Times New Roman" w:cs="Times New Roman"/>
          <w:color w:val="0000FF"/>
        </w:rPr>
        <w:t>my</w:t>
      </w:r>
      <w:r w:rsidR="005560B4">
        <w:rPr>
          <w:rFonts w:ascii="Times New Roman" w:hAnsi="Times New Roman" w:cs="Times New Roman"/>
          <w:color w:val="0000FF"/>
        </w:rPr>
        <w:t xml:space="preserve"> 1980s calibration</w:t>
      </w:r>
      <w:r>
        <w:rPr>
          <w:rFonts w:ascii="Times New Roman" w:hAnsi="Times New Roman" w:cs="Times New Roman"/>
          <w:color w:val="0000FF"/>
        </w:rPr>
        <w:t xml:space="preserve">, </w:t>
      </w:r>
      <w:r w:rsidR="004F63CD">
        <w:rPr>
          <w:rFonts w:ascii="Times New Roman" w:hAnsi="Times New Roman" w:cs="Times New Roman"/>
          <w:color w:val="0000FF"/>
        </w:rPr>
        <w:t>I added</w:t>
      </w:r>
      <w:r>
        <w:rPr>
          <w:rFonts w:ascii="Times New Roman" w:hAnsi="Times New Roman" w:cs="Times New Roman"/>
          <w:color w:val="0000FF"/>
        </w:rPr>
        <w:t xml:space="preserve"> </w:t>
      </w:r>
      <w:r w:rsidR="004F63CD">
        <w:rPr>
          <w:rFonts w:ascii="Times New Roman" w:hAnsi="Times New Roman" w:cs="Times New Roman"/>
          <w:color w:val="0000FF"/>
        </w:rPr>
        <w:t xml:space="preserve">a </w:t>
      </w:r>
      <w:r>
        <w:rPr>
          <w:rFonts w:ascii="Times New Roman" w:hAnsi="Times New Roman" w:cs="Times New Roman"/>
          <w:color w:val="0000FF"/>
        </w:rPr>
        <w:t xml:space="preserve">discussion </w:t>
      </w:r>
      <w:r w:rsidR="004F63CD">
        <w:rPr>
          <w:rFonts w:ascii="Times New Roman" w:hAnsi="Times New Roman" w:cs="Times New Roman"/>
          <w:color w:val="0000FF"/>
        </w:rPr>
        <w:t xml:space="preserve">of examples of supply shocks during this period, </w:t>
      </w:r>
      <w:r>
        <w:rPr>
          <w:rFonts w:ascii="Times New Roman" w:hAnsi="Times New Roman" w:cs="Times New Roman"/>
          <w:color w:val="0000FF"/>
        </w:rPr>
        <w:t>and a simple newspaper count exercise to the revised manuscript</w:t>
      </w:r>
      <w:r w:rsidR="005560B4">
        <w:rPr>
          <w:rFonts w:ascii="Times New Roman" w:hAnsi="Times New Roman" w:cs="Times New Roman"/>
          <w:color w:val="0000FF"/>
        </w:rPr>
        <w:t xml:space="preserve">. </w:t>
      </w:r>
      <w:r w:rsidR="00F97951">
        <w:rPr>
          <w:rFonts w:ascii="Times New Roman" w:hAnsi="Times New Roman" w:cs="Times New Roman"/>
          <w:color w:val="0000FF"/>
        </w:rPr>
        <w:t xml:space="preserve">The newspaper count exercise is shown in the </w:t>
      </w:r>
      <w:r w:rsidR="00F97951" w:rsidRPr="002C148B">
        <w:rPr>
          <w:rFonts w:ascii="Times New Roman" w:hAnsi="Times New Roman" w:cs="Times New Roman"/>
          <w:b/>
          <w:bCs/>
          <w:color w:val="0000FF"/>
        </w:rPr>
        <w:t>new Appendix Figure A1</w:t>
      </w:r>
      <w:r w:rsidR="00F97951">
        <w:rPr>
          <w:rFonts w:ascii="Times New Roman" w:hAnsi="Times New Roman" w:cs="Times New Roman"/>
          <w:color w:val="0000FF"/>
        </w:rPr>
        <w:t xml:space="preserve">, reproduced below for your convenience. </w:t>
      </w:r>
      <w:r w:rsidR="00956BAC">
        <w:rPr>
          <w:rFonts w:ascii="Times New Roman" w:hAnsi="Times New Roman" w:cs="Times New Roman"/>
          <w:color w:val="0000FF"/>
        </w:rPr>
        <w:t>The examples are discussed in</w:t>
      </w:r>
      <w:r w:rsidR="00EC41F8">
        <w:rPr>
          <w:rFonts w:ascii="Times New Roman" w:hAnsi="Times New Roman" w:cs="Times New Roman"/>
          <w:color w:val="0000FF"/>
        </w:rPr>
        <w:t xml:space="preserve"> the introduction (</w:t>
      </w:r>
      <w:r w:rsidR="003D54B5" w:rsidRPr="003D54B5">
        <w:rPr>
          <w:rFonts w:ascii="Times New Roman" w:hAnsi="Times New Roman" w:cs="Times New Roman"/>
          <w:b/>
          <w:bCs/>
          <w:color w:val="0000FF"/>
        </w:rPr>
        <w:t>p.3</w:t>
      </w:r>
      <w:r w:rsidR="003D54B5">
        <w:rPr>
          <w:rFonts w:ascii="Times New Roman" w:hAnsi="Times New Roman" w:cs="Times New Roman"/>
          <w:b/>
          <w:bCs/>
          <w:color w:val="0000FF"/>
        </w:rPr>
        <w:t xml:space="preserve"> </w:t>
      </w:r>
      <w:r w:rsidR="00EC41F8" w:rsidRPr="00EC41F8">
        <w:rPr>
          <w:rFonts w:ascii="Times New Roman" w:hAnsi="Times New Roman" w:cs="Times New Roman"/>
          <w:b/>
          <w:bCs/>
          <w:color w:val="0000FF"/>
        </w:rPr>
        <w:t>“The calibrated changes in the monetary policy rule and the nature of macroeconomic shocks are consistent with anecdotal evidence…”</w:t>
      </w:r>
      <w:r w:rsidR="00EC41F8">
        <w:rPr>
          <w:rFonts w:ascii="Times New Roman" w:hAnsi="Times New Roman" w:cs="Times New Roman"/>
          <w:color w:val="0000FF"/>
        </w:rPr>
        <w:t>)</w:t>
      </w:r>
      <w:r>
        <w:rPr>
          <w:rFonts w:ascii="Times New Roman" w:hAnsi="Times New Roman" w:cs="Times New Roman"/>
          <w:color w:val="0000FF"/>
        </w:rPr>
        <w:t xml:space="preserve"> and the calibration section </w:t>
      </w:r>
      <w:r w:rsidR="00113AF3" w:rsidRPr="003D54B5">
        <w:rPr>
          <w:rFonts w:ascii="Times New Roman" w:hAnsi="Times New Roman" w:cs="Times New Roman"/>
          <w:color w:val="0000FF"/>
        </w:rPr>
        <w:t>(</w:t>
      </w:r>
      <w:r w:rsidR="003D54B5">
        <w:rPr>
          <w:rFonts w:ascii="Times New Roman" w:hAnsi="Times New Roman" w:cs="Times New Roman"/>
          <w:b/>
          <w:bCs/>
          <w:color w:val="0000FF"/>
        </w:rPr>
        <w:t>last paragraph on p.18, and new footnote 14</w:t>
      </w:r>
      <w:r w:rsidR="003D54B5" w:rsidRPr="003D54B5">
        <w:rPr>
          <w:rFonts w:ascii="Times New Roman" w:hAnsi="Times New Roman" w:cs="Times New Roman"/>
          <w:color w:val="0000FF"/>
        </w:rPr>
        <w:t>)</w:t>
      </w:r>
      <w:r w:rsidR="003D54B5">
        <w:rPr>
          <w:rFonts w:ascii="Times New Roman" w:hAnsi="Times New Roman" w:cs="Times New Roman"/>
          <w:b/>
          <w:bCs/>
          <w:color w:val="0000FF"/>
        </w:rPr>
        <w:t xml:space="preserve">. </w:t>
      </w:r>
    </w:p>
    <w:p w14:paraId="186B8FCE" w14:textId="77777777" w:rsidR="00113AF3" w:rsidRDefault="00113AF3" w:rsidP="005560B4">
      <w:pPr>
        <w:adjustRightInd w:val="0"/>
        <w:spacing w:after="0" w:line="240" w:lineRule="auto"/>
        <w:ind w:left="360"/>
        <w:rPr>
          <w:rFonts w:ascii="Times New Roman" w:hAnsi="Times New Roman" w:cs="Times New Roman"/>
        </w:rPr>
      </w:pPr>
    </w:p>
    <w:p w14:paraId="0A59BB96" w14:textId="77777777" w:rsidR="00F97951" w:rsidRDefault="00F97951" w:rsidP="00F97951">
      <w:pPr>
        <w:widowControl w:val="0"/>
        <w:autoSpaceDE w:val="0"/>
        <w:autoSpaceDN w:val="0"/>
        <w:adjustRightInd w:val="0"/>
        <w:spacing w:after="0" w:line="240" w:lineRule="auto"/>
        <w:ind w:left="360"/>
        <w:jc w:val="both"/>
        <w:rPr>
          <w:rFonts w:ascii="Times New Roman" w:hAnsi="Times New Roman" w:cs="Times New Roman"/>
          <w:color w:val="0000FF"/>
        </w:rPr>
      </w:pPr>
    </w:p>
    <w:p w14:paraId="2F7E2E5A" w14:textId="77777777" w:rsidR="00F97951" w:rsidRPr="00911C0D" w:rsidRDefault="00F97951" w:rsidP="00F97951">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t>Figure A1: Relative Frequency of Supply and Inflation in WSJ Articles</w:t>
      </w:r>
    </w:p>
    <w:p w14:paraId="16C509C4" w14:textId="77777777" w:rsidR="00F97951" w:rsidRDefault="00F97951" w:rsidP="00F97951">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20145A3B" wp14:editId="47D63B7C">
            <wp:extent cx="5562161" cy="2990850"/>
            <wp:effectExtent l="0" t="0" r="635" b="0"/>
            <wp:docPr id="990170991"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66569440" w14:textId="342C9295" w:rsidR="004F63CD" w:rsidRDefault="004F63CD" w:rsidP="00F97951">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Following the suggestion of the AE, I also added a new reverse-engineering exercise showing that a high volatility of supply shocks is needed to explain the bond-stock betas of the 1980s starting from the 2000s calibration. These results are shown in the </w:t>
      </w:r>
      <w:r w:rsidRPr="004F63CD">
        <w:rPr>
          <w:rFonts w:ascii="Times New Roman" w:hAnsi="Times New Roman" w:cs="Times New Roman"/>
          <w:b/>
          <w:bCs/>
          <w:color w:val="0000FF"/>
        </w:rPr>
        <w:t>new Figure 8</w:t>
      </w:r>
      <w:r>
        <w:rPr>
          <w:rFonts w:ascii="Times New Roman" w:hAnsi="Times New Roman" w:cs="Times New Roman"/>
          <w:color w:val="0000FF"/>
        </w:rPr>
        <w:t xml:space="preserve"> in the paper and discussed in the </w:t>
      </w:r>
      <w:r w:rsidRPr="004F63CD">
        <w:rPr>
          <w:rFonts w:ascii="Times New Roman" w:hAnsi="Times New Roman" w:cs="Times New Roman"/>
          <w:b/>
          <w:bCs/>
          <w:color w:val="0000FF"/>
        </w:rPr>
        <w:t>new Section 4.4 starting on p.3</w:t>
      </w:r>
      <w:r w:rsidR="00956BAC">
        <w:rPr>
          <w:rFonts w:ascii="Times New Roman" w:hAnsi="Times New Roman" w:cs="Times New Roman"/>
          <w:b/>
          <w:bCs/>
          <w:color w:val="0000FF"/>
        </w:rPr>
        <w:t>1</w:t>
      </w:r>
      <w:r>
        <w:rPr>
          <w:rFonts w:ascii="Times New Roman" w:hAnsi="Times New Roman" w:cs="Times New Roman"/>
          <w:color w:val="0000FF"/>
        </w:rPr>
        <w:t xml:space="preserve">.  </w:t>
      </w:r>
    </w:p>
    <w:p w14:paraId="75FD1D4B" w14:textId="77777777" w:rsidR="00F97951" w:rsidRDefault="00F97951" w:rsidP="00113AF3">
      <w:pPr>
        <w:widowControl w:val="0"/>
        <w:autoSpaceDE w:val="0"/>
        <w:autoSpaceDN w:val="0"/>
        <w:adjustRightInd w:val="0"/>
        <w:spacing w:after="0" w:line="240" w:lineRule="auto"/>
        <w:ind w:left="360"/>
        <w:jc w:val="both"/>
        <w:rPr>
          <w:rFonts w:ascii="Times New Roman" w:hAnsi="Times New Roman" w:cs="Times New Roman"/>
          <w:color w:val="0000FF"/>
        </w:rPr>
      </w:pPr>
    </w:p>
    <w:p w14:paraId="2E24AC8C" w14:textId="53648975" w:rsidR="00113AF3" w:rsidRDefault="00113AF3" w:rsidP="00113AF3">
      <w:pPr>
        <w:widowControl w:val="0"/>
        <w:autoSpaceDE w:val="0"/>
        <w:autoSpaceDN w:val="0"/>
        <w:adjustRightInd w:val="0"/>
        <w:spacing w:after="0" w:line="240" w:lineRule="auto"/>
        <w:ind w:left="360"/>
        <w:jc w:val="both"/>
        <w:rPr>
          <w:rFonts w:ascii="Times New Roman" w:hAnsi="Times New Roman" w:cs="Times New Roman"/>
          <w:color w:val="0000FF"/>
        </w:rPr>
      </w:pPr>
    </w:p>
    <w:p w14:paraId="3B119808" w14:textId="4B256448" w:rsidR="00113AF3" w:rsidRPr="005560B4" w:rsidRDefault="00113AF3" w:rsidP="005560B4">
      <w:pPr>
        <w:adjustRightInd w:val="0"/>
        <w:spacing w:after="0" w:line="240" w:lineRule="auto"/>
        <w:ind w:left="360"/>
        <w:rPr>
          <w:rFonts w:ascii="Times New Roman" w:hAnsi="Times New Roman" w:cs="Times New Roman"/>
          <w:color w:val="0000FF"/>
        </w:rPr>
      </w:pPr>
    </w:p>
    <w:sectPr w:rsidR="00113AF3" w:rsidRPr="005560B4" w:rsidSect="00A81ECC">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4D6CFF" w14:textId="77777777" w:rsidR="00B15E96" w:rsidRDefault="00B15E96" w:rsidP="00C04384">
      <w:pPr>
        <w:spacing w:after="0" w:line="240" w:lineRule="auto"/>
      </w:pPr>
      <w:r>
        <w:separator/>
      </w:r>
    </w:p>
  </w:endnote>
  <w:endnote w:type="continuationSeparator" w:id="0">
    <w:p w14:paraId="14217D2A" w14:textId="77777777" w:rsidR="00B15E96" w:rsidRDefault="00B15E96" w:rsidP="00C0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6605430"/>
      <w:docPartObj>
        <w:docPartGallery w:val="Page Numbers (Bottom of Page)"/>
        <w:docPartUnique/>
      </w:docPartObj>
    </w:sdtPr>
    <w:sdtEndPr>
      <w:rPr>
        <w:noProof/>
      </w:rPr>
    </w:sdtEndPr>
    <w:sdtContent>
      <w:p w14:paraId="3D4C1920" w14:textId="05627718" w:rsidR="007C3211" w:rsidRDefault="007C3211">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0BE35B6F" w14:textId="77777777" w:rsidR="007C3211" w:rsidRDefault="007C3211">
    <w:pPr>
      <w:pStyle w:val="Footer"/>
    </w:pPr>
  </w:p>
  <w:p w14:paraId="4A02D217" w14:textId="77777777" w:rsidR="007C3211" w:rsidRDefault="007C3211"/>
  <w:p w14:paraId="611D8554" w14:textId="77777777" w:rsidR="007C3211" w:rsidRDefault="007C32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1FDE4F" w14:textId="77777777" w:rsidR="00B15E96" w:rsidRDefault="00B15E96" w:rsidP="00C04384">
      <w:pPr>
        <w:spacing w:after="0" w:line="240" w:lineRule="auto"/>
      </w:pPr>
      <w:r>
        <w:separator/>
      </w:r>
    </w:p>
  </w:footnote>
  <w:footnote w:type="continuationSeparator" w:id="0">
    <w:p w14:paraId="1E9CCA56" w14:textId="77777777" w:rsidR="00B15E96" w:rsidRDefault="00B15E96" w:rsidP="00C04384">
      <w:pPr>
        <w:spacing w:after="0" w:line="240" w:lineRule="auto"/>
      </w:pPr>
      <w:r>
        <w:continuationSeparator/>
      </w:r>
    </w:p>
  </w:footnote>
  <w:footnote w:id="1">
    <w:p w14:paraId="326EE25E" w14:textId="77777777" w:rsidR="00F303D9" w:rsidRPr="00AE5C04" w:rsidRDefault="00F303D9" w:rsidP="00F303D9">
      <w:pPr>
        <w:pStyle w:val="FootnoteText"/>
        <w:rPr>
          <w:rFonts w:ascii="Times New Roman" w:hAnsi="Times New Roman" w:cs="Times New Roman"/>
        </w:rPr>
      </w:pPr>
      <w:r w:rsidRPr="00AE5C04">
        <w:rPr>
          <w:rStyle w:val="FootnoteReference"/>
          <w:rFonts w:ascii="Times New Roman" w:hAnsi="Times New Roman" w:cs="Times New Roman"/>
        </w:rPr>
        <w:footnoteRef/>
      </w:r>
      <w:r w:rsidRPr="00AE5C04">
        <w:rPr>
          <w:rFonts w:ascii="Times New Roman" w:hAnsi="Times New Roman" w:cs="Times New Roman"/>
        </w:rPr>
        <w:t xml:space="preserve"> This paper has a nice review of this period https://www.aeaweb.org/articles?id=10.1257/jep.21.4.47</w:t>
      </w:r>
    </w:p>
  </w:footnote>
  <w:footnote w:id="2">
    <w:p w14:paraId="62EEECC3" w14:textId="77777777" w:rsidR="00F303D9" w:rsidRPr="00130791" w:rsidRDefault="00F303D9" w:rsidP="00F303D9">
      <w:pPr>
        <w:pStyle w:val="FootnoteText"/>
        <w:rPr>
          <w:rFonts w:ascii="Times New Roman" w:hAnsi="Times New Roman" w:cs="Times New Roman"/>
        </w:rPr>
      </w:pPr>
      <w:r w:rsidRPr="00130791">
        <w:rPr>
          <w:rStyle w:val="FootnoteReference"/>
          <w:rFonts w:ascii="Times New Roman" w:hAnsi="Times New Roman" w:cs="Times New Roman"/>
        </w:rPr>
        <w:footnoteRef/>
      </w:r>
      <w:r w:rsidRPr="00130791">
        <w:rPr>
          <w:rFonts w:ascii="Times New Roman" w:hAnsi="Times New Roman" w:cs="Times New Roman"/>
        </w:rPr>
        <w:t xml:space="preserve"> The baseline negative bond-stock correlations are likely driven by risk premium or sentiment shocks (or any </w:t>
      </w:r>
      <w:r>
        <w:rPr>
          <w:rFonts w:ascii="Times New Roman" w:hAnsi="Times New Roman" w:cs="Times New Roman" w:hint="eastAsia"/>
        </w:rPr>
        <w:t>fi</w:t>
      </w:r>
      <w:r w:rsidRPr="00130791">
        <w:rPr>
          <w:rFonts w:ascii="Times New Roman" w:hAnsi="Times New Roman" w:cs="Times New Roman"/>
        </w:rPr>
        <w:t>nancial shock that a</w:t>
      </w:r>
      <w:r>
        <w:rPr>
          <w:rFonts w:ascii="Times New Roman" w:eastAsia="Malgun Gothic" w:hAnsi="Times New Roman" w:cs="Times New Roman" w:hint="eastAsia"/>
        </w:rPr>
        <w:t>ff</w:t>
      </w:r>
      <w:r w:rsidRPr="00130791">
        <w:rPr>
          <w:rFonts w:ascii="Times New Roman" w:hAnsi="Times New Roman" w:cs="Times New Roman"/>
        </w:rPr>
        <w:t>ects stock prices more than bond prices). These shocks are common and they a</w:t>
      </w:r>
      <w:r>
        <w:rPr>
          <w:rFonts w:ascii="Times New Roman" w:hAnsi="Times New Roman" w:cs="Times New Roman" w:hint="eastAsia"/>
        </w:rPr>
        <w:t>ff</w:t>
      </w:r>
      <w:r w:rsidRPr="00130791">
        <w:rPr>
          <w:rFonts w:ascii="Times New Roman" w:hAnsi="Times New Roman" w:cs="Times New Roman"/>
        </w:rPr>
        <w:t>ect stock prices without changing potential output by much. The Fed naturally responds to these shocks in a stabilizing direction, e.g., they cut rates after a stock price decline (the Fed put). This response (and its anticipation) creates a negative correlation between stocks and bonds.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200B0"/>
    <w:multiLevelType w:val="hybridMultilevel"/>
    <w:tmpl w:val="12FEE1DC"/>
    <w:lvl w:ilvl="0" w:tplc="04090001">
      <w:start w:val="1"/>
      <w:numFmt w:val="bullet"/>
      <w:lvlText w:val=""/>
      <w:lvlJc w:val="left"/>
      <w:pPr>
        <w:ind w:left="1958" w:hanging="360"/>
      </w:pPr>
      <w:rPr>
        <w:rFonts w:ascii="Symbol" w:hAnsi="Symbol" w:hint="default"/>
      </w:rPr>
    </w:lvl>
    <w:lvl w:ilvl="1" w:tplc="04090003" w:tentative="1">
      <w:start w:val="1"/>
      <w:numFmt w:val="bullet"/>
      <w:lvlText w:val="o"/>
      <w:lvlJc w:val="left"/>
      <w:pPr>
        <w:ind w:left="2678" w:hanging="360"/>
      </w:pPr>
      <w:rPr>
        <w:rFonts w:ascii="Courier New" w:hAnsi="Courier New" w:cs="Courier New" w:hint="default"/>
      </w:rPr>
    </w:lvl>
    <w:lvl w:ilvl="2" w:tplc="04090005" w:tentative="1">
      <w:start w:val="1"/>
      <w:numFmt w:val="bullet"/>
      <w:lvlText w:val=""/>
      <w:lvlJc w:val="left"/>
      <w:pPr>
        <w:ind w:left="3398" w:hanging="360"/>
      </w:pPr>
      <w:rPr>
        <w:rFonts w:ascii="Wingdings" w:hAnsi="Wingdings" w:hint="default"/>
      </w:rPr>
    </w:lvl>
    <w:lvl w:ilvl="3" w:tplc="04090001" w:tentative="1">
      <w:start w:val="1"/>
      <w:numFmt w:val="bullet"/>
      <w:lvlText w:val=""/>
      <w:lvlJc w:val="left"/>
      <w:pPr>
        <w:ind w:left="4118" w:hanging="360"/>
      </w:pPr>
      <w:rPr>
        <w:rFonts w:ascii="Symbol" w:hAnsi="Symbol" w:hint="default"/>
      </w:rPr>
    </w:lvl>
    <w:lvl w:ilvl="4" w:tplc="04090003" w:tentative="1">
      <w:start w:val="1"/>
      <w:numFmt w:val="bullet"/>
      <w:lvlText w:val="o"/>
      <w:lvlJc w:val="left"/>
      <w:pPr>
        <w:ind w:left="4838" w:hanging="360"/>
      </w:pPr>
      <w:rPr>
        <w:rFonts w:ascii="Courier New" w:hAnsi="Courier New" w:cs="Courier New" w:hint="default"/>
      </w:rPr>
    </w:lvl>
    <w:lvl w:ilvl="5" w:tplc="04090005" w:tentative="1">
      <w:start w:val="1"/>
      <w:numFmt w:val="bullet"/>
      <w:lvlText w:val=""/>
      <w:lvlJc w:val="left"/>
      <w:pPr>
        <w:ind w:left="5558" w:hanging="360"/>
      </w:pPr>
      <w:rPr>
        <w:rFonts w:ascii="Wingdings" w:hAnsi="Wingdings" w:hint="default"/>
      </w:rPr>
    </w:lvl>
    <w:lvl w:ilvl="6" w:tplc="04090001" w:tentative="1">
      <w:start w:val="1"/>
      <w:numFmt w:val="bullet"/>
      <w:lvlText w:val=""/>
      <w:lvlJc w:val="left"/>
      <w:pPr>
        <w:ind w:left="6278" w:hanging="360"/>
      </w:pPr>
      <w:rPr>
        <w:rFonts w:ascii="Symbol" w:hAnsi="Symbol" w:hint="default"/>
      </w:rPr>
    </w:lvl>
    <w:lvl w:ilvl="7" w:tplc="04090003" w:tentative="1">
      <w:start w:val="1"/>
      <w:numFmt w:val="bullet"/>
      <w:lvlText w:val="o"/>
      <w:lvlJc w:val="left"/>
      <w:pPr>
        <w:ind w:left="6998" w:hanging="360"/>
      </w:pPr>
      <w:rPr>
        <w:rFonts w:ascii="Courier New" w:hAnsi="Courier New" w:cs="Courier New" w:hint="default"/>
      </w:rPr>
    </w:lvl>
    <w:lvl w:ilvl="8" w:tplc="04090005" w:tentative="1">
      <w:start w:val="1"/>
      <w:numFmt w:val="bullet"/>
      <w:lvlText w:val=""/>
      <w:lvlJc w:val="left"/>
      <w:pPr>
        <w:ind w:left="7718" w:hanging="360"/>
      </w:pPr>
      <w:rPr>
        <w:rFonts w:ascii="Wingdings" w:hAnsi="Wingdings" w:hint="default"/>
      </w:rPr>
    </w:lvl>
  </w:abstractNum>
  <w:abstractNum w:abstractNumId="1" w15:restartNumberingAfterBreak="0">
    <w:nsid w:val="0BAB4BAB"/>
    <w:multiLevelType w:val="hybridMultilevel"/>
    <w:tmpl w:val="5EC640D2"/>
    <w:lvl w:ilvl="0" w:tplc="D130AE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031BA"/>
    <w:multiLevelType w:val="hybridMultilevel"/>
    <w:tmpl w:val="BBBA494C"/>
    <w:lvl w:ilvl="0" w:tplc="039E271C">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022F4E"/>
    <w:multiLevelType w:val="hybridMultilevel"/>
    <w:tmpl w:val="1DD8494C"/>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4" w15:restartNumberingAfterBreak="0">
    <w:nsid w:val="1AE32C1D"/>
    <w:multiLevelType w:val="hybridMultilevel"/>
    <w:tmpl w:val="3D08E46A"/>
    <w:lvl w:ilvl="0" w:tplc="6B4A5934">
      <w:start w:val="1"/>
      <w:numFmt w:val="decimal"/>
      <w:lvlText w:val="%1."/>
      <w:lvlJc w:val="left"/>
      <w:pPr>
        <w:ind w:left="645" w:hanging="279"/>
      </w:pPr>
      <w:rPr>
        <w:rFonts w:ascii="Arial" w:eastAsia="Arial" w:hAnsi="Arial" w:hint="default"/>
        <w:w w:val="92"/>
        <w:sz w:val="22"/>
        <w:szCs w:val="22"/>
      </w:rPr>
    </w:lvl>
    <w:lvl w:ilvl="1" w:tplc="BC28F3FC">
      <w:start w:val="1"/>
      <w:numFmt w:val="bullet"/>
      <w:lvlText w:val="•"/>
      <w:lvlJc w:val="left"/>
      <w:pPr>
        <w:ind w:left="1125" w:hanging="219"/>
      </w:pPr>
      <w:rPr>
        <w:rFonts w:ascii="Arial" w:eastAsia="Arial" w:hAnsi="Arial" w:hint="default"/>
        <w:w w:val="141"/>
        <w:sz w:val="22"/>
        <w:szCs w:val="22"/>
      </w:rPr>
    </w:lvl>
    <w:lvl w:ilvl="2" w:tplc="915C1DC8">
      <w:start w:val="1"/>
      <w:numFmt w:val="bullet"/>
      <w:lvlText w:val="•"/>
      <w:lvlJc w:val="left"/>
      <w:pPr>
        <w:ind w:left="2000" w:hanging="219"/>
      </w:pPr>
      <w:rPr>
        <w:rFonts w:hint="default"/>
      </w:rPr>
    </w:lvl>
    <w:lvl w:ilvl="3" w:tplc="D8EE9ABA">
      <w:start w:val="1"/>
      <w:numFmt w:val="bullet"/>
      <w:lvlText w:val="•"/>
      <w:lvlJc w:val="left"/>
      <w:pPr>
        <w:ind w:left="2875" w:hanging="219"/>
      </w:pPr>
      <w:rPr>
        <w:rFonts w:hint="default"/>
      </w:rPr>
    </w:lvl>
    <w:lvl w:ilvl="4" w:tplc="4E800C56">
      <w:start w:val="1"/>
      <w:numFmt w:val="bullet"/>
      <w:lvlText w:val="•"/>
      <w:lvlJc w:val="left"/>
      <w:pPr>
        <w:ind w:left="3750" w:hanging="219"/>
      </w:pPr>
      <w:rPr>
        <w:rFonts w:hint="default"/>
      </w:rPr>
    </w:lvl>
    <w:lvl w:ilvl="5" w:tplc="BA6EA960">
      <w:start w:val="1"/>
      <w:numFmt w:val="bullet"/>
      <w:lvlText w:val="•"/>
      <w:lvlJc w:val="left"/>
      <w:pPr>
        <w:ind w:left="4625" w:hanging="219"/>
      </w:pPr>
      <w:rPr>
        <w:rFonts w:hint="default"/>
      </w:rPr>
    </w:lvl>
    <w:lvl w:ilvl="6" w:tplc="52EA2D7C">
      <w:start w:val="1"/>
      <w:numFmt w:val="bullet"/>
      <w:lvlText w:val="•"/>
      <w:lvlJc w:val="left"/>
      <w:pPr>
        <w:ind w:left="5500" w:hanging="219"/>
      </w:pPr>
      <w:rPr>
        <w:rFonts w:hint="default"/>
      </w:rPr>
    </w:lvl>
    <w:lvl w:ilvl="7" w:tplc="46EEA60C">
      <w:start w:val="1"/>
      <w:numFmt w:val="bullet"/>
      <w:lvlText w:val="•"/>
      <w:lvlJc w:val="left"/>
      <w:pPr>
        <w:ind w:left="6375" w:hanging="219"/>
      </w:pPr>
      <w:rPr>
        <w:rFonts w:hint="default"/>
      </w:rPr>
    </w:lvl>
    <w:lvl w:ilvl="8" w:tplc="8B0AA5D8">
      <w:start w:val="1"/>
      <w:numFmt w:val="bullet"/>
      <w:lvlText w:val="•"/>
      <w:lvlJc w:val="left"/>
      <w:pPr>
        <w:ind w:left="7250" w:hanging="219"/>
      </w:pPr>
      <w:rPr>
        <w:rFonts w:hint="default"/>
      </w:rPr>
    </w:lvl>
  </w:abstractNum>
  <w:abstractNum w:abstractNumId="5" w15:restartNumberingAfterBreak="0">
    <w:nsid w:val="1C6753A3"/>
    <w:multiLevelType w:val="hybridMultilevel"/>
    <w:tmpl w:val="A90E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66148"/>
    <w:multiLevelType w:val="hybridMultilevel"/>
    <w:tmpl w:val="FD4E64AE"/>
    <w:lvl w:ilvl="0" w:tplc="FFFFFFFF">
      <w:start w:val="1"/>
      <w:numFmt w:val="decimal"/>
      <w:lvlText w:val="%1."/>
      <w:lvlJc w:val="left"/>
      <w:pPr>
        <w:ind w:left="800" w:hanging="360"/>
      </w:pPr>
      <w:rPr>
        <w:rFonts w:hint="default"/>
      </w:rPr>
    </w:lvl>
    <w:lvl w:ilvl="1" w:tplc="04090001">
      <w:start w:val="1"/>
      <w:numFmt w:val="bullet"/>
      <w:lvlText w:val=""/>
      <w:lvlJc w:val="left"/>
      <w:pPr>
        <w:ind w:left="1240" w:hanging="360"/>
      </w:pPr>
      <w:rPr>
        <w:rFonts w:ascii="Symbol" w:hAnsi="Symbol"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F8607F8"/>
    <w:multiLevelType w:val="hybridMultilevel"/>
    <w:tmpl w:val="58C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137DE"/>
    <w:multiLevelType w:val="hybridMultilevel"/>
    <w:tmpl w:val="FAF40C6E"/>
    <w:lvl w:ilvl="0" w:tplc="459CDD70">
      <w:start w:val="1"/>
      <w:numFmt w:val="decimal"/>
      <w:lvlText w:val="%1."/>
      <w:lvlJc w:val="left"/>
      <w:pPr>
        <w:ind w:left="645" w:hanging="279"/>
      </w:pPr>
      <w:rPr>
        <w:rFonts w:ascii="Arial" w:eastAsia="Arial" w:hAnsi="Arial" w:hint="default"/>
        <w:w w:val="92"/>
        <w:sz w:val="22"/>
        <w:szCs w:val="22"/>
      </w:rPr>
    </w:lvl>
    <w:lvl w:ilvl="1" w:tplc="C0E83912">
      <w:start w:val="1"/>
      <w:numFmt w:val="bullet"/>
      <w:lvlText w:val="•"/>
      <w:lvlJc w:val="left"/>
      <w:pPr>
        <w:ind w:left="1125" w:hanging="219"/>
      </w:pPr>
      <w:rPr>
        <w:rFonts w:ascii="Arial" w:eastAsia="Arial" w:hAnsi="Arial" w:hint="default"/>
        <w:w w:val="141"/>
        <w:sz w:val="22"/>
        <w:szCs w:val="22"/>
      </w:rPr>
    </w:lvl>
    <w:lvl w:ilvl="2" w:tplc="BCEC4CB2">
      <w:start w:val="1"/>
      <w:numFmt w:val="bullet"/>
      <w:lvlText w:val="•"/>
      <w:lvlJc w:val="left"/>
      <w:pPr>
        <w:ind w:left="2000" w:hanging="219"/>
      </w:pPr>
      <w:rPr>
        <w:rFonts w:hint="default"/>
      </w:rPr>
    </w:lvl>
    <w:lvl w:ilvl="3" w:tplc="D744FCCA">
      <w:start w:val="1"/>
      <w:numFmt w:val="bullet"/>
      <w:lvlText w:val="•"/>
      <w:lvlJc w:val="left"/>
      <w:pPr>
        <w:ind w:left="2875" w:hanging="219"/>
      </w:pPr>
      <w:rPr>
        <w:rFonts w:hint="default"/>
      </w:rPr>
    </w:lvl>
    <w:lvl w:ilvl="4" w:tplc="7298CDC2">
      <w:start w:val="1"/>
      <w:numFmt w:val="bullet"/>
      <w:lvlText w:val="•"/>
      <w:lvlJc w:val="left"/>
      <w:pPr>
        <w:ind w:left="3750" w:hanging="219"/>
      </w:pPr>
      <w:rPr>
        <w:rFonts w:hint="default"/>
      </w:rPr>
    </w:lvl>
    <w:lvl w:ilvl="5" w:tplc="1ACC4248">
      <w:start w:val="1"/>
      <w:numFmt w:val="bullet"/>
      <w:lvlText w:val="•"/>
      <w:lvlJc w:val="left"/>
      <w:pPr>
        <w:ind w:left="4625" w:hanging="219"/>
      </w:pPr>
      <w:rPr>
        <w:rFonts w:hint="default"/>
      </w:rPr>
    </w:lvl>
    <w:lvl w:ilvl="6" w:tplc="425AD60E">
      <w:start w:val="1"/>
      <w:numFmt w:val="bullet"/>
      <w:lvlText w:val="•"/>
      <w:lvlJc w:val="left"/>
      <w:pPr>
        <w:ind w:left="5500" w:hanging="219"/>
      </w:pPr>
      <w:rPr>
        <w:rFonts w:hint="default"/>
      </w:rPr>
    </w:lvl>
    <w:lvl w:ilvl="7" w:tplc="72D492C4">
      <w:start w:val="1"/>
      <w:numFmt w:val="bullet"/>
      <w:lvlText w:val="•"/>
      <w:lvlJc w:val="left"/>
      <w:pPr>
        <w:ind w:left="6375" w:hanging="219"/>
      </w:pPr>
      <w:rPr>
        <w:rFonts w:hint="default"/>
      </w:rPr>
    </w:lvl>
    <w:lvl w:ilvl="8" w:tplc="001C8A60">
      <w:start w:val="1"/>
      <w:numFmt w:val="bullet"/>
      <w:lvlText w:val="•"/>
      <w:lvlJc w:val="left"/>
      <w:pPr>
        <w:ind w:left="7250" w:hanging="219"/>
      </w:pPr>
      <w:rPr>
        <w:rFonts w:hint="default"/>
      </w:rPr>
    </w:lvl>
  </w:abstractNum>
  <w:abstractNum w:abstractNumId="9" w15:restartNumberingAfterBreak="0">
    <w:nsid w:val="2E8B409E"/>
    <w:multiLevelType w:val="hybridMultilevel"/>
    <w:tmpl w:val="281E8C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C54103"/>
    <w:multiLevelType w:val="hybridMultilevel"/>
    <w:tmpl w:val="66425788"/>
    <w:lvl w:ilvl="0" w:tplc="FFFFFFFF">
      <w:start w:val="1"/>
      <w:numFmt w:val="decimal"/>
      <w:lvlText w:val="%1."/>
      <w:lvlJc w:val="left"/>
      <w:pPr>
        <w:ind w:left="1240" w:hanging="440"/>
      </w:pPr>
    </w:lvl>
    <w:lvl w:ilvl="1" w:tplc="FFFFFFFF">
      <w:start w:val="1"/>
      <w:numFmt w:val="bullet"/>
      <w:lvlText w:val=""/>
      <w:lvlJc w:val="left"/>
      <w:pPr>
        <w:ind w:left="1680" w:hanging="440"/>
      </w:pPr>
      <w:rPr>
        <w:rFonts w:ascii="Wingdings" w:hAnsi="Wingdings" w:hint="default"/>
      </w:rPr>
    </w:lvl>
    <w:lvl w:ilvl="2" w:tplc="04090001">
      <w:start w:val="1"/>
      <w:numFmt w:val="bullet"/>
      <w:lvlText w:val=""/>
      <w:lvlJc w:val="left"/>
      <w:pPr>
        <w:ind w:left="2040" w:hanging="360"/>
      </w:pPr>
      <w:rPr>
        <w:rFonts w:ascii="Symbol" w:hAnsi="Symbol" w:hint="default"/>
      </w:r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1" w15:restartNumberingAfterBreak="0">
    <w:nsid w:val="36714AEF"/>
    <w:multiLevelType w:val="multilevel"/>
    <w:tmpl w:val="028A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908CB"/>
    <w:multiLevelType w:val="hybridMultilevel"/>
    <w:tmpl w:val="9474BF40"/>
    <w:lvl w:ilvl="0" w:tplc="9716CDC6">
      <w:start w:val="1"/>
      <w:numFmt w:val="decimal"/>
      <w:lvlText w:val="%1."/>
      <w:lvlJc w:val="left"/>
      <w:pPr>
        <w:ind w:left="800" w:hanging="360"/>
      </w:pPr>
      <w:rPr>
        <w:rFonts w:hint="default"/>
      </w:rPr>
    </w:lvl>
    <w:lvl w:ilvl="1" w:tplc="04090001">
      <w:start w:val="1"/>
      <w:numFmt w:val="bullet"/>
      <w:lvlText w:val=""/>
      <w:lvlJc w:val="left"/>
      <w:pPr>
        <w:ind w:left="2040" w:hanging="360"/>
      </w:pPr>
      <w:rPr>
        <w:rFonts w:ascii="Symbol" w:hAnsi="Symbol"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3F7B25CD"/>
    <w:multiLevelType w:val="hybridMultilevel"/>
    <w:tmpl w:val="02140EBC"/>
    <w:lvl w:ilvl="0" w:tplc="FFFFFFFF">
      <w:start w:val="1"/>
      <w:numFmt w:val="decimal"/>
      <w:lvlText w:val="%1."/>
      <w:lvlJc w:val="left"/>
      <w:pPr>
        <w:ind w:left="1240" w:hanging="440"/>
      </w:pPr>
    </w:lvl>
    <w:lvl w:ilvl="1" w:tplc="04090001">
      <w:start w:val="1"/>
      <w:numFmt w:val="bullet"/>
      <w:lvlText w:val=""/>
      <w:lvlJc w:val="left"/>
      <w:pPr>
        <w:ind w:left="1680" w:hanging="440"/>
      </w:pPr>
      <w:rPr>
        <w:rFonts w:ascii="Wingdings" w:hAnsi="Wingdings" w:hint="default"/>
      </w:rPr>
    </w:lvl>
    <w:lvl w:ilvl="2" w:tplc="FFFFFFFF">
      <w:start w:val="1"/>
      <w:numFmt w:val="lowerRoman"/>
      <w:lvlText w:val="%3."/>
      <w:lvlJc w:val="right"/>
      <w:pPr>
        <w:ind w:left="2120" w:hanging="440"/>
      </w:p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4" w15:restartNumberingAfterBreak="0">
    <w:nsid w:val="40F0719D"/>
    <w:multiLevelType w:val="hybridMultilevel"/>
    <w:tmpl w:val="0234D784"/>
    <w:lvl w:ilvl="0" w:tplc="39784114">
      <w:start w:val="2"/>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86BF0"/>
    <w:multiLevelType w:val="hybridMultilevel"/>
    <w:tmpl w:val="47D40CE8"/>
    <w:lvl w:ilvl="0" w:tplc="9880FE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7519E"/>
    <w:multiLevelType w:val="hybridMultilevel"/>
    <w:tmpl w:val="9960811E"/>
    <w:lvl w:ilvl="0" w:tplc="997E23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B2155E"/>
    <w:multiLevelType w:val="hybridMultilevel"/>
    <w:tmpl w:val="D516351C"/>
    <w:lvl w:ilvl="0" w:tplc="BE2E92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34475"/>
    <w:multiLevelType w:val="hybridMultilevel"/>
    <w:tmpl w:val="6BD4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60743"/>
    <w:multiLevelType w:val="hybridMultilevel"/>
    <w:tmpl w:val="83C4981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56FE1631"/>
    <w:multiLevelType w:val="hybridMultilevel"/>
    <w:tmpl w:val="2D0805F0"/>
    <w:lvl w:ilvl="0" w:tplc="08060B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F334AD"/>
    <w:multiLevelType w:val="hybridMultilevel"/>
    <w:tmpl w:val="0CFC61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EA5134"/>
    <w:multiLevelType w:val="hybridMultilevel"/>
    <w:tmpl w:val="F3DAA84C"/>
    <w:lvl w:ilvl="0" w:tplc="0409000F">
      <w:start w:val="1"/>
      <w:numFmt w:val="decimal"/>
      <w:lvlText w:val="%1."/>
      <w:lvlJc w:val="left"/>
      <w:pPr>
        <w:ind w:left="1240" w:hanging="440"/>
      </w:pPr>
    </w:lvl>
    <w:lvl w:ilvl="1" w:tplc="04090019">
      <w:start w:val="1"/>
      <w:numFmt w:val="upperLetter"/>
      <w:lvlText w:val="%2."/>
      <w:lvlJc w:val="left"/>
      <w:pPr>
        <w:ind w:left="1680" w:hanging="440"/>
      </w:pPr>
    </w:lvl>
    <w:lvl w:ilvl="2" w:tplc="0409001B">
      <w:start w:val="1"/>
      <w:numFmt w:val="lowerRoman"/>
      <w:lvlText w:val="%3."/>
      <w:lvlJc w:val="right"/>
      <w:pPr>
        <w:ind w:left="2120" w:hanging="440"/>
      </w:pPr>
    </w:lvl>
    <w:lvl w:ilvl="3" w:tplc="0409000F">
      <w:start w:val="1"/>
      <w:numFmt w:val="decimal"/>
      <w:lvlText w:val="%4."/>
      <w:lvlJc w:val="left"/>
      <w:pPr>
        <w:ind w:left="2560" w:hanging="440"/>
      </w:pPr>
    </w:lvl>
    <w:lvl w:ilvl="4" w:tplc="04090019">
      <w:start w:val="1"/>
      <w:numFmt w:val="upperLetter"/>
      <w:lvlText w:val="%5."/>
      <w:lvlJc w:val="left"/>
      <w:pPr>
        <w:ind w:left="3000" w:hanging="440"/>
      </w:pPr>
    </w:lvl>
    <w:lvl w:ilvl="5" w:tplc="0409001B">
      <w:start w:val="1"/>
      <w:numFmt w:val="lowerRoman"/>
      <w:lvlText w:val="%6."/>
      <w:lvlJc w:val="right"/>
      <w:pPr>
        <w:ind w:left="3440" w:hanging="440"/>
      </w:pPr>
    </w:lvl>
    <w:lvl w:ilvl="6" w:tplc="0409000F">
      <w:start w:val="1"/>
      <w:numFmt w:val="decimal"/>
      <w:lvlText w:val="%7."/>
      <w:lvlJc w:val="left"/>
      <w:pPr>
        <w:ind w:left="3880" w:hanging="440"/>
      </w:pPr>
    </w:lvl>
    <w:lvl w:ilvl="7" w:tplc="04090019">
      <w:start w:val="1"/>
      <w:numFmt w:val="upperLetter"/>
      <w:lvlText w:val="%8."/>
      <w:lvlJc w:val="left"/>
      <w:pPr>
        <w:ind w:left="4320" w:hanging="440"/>
      </w:pPr>
    </w:lvl>
    <w:lvl w:ilvl="8" w:tplc="0409001B">
      <w:start w:val="1"/>
      <w:numFmt w:val="lowerRoman"/>
      <w:lvlText w:val="%9."/>
      <w:lvlJc w:val="right"/>
      <w:pPr>
        <w:ind w:left="4760" w:hanging="440"/>
      </w:pPr>
    </w:lvl>
  </w:abstractNum>
  <w:abstractNum w:abstractNumId="23" w15:restartNumberingAfterBreak="0">
    <w:nsid w:val="6CC6253B"/>
    <w:multiLevelType w:val="hybridMultilevel"/>
    <w:tmpl w:val="8BF0FA5A"/>
    <w:lvl w:ilvl="0" w:tplc="0409000F">
      <w:start w:val="1"/>
      <w:numFmt w:val="decimal"/>
      <w:lvlText w:val="%1."/>
      <w:lvlJc w:val="left"/>
      <w:pPr>
        <w:ind w:left="1280" w:hanging="440"/>
      </w:pPr>
    </w:lvl>
    <w:lvl w:ilvl="1" w:tplc="04090019">
      <w:start w:val="1"/>
      <w:numFmt w:val="upperLetter"/>
      <w:lvlText w:val="%2."/>
      <w:lvlJc w:val="left"/>
      <w:pPr>
        <w:ind w:left="1720" w:hanging="440"/>
      </w:pPr>
    </w:lvl>
    <w:lvl w:ilvl="2" w:tplc="0409001B">
      <w:start w:val="1"/>
      <w:numFmt w:val="lowerRoman"/>
      <w:lvlText w:val="%3."/>
      <w:lvlJc w:val="right"/>
      <w:pPr>
        <w:ind w:left="2160" w:hanging="440"/>
      </w:pPr>
    </w:lvl>
    <w:lvl w:ilvl="3" w:tplc="0409000F">
      <w:start w:val="1"/>
      <w:numFmt w:val="decimal"/>
      <w:lvlText w:val="%4."/>
      <w:lvlJc w:val="left"/>
      <w:pPr>
        <w:ind w:left="2520" w:hanging="360"/>
      </w:pPr>
    </w:lvl>
    <w:lvl w:ilvl="4" w:tplc="04090019">
      <w:start w:val="1"/>
      <w:numFmt w:val="upperLetter"/>
      <w:lvlText w:val="%5."/>
      <w:lvlJc w:val="left"/>
      <w:pPr>
        <w:ind w:left="3040" w:hanging="440"/>
      </w:pPr>
    </w:lvl>
    <w:lvl w:ilvl="5" w:tplc="0409001B">
      <w:start w:val="1"/>
      <w:numFmt w:val="lowerRoman"/>
      <w:lvlText w:val="%6."/>
      <w:lvlJc w:val="right"/>
      <w:pPr>
        <w:ind w:left="3480" w:hanging="440"/>
      </w:pPr>
    </w:lvl>
    <w:lvl w:ilvl="6" w:tplc="0409000F">
      <w:start w:val="1"/>
      <w:numFmt w:val="decimal"/>
      <w:lvlText w:val="%7."/>
      <w:lvlJc w:val="left"/>
      <w:pPr>
        <w:ind w:left="3920" w:hanging="440"/>
      </w:pPr>
    </w:lvl>
    <w:lvl w:ilvl="7" w:tplc="04090019">
      <w:start w:val="1"/>
      <w:numFmt w:val="upperLetter"/>
      <w:lvlText w:val="%8."/>
      <w:lvlJc w:val="left"/>
      <w:pPr>
        <w:ind w:left="4360" w:hanging="440"/>
      </w:pPr>
    </w:lvl>
    <w:lvl w:ilvl="8" w:tplc="0409001B">
      <w:start w:val="1"/>
      <w:numFmt w:val="lowerRoman"/>
      <w:lvlText w:val="%9."/>
      <w:lvlJc w:val="right"/>
      <w:pPr>
        <w:ind w:left="4800" w:hanging="440"/>
      </w:pPr>
    </w:lvl>
  </w:abstractNum>
  <w:abstractNum w:abstractNumId="24" w15:restartNumberingAfterBreak="0">
    <w:nsid w:val="6DD307E5"/>
    <w:multiLevelType w:val="hybridMultilevel"/>
    <w:tmpl w:val="F6EA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680CE3"/>
    <w:multiLevelType w:val="hybridMultilevel"/>
    <w:tmpl w:val="4844BC78"/>
    <w:lvl w:ilvl="0" w:tplc="FFFFFFFF">
      <w:start w:val="1"/>
      <w:numFmt w:val="decimal"/>
      <w:lvlText w:val="%1."/>
      <w:lvlJc w:val="left"/>
      <w:pPr>
        <w:ind w:left="800" w:hanging="360"/>
      </w:pPr>
      <w:rPr>
        <w:rFont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76E86D43"/>
    <w:multiLevelType w:val="hybridMultilevel"/>
    <w:tmpl w:val="096A6FCA"/>
    <w:lvl w:ilvl="0" w:tplc="0CD0E95C">
      <w:start w:val="1"/>
      <w:numFmt w:val="decimal"/>
      <w:lvlText w:val="%1."/>
      <w:lvlJc w:val="left"/>
      <w:pPr>
        <w:ind w:left="645" w:hanging="279"/>
      </w:pPr>
      <w:rPr>
        <w:rFonts w:ascii="Arial" w:eastAsia="Arial" w:hAnsi="Arial" w:hint="default"/>
        <w:w w:val="92"/>
        <w:sz w:val="22"/>
        <w:szCs w:val="22"/>
      </w:rPr>
    </w:lvl>
    <w:lvl w:ilvl="1" w:tplc="F252F96A">
      <w:start w:val="1"/>
      <w:numFmt w:val="lowerRoman"/>
      <w:lvlText w:val="%2)"/>
      <w:lvlJc w:val="left"/>
      <w:pPr>
        <w:ind w:left="863" w:hanging="219"/>
      </w:pPr>
      <w:rPr>
        <w:rFonts w:ascii="Arial" w:eastAsia="Arial" w:hAnsi="Arial" w:hint="default"/>
        <w:w w:val="119"/>
        <w:sz w:val="22"/>
        <w:szCs w:val="22"/>
      </w:rPr>
    </w:lvl>
    <w:lvl w:ilvl="2" w:tplc="DDFCCC5A">
      <w:start w:val="1"/>
      <w:numFmt w:val="bullet"/>
      <w:lvlText w:val="•"/>
      <w:lvlJc w:val="left"/>
      <w:pPr>
        <w:ind w:left="1767" w:hanging="219"/>
      </w:pPr>
      <w:rPr>
        <w:rFonts w:hint="default"/>
      </w:rPr>
    </w:lvl>
    <w:lvl w:ilvl="3" w:tplc="2CD2C596">
      <w:start w:val="1"/>
      <w:numFmt w:val="bullet"/>
      <w:lvlText w:val="•"/>
      <w:lvlJc w:val="left"/>
      <w:pPr>
        <w:ind w:left="2671" w:hanging="219"/>
      </w:pPr>
      <w:rPr>
        <w:rFonts w:hint="default"/>
      </w:rPr>
    </w:lvl>
    <w:lvl w:ilvl="4" w:tplc="ACCA61DC">
      <w:start w:val="1"/>
      <w:numFmt w:val="bullet"/>
      <w:lvlText w:val="•"/>
      <w:lvlJc w:val="left"/>
      <w:pPr>
        <w:ind w:left="3575" w:hanging="219"/>
      </w:pPr>
      <w:rPr>
        <w:rFonts w:hint="default"/>
      </w:rPr>
    </w:lvl>
    <w:lvl w:ilvl="5" w:tplc="D1AC4B82">
      <w:start w:val="1"/>
      <w:numFmt w:val="bullet"/>
      <w:lvlText w:val="•"/>
      <w:lvlJc w:val="left"/>
      <w:pPr>
        <w:ind w:left="4479" w:hanging="219"/>
      </w:pPr>
      <w:rPr>
        <w:rFonts w:hint="default"/>
      </w:rPr>
    </w:lvl>
    <w:lvl w:ilvl="6" w:tplc="2E48DA38">
      <w:start w:val="1"/>
      <w:numFmt w:val="bullet"/>
      <w:lvlText w:val="•"/>
      <w:lvlJc w:val="left"/>
      <w:pPr>
        <w:ind w:left="5383" w:hanging="219"/>
      </w:pPr>
      <w:rPr>
        <w:rFonts w:hint="default"/>
      </w:rPr>
    </w:lvl>
    <w:lvl w:ilvl="7" w:tplc="4BDEE8EC">
      <w:start w:val="1"/>
      <w:numFmt w:val="bullet"/>
      <w:lvlText w:val="•"/>
      <w:lvlJc w:val="left"/>
      <w:pPr>
        <w:ind w:left="6287" w:hanging="219"/>
      </w:pPr>
      <w:rPr>
        <w:rFonts w:hint="default"/>
      </w:rPr>
    </w:lvl>
    <w:lvl w:ilvl="8" w:tplc="40F8EF0E">
      <w:start w:val="1"/>
      <w:numFmt w:val="bullet"/>
      <w:lvlText w:val="•"/>
      <w:lvlJc w:val="left"/>
      <w:pPr>
        <w:ind w:left="7191" w:hanging="219"/>
      </w:pPr>
      <w:rPr>
        <w:rFonts w:hint="default"/>
      </w:rPr>
    </w:lvl>
  </w:abstractNum>
  <w:abstractNum w:abstractNumId="27" w15:restartNumberingAfterBreak="0">
    <w:nsid w:val="7E723396"/>
    <w:multiLevelType w:val="hybridMultilevel"/>
    <w:tmpl w:val="5E681836"/>
    <w:lvl w:ilvl="0" w:tplc="12D6084A">
      <w:start w:val="1"/>
      <w:numFmt w:val="decimal"/>
      <w:lvlText w:val="%1."/>
      <w:lvlJc w:val="left"/>
      <w:pPr>
        <w:ind w:left="645" w:hanging="279"/>
      </w:pPr>
      <w:rPr>
        <w:rFonts w:ascii="Arial" w:eastAsia="Arial" w:hAnsi="Arial" w:hint="default"/>
        <w:w w:val="92"/>
        <w:sz w:val="22"/>
        <w:szCs w:val="22"/>
      </w:rPr>
    </w:lvl>
    <w:lvl w:ilvl="1" w:tplc="6A105DC6">
      <w:start w:val="1"/>
      <w:numFmt w:val="lowerRoman"/>
      <w:lvlText w:val="%2)"/>
      <w:lvlJc w:val="left"/>
      <w:pPr>
        <w:ind w:left="863" w:hanging="219"/>
      </w:pPr>
      <w:rPr>
        <w:rFonts w:ascii="Arial" w:eastAsia="Arial" w:hAnsi="Arial" w:hint="default"/>
        <w:w w:val="119"/>
        <w:sz w:val="22"/>
        <w:szCs w:val="22"/>
      </w:rPr>
    </w:lvl>
    <w:lvl w:ilvl="2" w:tplc="E5A47800">
      <w:start w:val="1"/>
      <w:numFmt w:val="bullet"/>
      <w:lvlText w:val="•"/>
      <w:lvlJc w:val="left"/>
      <w:pPr>
        <w:ind w:left="1767" w:hanging="219"/>
      </w:pPr>
      <w:rPr>
        <w:rFonts w:hint="default"/>
      </w:rPr>
    </w:lvl>
    <w:lvl w:ilvl="3" w:tplc="248C5FFC">
      <w:start w:val="1"/>
      <w:numFmt w:val="bullet"/>
      <w:lvlText w:val="•"/>
      <w:lvlJc w:val="left"/>
      <w:pPr>
        <w:ind w:left="2671" w:hanging="219"/>
      </w:pPr>
      <w:rPr>
        <w:rFonts w:hint="default"/>
      </w:rPr>
    </w:lvl>
    <w:lvl w:ilvl="4" w:tplc="E57EA1FA">
      <w:start w:val="1"/>
      <w:numFmt w:val="bullet"/>
      <w:lvlText w:val="•"/>
      <w:lvlJc w:val="left"/>
      <w:pPr>
        <w:ind w:left="3575" w:hanging="219"/>
      </w:pPr>
      <w:rPr>
        <w:rFonts w:hint="default"/>
      </w:rPr>
    </w:lvl>
    <w:lvl w:ilvl="5" w:tplc="76BC7C7C">
      <w:start w:val="1"/>
      <w:numFmt w:val="bullet"/>
      <w:lvlText w:val="•"/>
      <w:lvlJc w:val="left"/>
      <w:pPr>
        <w:ind w:left="4479" w:hanging="219"/>
      </w:pPr>
      <w:rPr>
        <w:rFonts w:hint="default"/>
      </w:rPr>
    </w:lvl>
    <w:lvl w:ilvl="6" w:tplc="38FA2428">
      <w:start w:val="1"/>
      <w:numFmt w:val="bullet"/>
      <w:lvlText w:val="•"/>
      <w:lvlJc w:val="left"/>
      <w:pPr>
        <w:ind w:left="5383" w:hanging="219"/>
      </w:pPr>
      <w:rPr>
        <w:rFonts w:hint="default"/>
      </w:rPr>
    </w:lvl>
    <w:lvl w:ilvl="7" w:tplc="81ECCA92">
      <w:start w:val="1"/>
      <w:numFmt w:val="bullet"/>
      <w:lvlText w:val="•"/>
      <w:lvlJc w:val="left"/>
      <w:pPr>
        <w:ind w:left="6287" w:hanging="219"/>
      </w:pPr>
      <w:rPr>
        <w:rFonts w:hint="default"/>
      </w:rPr>
    </w:lvl>
    <w:lvl w:ilvl="8" w:tplc="E246478E">
      <w:start w:val="1"/>
      <w:numFmt w:val="bullet"/>
      <w:lvlText w:val="•"/>
      <w:lvlJc w:val="left"/>
      <w:pPr>
        <w:ind w:left="7191" w:hanging="219"/>
      </w:pPr>
      <w:rPr>
        <w:rFonts w:hint="default"/>
      </w:rPr>
    </w:lvl>
  </w:abstractNum>
  <w:num w:numId="1" w16cid:durableId="394474960">
    <w:abstractNumId w:val="18"/>
  </w:num>
  <w:num w:numId="2" w16cid:durableId="757366061">
    <w:abstractNumId w:val="20"/>
  </w:num>
  <w:num w:numId="3" w16cid:durableId="544024557">
    <w:abstractNumId w:val="14"/>
  </w:num>
  <w:num w:numId="4" w16cid:durableId="831681105">
    <w:abstractNumId w:val="8"/>
  </w:num>
  <w:num w:numId="5" w16cid:durableId="1234853715">
    <w:abstractNumId w:val="26"/>
  </w:num>
  <w:num w:numId="6" w16cid:durableId="1201435851">
    <w:abstractNumId w:val="4"/>
  </w:num>
  <w:num w:numId="7" w16cid:durableId="1211268208">
    <w:abstractNumId w:val="27"/>
  </w:num>
  <w:num w:numId="8" w16cid:durableId="561408953">
    <w:abstractNumId w:val="11"/>
  </w:num>
  <w:num w:numId="9" w16cid:durableId="1988703194">
    <w:abstractNumId w:val="15"/>
  </w:num>
  <w:num w:numId="10" w16cid:durableId="284385945">
    <w:abstractNumId w:val="5"/>
  </w:num>
  <w:num w:numId="11" w16cid:durableId="613056324">
    <w:abstractNumId w:val="1"/>
  </w:num>
  <w:num w:numId="12" w16cid:durableId="1545632130">
    <w:abstractNumId w:val="24"/>
  </w:num>
  <w:num w:numId="13" w16cid:durableId="2089694804">
    <w:abstractNumId w:val="7"/>
  </w:num>
  <w:num w:numId="14" w16cid:durableId="570577411">
    <w:abstractNumId w:val="9"/>
  </w:num>
  <w:num w:numId="15" w16cid:durableId="2066827734">
    <w:abstractNumId w:val="2"/>
  </w:num>
  <w:num w:numId="16" w16cid:durableId="839856700">
    <w:abstractNumId w:val="16"/>
  </w:num>
  <w:num w:numId="17" w16cid:durableId="549223316">
    <w:abstractNumId w:val="17"/>
  </w:num>
  <w:num w:numId="18" w16cid:durableId="1289316116">
    <w:abstractNumId w:val="23"/>
  </w:num>
  <w:num w:numId="19" w16cid:durableId="14963411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6191014">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9619563">
    <w:abstractNumId w:val="0"/>
  </w:num>
  <w:num w:numId="22" w16cid:durableId="537476318">
    <w:abstractNumId w:val="13"/>
  </w:num>
  <w:num w:numId="23" w16cid:durableId="1054700509">
    <w:abstractNumId w:val="10"/>
  </w:num>
  <w:num w:numId="24" w16cid:durableId="17900541">
    <w:abstractNumId w:val="12"/>
  </w:num>
  <w:num w:numId="25" w16cid:durableId="451368903">
    <w:abstractNumId w:val="25"/>
  </w:num>
  <w:num w:numId="26" w16cid:durableId="1218205134">
    <w:abstractNumId w:val="6"/>
  </w:num>
  <w:num w:numId="27" w16cid:durableId="1102535666">
    <w:abstractNumId w:val="3"/>
  </w:num>
  <w:num w:numId="28" w16cid:durableId="80955255">
    <w:abstractNumId w:val="21"/>
  </w:num>
  <w:num w:numId="29" w16cid:durableId="290398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8FD"/>
    <w:rsid w:val="00000435"/>
    <w:rsid w:val="00002CCC"/>
    <w:rsid w:val="0000457E"/>
    <w:rsid w:val="00005D67"/>
    <w:rsid w:val="00005F98"/>
    <w:rsid w:val="00006F28"/>
    <w:rsid w:val="000077A2"/>
    <w:rsid w:val="00007A6A"/>
    <w:rsid w:val="000141BD"/>
    <w:rsid w:val="000148B5"/>
    <w:rsid w:val="00014EED"/>
    <w:rsid w:val="000157E3"/>
    <w:rsid w:val="00015E53"/>
    <w:rsid w:val="00015EAE"/>
    <w:rsid w:val="000162F6"/>
    <w:rsid w:val="0001757A"/>
    <w:rsid w:val="000179F5"/>
    <w:rsid w:val="00017D94"/>
    <w:rsid w:val="0002171C"/>
    <w:rsid w:val="0002288D"/>
    <w:rsid w:val="00024DFF"/>
    <w:rsid w:val="00025B82"/>
    <w:rsid w:val="00026928"/>
    <w:rsid w:val="000269E1"/>
    <w:rsid w:val="00027037"/>
    <w:rsid w:val="00027A64"/>
    <w:rsid w:val="000301AC"/>
    <w:rsid w:val="00033994"/>
    <w:rsid w:val="000360EC"/>
    <w:rsid w:val="00036C51"/>
    <w:rsid w:val="00037903"/>
    <w:rsid w:val="00037C07"/>
    <w:rsid w:val="0004148D"/>
    <w:rsid w:val="00043178"/>
    <w:rsid w:val="000431BF"/>
    <w:rsid w:val="00045F40"/>
    <w:rsid w:val="000506C0"/>
    <w:rsid w:val="000528D6"/>
    <w:rsid w:val="00053C34"/>
    <w:rsid w:val="00054D89"/>
    <w:rsid w:val="00055A42"/>
    <w:rsid w:val="00057113"/>
    <w:rsid w:val="000600BB"/>
    <w:rsid w:val="000611F6"/>
    <w:rsid w:val="00061A65"/>
    <w:rsid w:val="00061ABE"/>
    <w:rsid w:val="00061E83"/>
    <w:rsid w:val="00062D0B"/>
    <w:rsid w:val="000641E5"/>
    <w:rsid w:val="000659BB"/>
    <w:rsid w:val="00066045"/>
    <w:rsid w:val="00070DA1"/>
    <w:rsid w:val="00070F1E"/>
    <w:rsid w:val="00073E9C"/>
    <w:rsid w:val="00074D07"/>
    <w:rsid w:val="000760D0"/>
    <w:rsid w:val="000763E6"/>
    <w:rsid w:val="00080712"/>
    <w:rsid w:val="00080FFB"/>
    <w:rsid w:val="0008110E"/>
    <w:rsid w:val="0008122B"/>
    <w:rsid w:val="000817BE"/>
    <w:rsid w:val="00084743"/>
    <w:rsid w:val="00085681"/>
    <w:rsid w:val="000856BF"/>
    <w:rsid w:val="00085C83"/>
    <w:rsid w:val="000878E8"/>
    <w:rsid w:val="00091AD5"/>
    <w:rsid w:val="00091B11"/>
    <w:rsid w:val="00092419"/>
    <w:rsid w:val="00092EE9"/>
    <w:rsid w:val="000936BB"/>
    <w:rsid w:val="00095407"/>
    <w:rsid w:val="00097D16"/>
    <w:rsid w:val="000A0CD9"/>
    <w:rsid w:val="000A0FE8"/>
    <w:rsid w:val="000A172D"/>
    <w:rsid w:val="000A2257"/>
    <w:rsid w:val="000A2927"/>
    <w:rsid w:val="000A4251"/>
    <w:rsid w:val="000B0584"/>
    <w:rsid w:val="000B31B5"/>
    <w:rsid w:val="000B3971"/>
    <w:rsid w:val="000B4932"/>
    <w:rsid w:val="000B5943"/>
    <w:rsid w:val="000B5A51"/>
    <w:rsid w:val="000B5F7C"/>
    <w:rsid w:val="000B6244"/>
    <w:rsid w:val="000B640A"/>
    <w:rsid w:val="000B7E91"/>
    <w:rsid w:val="000C0459"/>
    <w:rsid w:val="000C0484"/>
    <w:rsid w:val="000C15DB"/>
    <w:rsid w:val="000C1662"/>
    <w:rsid w:val="000C19B6"/>
    <w:rsid w:val="000C38F7"/>
    <w:rsid w:val="000C4021"/>
    <w:rsid w:val="000C4316"/>
    <w:rsid w:val="000C4A8D"/>
    <w:rsid w:val="000D1D41"/>
    <w:rsid w:val="000D1F33"/>
    <w:rsid w:val="000D2B97"/>
    <w:rsid w:val="000D32FD"/>
    <w:rsid w:val="000D4CED"/>
    <w:rsid w:val="000D4D8D"/>
    <w:rsid w:val="000D537A"/>
    <w:rsid w:val="000E06AB"/>
    <w:rsid w:val="000E1941"/>
    <w:rsid w:val="000E19FE"/>
    <w:rsid w:val="000E3F34"/>
    <w:rsid w:val="000E585F"/>
    <w:rsid w:val="000E5C4D"/>
    <w:rsid w:val="000E7455"/>
    <w:rsid w:val="000E763A"/>
    <w:rsid w:val="000F3DA5"/>
    <w:rsid w:val="000F4BFD"/>
    <w:rsid w:val="000F566E"/>
    <w:rsid w:val="000F68DE"/>
    <w:rsid w:val="000F7252"/>
    <w:rsid w:val="000F7EEC"/>
    <w:rsid w:val="001011AB"/>
    <w:rsid w:val="001021A4"/>
    <w:rsid w:val="00104516"/>
    <w:rsid w:val="0010666E"/>
    <w:rsid w:val="00111E78"/>
    <w:rsid w:val="001129F4"/>
    <w:rsid w:val="00113AF3"/>
    <w:rsid w:val="00114566"/>
    <w:rsid w:val="00117F9A"/>
    <w:rsid w:val="001206FE"/>
    <w:rsid w:val="00120BDE"/>
    <w:rsid w:val="00120D8E"/>
    <w:rsid w:val="00123542"/>
    <w:rsid w:val="00123CD5"/>
    <w:rsid w:val="001261B3"/>
    <w:rsid w:val="001264C5"/>
    <w:rsid w:val="00126AA8"/>
    <w:rsid w:val="0012738F"/>
    <w:rsid w:val="00127520"/>
    <w:rsid w:val="001302C0"/>
    <w:rsid w:val="001346EE"/>
    <w:rsid w:val="00134DD0"/>
    <w:rsid w:val="00135A08"/>
    <w:rsid w:val="00135E25"/>
    <w:rsid w:val="00136761"/>
    <w:rsid w:val="00136FBD"/>
    <w:rsid w:val="00140804"/>
    <w:rsid w:val="00140943"/>
    <w:rsid w:val="00140E95"/>
    <w:rsid w:val="00140F39"/>
    <w:rsid w:val="00141157"/>
    <w:rsid w:val="001418E2"/>
    <w:rsid w:val="00141F18"/>
    <w:rsid w:val="001420AE"/>
    <w:rsid w:val="0014272B"/>
    <w:rsid w:val="001430D1"/>
    <w:rsid w:val="0014453E"/>
    <w:rsid w:val="00144B73"/>
    <w:rsid w:val="00144CBE"/>
    <w:rsid w:val="00147233"/>
    <w:rsid w:val="001475F0"/>
    <w:rsid w:val="001512AA"/>
    <w:rsid w:val="00152528"/>
    <w:rsid w:val="00152CC2"/>
    <w:rsid w:val="00153DCD"/>
    <w:rsid w:val="00153E7E"/>
    <w:rsid w:val="001546D5"/>
    <w:rsid w:val="001601CC"/>
    <w:rsid w:val="00161208"/>
    <w:rsid w:val="001623F3"/>
    <w:rsid w:val="0016253D"/>
    <w:rsid w:val="001628A4"/>
    <w:rsid w:val="00162BEE"/>
    <w:rsid w:val="00164F58"/>
    <w:rsid w:val="00165493"/>
    <w:rsid w:val="00166411"/>
    <w:rsid w:val="001717F8"/>
    <w:rsid w:val="00172334"/>
    <w:rsid w:val="00172FE9"/>
    <w:rsid w:val="001736D9"/>
    <w:rsid w:val="001738AC"/>
    <w:rsid w:val="00175C2D"/>
    <w:rsid w:val="00175C6E"/>
    <w:rsid w:val="00175C95"/>
    <w:rsid w:val="00176021"/>
    <w:rsid w:val="00176545"/>
    <w:rsid w:val="00182744"/>
    <w:rsid w:val="00182B3A"/>
    <w:rsid w:val="0018368E"/>
    <w:rsid w:val="0018476B"/>
    <w:rsid w:val="00184BF9"/>
    <w:rsid w:val="001854E2"/>
    <w:rsid w:val="00185D72"/>
    <w:rsid w:val="001913E1"/>
    <w:rsid w:val="00192260"/>
    <w:rsid w:val="0019232D"/>
    <w:rsid w:val="00193958"/>
    <w:rsid w:val="00193C91"/>
    <w:rsid w:val="0019453B"/>
    <w:rsid w:val="00195447"/>
    <w:rsid w:val="001965F2"/>
    <w:rsid w:val="00197DD4"/>
    <w:rsid w:val="001A070E"/>
    <w:rsid w:val="001A0781"/>
    <w:rsid w:val="001A3008"/>
    <w:rsid w:val="001A48D5"/>
    <w:rsid w:val="001A579E"/>
    <w:rsid w:val="001A6E52"/>
    <w:rsid w:val="001A760A"/>
    <w:rsid w:val="001B167D"/>
    <w:rsid w:val="001B2206"/>
    <w:rsid w:val="001B2824"/>
    <w:rsid w:val="001B37F8"/>
    <w:rsid w:val="001B5608"/>
    <w:rsid w:val="001B6239"/>
    <w:rsid w:val="001B7410"/>
    <w:rsid w:val="001B77A4"/>
    <w:rsid w:val="001B7BB0"/>
    <w:rsid w:val="001C00B9"/>
    <w:rsid w:val="001C1272"/>
    <w:rsid w:val="001C2153"/>
    <w:rsid w:val="001C3347"/>
    <w:rsid w:val="001C3861"/>
    <w:rsid w:val="001C5CB6"/>
    <w:rsid w:val="001D00A9"/>
    <w:rsid w:val="001D0AAC"/>
    <w:rsid w:val="001D3BEC"/>
    <w:rsid w:val="001D565F"/>
    <w:rsid w:val="001D5C71"/>
    <w:rsid w:val="001D71FA"/>
    <w:rsid w:val="001E0CC1"/>
    <w:rsid w:val="001E20F4"/>
    <w:rsid w:val="001E27A0"/>
    <w:rsid w:val="001E3C72"/>
    <w:rsid w:val="001E5320"/>
    <w:rsid w:val="001E7523"/>
    <w:rsid w:val="001E7960"/>
    <w:rsid w:val="001F0C3A"/>
    <w:rsid w:val="001F1305"/>
    <w:rsid w:val="001F17D2"/>
    <w:rsid w:val="001F3A01"/>
    <w:rsid w:val="001F3D85"/>
    <w:rsid w:val="001F4ACD"/>
    <w:rsid w:val="001F4E5E"/>
    <w:rsid w:val="001F52C3"/>
    <w:rsid w:val="001F6681"/>
    <w:rsid w:val="001F6F89"/>
    <w:rsid w:val="00201418"/>
    <w:rsid w:val="00201878"/>
    <w:rsid w:val="00201B3B"/>
    <w:rsid w:val="00202AB1"/>
    <w:rsid w:val="002038BB"/>
    <w:rsid w:val="00204545"/>
    <w:rsid w:val="00204FA7"/>
    <w:rsid w:val="00207119"/>
    <w:rsid w:val="00210D1C"/>
    <w:rsid w:val="002111CA"/>
    <w:rsid w:val="00211AB7"/>
    <w:rsid w:val="0021791F"/>
    <w:rsid w:val="00217946"/>
    <w:rsid w:val="00217EE6"/>
    <w:rsid w:val="00220EE3"/>
    <w:rsid w:val="00221FD4"/>
    <w:rsid w:val="0022516B"/>
    <w:rsid w:val="00225361"/>
    <w:rsid w:val="0022561E"/>
    <w:rsid w:val="00226638"/>
    <w:rsid w:val="00226B75"/>
    <w:rsid w:val="00230EA7"/>
    <w:rsid w:val="00231F21"/>
    <w:rsid w:val="00233219"/>
    <w:rsid w:val="00234032"/>
    <w:rsid w:val="0023403B"/>
    <w:rsid w:val="002348CC"/>
    <w:rsid w:val="0023578E"/>
    <w:rsid w:val="002362B7"/>
    <w:rsid w:val="00236CC4"/>
    <w:rsid w:val="002417AF"/>
    <w:rsid w:val="00241858"/>
    <w:rsid w:val="00241D87"/>
    <w:rsid w:val="00242991"/>
    <w:rsid w:val="00243981"/>
    <w:rsid w:val="002458D6"/>
    <w:rsid w:val="00247E98"/>
    <w:rsid w:val="00250F27"/>
    <w:rsid w:val="00251F6F"/>
    <w:rsid w:val="00253276"/>
    <w:rsid w:val="00253320"/>
    <w:rsid w:val="00254238"/>
    <w:rsid w:val="0025503E"/>
    <w:rsid w:val="00257186"/>
    <w:rsid w:val="002571A5"/>
    <w:rsid w:val="00257AB3"/>
    <w:rsid w:val="00257C96"/>
    <w:rsid w:val="00260060"/>
    <w:rsid w:val="002604D2"/>
    <w:rsid w:val="00261002"/>
    <w:rsid w:val="0026237A"/>
    <w:rsid w:val="002625D1"/>
    <w:rsid w:val="00264C9B"/>
    <w:rsid w:val="00266618"/>
    <w:rsid w:val="0026726A"/>
    <w:rsid w:val="002715AD"/>
    <w:rsid w:val="00272855"/>
    <w:rsid w:val="00273828"/>
    <w:rsid w:val="002739F0"/>
    <w:rsid w:val="0027555B"/>
    <w:rsid w:val="002766A4"/>
    <w:rsid w:val="00276775"/>
    <w:rsid w:val="002768F5"/>
    <w:rsid w:val="00276D3E"/>
    <w:rsid w:val="002772E4"/>
    <w:rsid w:val="002813AD"/>
    <w:rsid w:val="00281692"/>
    <w:rsid w:val="00281881"/>
    <w:rsid w:val="00284412"/>
    <w:rsid w:val="00291CFA"/>
    <w:rsid w:val="002925A3"/>
    <w:rsid w:val="00292A39"/>
    <w:rsid w:val="00293171"/>
    <w:rsid w:val="002932D2"/>
    <w:rsid w:val="00294269"/>
    <w:rsid w:val="00294589"/>
    <w:rsid w:val="002947D4"/>
    <w:rsid w:val="00294E83"/>
    <w:rsid w:val="002A079C"/>
    <w:rsid w:val="002A1CDF"/>
    <w:rsid w:val="002A2AA8"/>
    <w:rsid w:val="002A312B"/>
    <w:rsid w:val="002A387A"/>
    <w:rsid w:val="002A3E2E"/>
    <w:rsid w:val="002A40D2"/>
    <w:rsid w:val="002A5B77"/>
    <w:rsid w:val="002A5D0D"/>
    <w:rsid w:val="002A7A21"/>
    <w:rsid w:val="002B003A"/>
    <w:rsid w:val="002B01CE"/>
    <w:rsid w:val="002B1F65"/>
    <w:rsid w:val="002B26DF"/>
    <w:rsid w:val="002B2B76"/>
    <w:rsid w:val="002B3E99"/>
    <w:rsid w:val="002B413F"/>
    <w:rsid w:val="002B66DD"/>
    <w:rsid w:val="002B764F"/>
    <w:rsid w:val="002B7B78"/>
    <w:rsid w:val="002C1382"/>
    <w:rsid w:val="002C148B"/>
    <w:rsid w:val="002C1D0E"/>
    <w:rsid w:val="002C23E2"/>
    <w:rsid w:val="002C24D6"/>
    <w:rsid w:val="002C281C"/>
    <w:rsid w:val="002C313D"/>
    <w:rsid w:val="002C3333"/>
    <w:rsid w:val="002C4DA1"/>
    <w:rsid w:val="002C6686"/>
    <w:rsid w:val="002D094B"/>
    <w:rsid w:val="002D1019"/>
    <w:rsid w:val="002D46D9"/>
    <w:rsid w:val="002D4BFD"/>
    <w:rsid w:val="002D4EE1"/>
    <w:rsid w:val="002D5488"/>
    <w:rsid w:val="002D5ED1"/>
    <w:rsid w:val="002D604B"/>
    <w:rsid w:val="002D6D38"/>
    <w:rsid w:val="002E0D97"/>
    <w:rsid w:val="002E2389"/>
    <w:rsid w:val="002E2FAE"/>
    <w:rsid w:val="002E6C39"/>
    <w:rsid w:val="002F1087"/>
    <w:rsid w:val="002F1B72"/>
    <w:rsid w:val="002F21A1"/>
    <w:rsid w:val="002F3F8D"/>
    <w:rsid w:val="002F4101"/>
    <w:rsid w:val="002F45BF"/>
    <w:rsid w:val="002F47E9"/>
    <w:rsid w:val="002F4B1B"/>
    <w:rsid w:val="002F6884"/>
    <w:rsid w:val="002F7785"/>
    <w:rsid w:val="00301D47"/>
    <w:rsid w:val="003036FF"/>
    <w:rsid w:val="003045B9"/>
    <w:rsid w:val="0030639D"/>
    <w:rsid w:val="00306826"/>
    <w:rsid w:val="00307FEC"/>
    <w:rsid w:val="0031061F"/>
    <w:rsid w:val="003123DF"/>
    <w:rsid w:val="00314CEF"/>
    <w:rsid w:val="00320696"/>
    <w:rsid w:val="003213B0"/>
    <w:rsid w:val="003222D8"/>
    <w:rsid w:val="00323286"/>
    <w:rsid w:val="003247D6"/>
    <w:rsid w:val="0032655B"/>
    <w:rsid w:val="00327733"/>
    <w:rsid w:val="00332907"/>
    <w:rsid w:val="00332BC8"/>
    <w:rsid w:val="00332F20"/>
    <w:rsid w:val="00333898"/>
    <w:rsid w:val="00334D03"/>
    <w:rsid w:val="00334E21"/>
    <w:rsid w:val="003369E2"/>
    <w:rsid w:val="00336F57"/>
    <w:rsid w:val="00337A40"/>
    <w:rsid w:val="00340704"/>
    <w:rsid w:val="00341841"/>
    <w:rsid w:val="0034349C"/>
    <w:rsid w:val="00343AB8"/>
    <w:rsid w:val="00344551"/>
    <w:rsid w:val="00344F0F"/>
    <w:rsid w:val="003515FF"/>
    <w:rsid w:val="0035188B"/>
    <w:rsid w:val="0035335D"/>
    <w:rsid w:val="003542D4"/>
    <w:rsid w:val="00354E4A"/>
    <w:rsid w:val="00354FE9"/>
    <w:rsid w:val="0035598D"/>
    <w:rsid w:val="0035754B"/>
    <w:rsid w:val="00357BB9"/>
    <w:rsid w:val="00357C4C"/>
    <w:rsid w:val="00360A08"/>
    <w:rsid w:val="003623A0"/>
    <w:rsid w:val="0036263B"/>
    <w:rsid w:val="00362760"/>
    <w:rsid w:val="00364C53"/>
    <w:rsid w:val="0036532B"/>
    <w:rsid w:val="003654EF"/>
    <w:rsid w:val="003659AD"/>
    <w:rsid w:val="00365F1D"/>
    <w:rsid w:val="00367097"/>
    <w:rsid w:val="00367910"/>
    <w:rsid w:val="003718D3"/>
    <w:rsid w:val="00372A3F"/>
    <w:rsid w:val="00373B39"/>
    <w:rsid w:val="0037482B"/>
    <w:rsid w:val="0037624F"/>
    <w:rsid w:val="0038003A"/>
    <w:rsid w:val="003816B6"/>
    <w:rsid w:val="00382A8B"/>
    <w:rsid w:val="0038330F"/>
    <w:rsid w:val="003843D9"/>
    <w:rsid w:val="003843DD"/>
    <w:rsid w:val="0038483C"/>
    <w:rsid w:val="003902AC"/>
    <w:rsid w:val="003904DA"/>
    <w:rsid w:val="00390A05"/>
    <w:rsid w:val="003927C2"/>
    <w:rsid w:val="00392ADB"/>
    <w:rsid w:val="00393225"/>
    <w:rsid w:val="003945BD"/>
    <w:rsid w:val="003951BA"/>
    <w:rsid w:val="00395576"/>
    <w:rsid w:val="0039732D"/>
    <w:rsid w:val="003974C7"/>
    <w:rsid w:val="00397927"/>
    <w:rsid w:val="00397953"/>
    <w:rsid w:val="00397A8A"/>
    <w:rsid w:val="003A110A"/>
    <w:rsid w:val="003A169D"/>
    <w:rsid w:val="003A2470"/>
    <w:rsid w:val="003A29D9"/>
    <w:rsid w:val="003A2C1A"/>
    <w:rsid w:val="003A4C9B"/>
    <w:rsid w:val="003A64FF"/>
    <w:rsid w:val="003A6609"/>
    <w:rsid w:val="003A6BD6"/>
    <w:rsid w:val="003A7BF0"/>
    <w:rsid w:val="003B3B7A"/>
    <w:rsid w:val="003B41D1"/>
    <w:rsid w:val="003B7156"/>
    <w:rsid w:val="003B7864"/>
    <w:rsid w:val="003C1749"/>
    <w:rsid w:val="003C1DD9"/>
    <w:rsid w:val="003C347D"/>
    <w:rsid w:val="003C397E"/>
    <w:rsid w:val="003C5071"/>
    <w:rsid w:val="003C5975"/>
    <w:rsid w:val="003C5BA2"/>
    <w:rsid w:val="003C7A80"/>
    <w:rsid w:val="003D0EA2"/>
    <w:rsid w:val="003D177F"/>
    <w:rsid w:val="003D2656"/>
    <w:rsid w:val="003D270F"/>
    <w:rsid w:val="003D4969"/>
    <w:rsid w:val="003D4F54"/>
    <w:rsid w:val="003D5222"/>
    <w:rsid w:val="003D54B5"/>
    <w:rsid w:val="003D7F16"/>
    <w:rsid w:val="003E10C3"/>
    <w:rsid w:val="003E133C"/>
    <w:rsid w:val="003E13E8"/>
    <w:rsid w:val="003E1FD7"/>
    <w:rsid w:val="003E28E3"/>
    <w:rsid w:val="003E2F1E"/>
    <w:rsid w:val="003E3378"/>
    <w:rsid w:val="003E3785"/>
    <w:rsid w:val="003E3EAD"/>
    <w:rsid w:val="003E42B3"/>
    <w:rsid w:val="003E4A15"/>
    <w:rsid w:val="003E57CC"/>
    <w:rsid w:val="003E5B73"/>
    <w:rsid w:val="003E6610"/>
    <w:rsid w:val="003E6B32"/>
    <w:rsid w:val="003E6E20"/>
    <w:rsid w:val="003F0A52"/>
    <w:rsid w:val="003F1E09"/>
    <w:rsid w:val="003F2174"/>
    <w:rsid w:val="003F4C3A"/>
    <w:rsid w:val="003F5107"/>
    <w:rsid w:val="003F518D"/>
    <w:rsid w:val="003F5DBB"/>
    <w:rsid w:val="00400378"/>
    <w:rsid w:val="004016D1"/>
    <w:rsid w:val="00401C8E"/>
    <w:rsid w:val="00404449"/>
    <w:rsid w:val="00407B0D"/>
    <w:rsid w:val="0041011B"/>
    <w:rsid w:val="004123C4"/>
    <w:rsid w:val="00415173"/>
    <w:rsid w:val="00416F23"/>
    <w:rsid w:val="00417DAB"/>
    <w:rsid w:val="004201B8"/>
    <w:rsid w:val="00421732"/>
    <w:rsid w:val="00422041"/>
    <w:rsid w:val="00425145"/>
    <w:rsid w:val="004261AB"/>
    <w:rsid w:val="0042698B"/>
    <w:rsid w:val="0043174F"/>
    <w:rsid w:val="00431C42"/>
    <w:rsid w:val="0043324F"/>
    <w:rsid w:val="00433607"/>
    <w:rsid w:val="00434C5E"/>
    <w:rsid w:val="0043656B"/>
    <w:rsid w:val="004365F3"/>
    <w:rsid w:val="004367D0"/>
    <w:rsid w:val="00436A4A"/>
    <w:rsid w:val="00437895"/>
    <w:rsid w:val="00440FC6"/>
    <w:rsid w:val="004423FC"/>
    <w:rsid w:val="00443CE1"/>
    <w:rsid w:val="00450445"/>
    <w:rsid w:val="00451204"/>
    <w:rsid w:val="00451C4C"/>
    <w:rsid w:val="00452A43"/>
    <w:rsid w:val="00453B9A"/>
    <w:rsid w:val="0045462E"/>
    <w:rsid w:val="00454C0C"/>
    <w:rsid w:val="00455412"/>
    <w:rsid w:val="00456BFE"/>
    <w:rsid w:val="00461A92"/>
    <w:rsid w:val="00461B63"/>
    <w:rsid w:val="0046217C"/>
    <w:rsid w:val="00462668"/>
    <w:rsid w:val="004638FE"/>
    <w:rsid w:val="00465AAF"/>
    <w:rsid w:val="00466179"/>
    <w:rsid w:val="00467BD3"/>
    <w:rsid w:val="004732AA"/>
    <w:rsid w:val="004744D0"/>
    <w:rsid w:val="00474825"/>
    <w:rsid w:val="00476D4B"/>
    <w:rsid w:val="004772C8"/>
    <w:rsid w:val="00477650"/>
    <w:rsid w:val="0047798E"/>
    <w:rsid w:val="004800D7"/>
    <w:rsid w:val="0048161B"/>
    <w:rsid w:val="00482AD4"/>
    <w:rsid w:val="00482F44"/>
    <w:rsid w:val="0048391E"/>
    <w:rsid w:val="00485C60"/>
    <w:rsid w:val="00486769"/>
    <w:rsid w:val="00487ADA"/>
    <w:rsid w:val="0049070C"/>
    <w:rsid w:val="00490719"/>
    <w:rsid w:val="00490D4F"/>
    <w:rsid w:val="00491257"/>
    <w:rsid w:val="004934DA"/>
    <w:rsid w:val="00494AF7"/>
    <w:rsid w:val="00495B13"/>
    <w:rsid w:val="00495D4B"/>
    <w:rsid w:val="0049606A"/>
    <w:rsid w:val="00496687"/>
    <w:rsid w:val="004970E5"/>
    <w:rsid w:val="00497885"/>
    <w:rsid w:val="004A0B02"/>
    <w:rsid w:val="004A0B92"/>
    <w:rsid w:val="004A1D0E"/>
    <w:rsid w:val="004A2B1F"/>
    <w:rsid w:val="004A2F29"/>
    <w:rsid w:val="004A31A6"/>
    <w:rsid w:val="004A36C1"/>
    <w:rsid w:val="004A46DE"/>
    <w:rsid w:val="004A4FC7"/>
    <w:rsid w:val="004A54B1"/>
    <w:rsid w:val="004A620B"/>
    <w:rsid w:val="004B08B0"/>
    <w:rsid w:val="004B0D7B"/>
    <w:rsid w:val="004B2295"/>
    <w:rsid w:val="004B35E8"/>
    <w:rsid w:val="004B38DD"/>
    <w:rsid w:val="004B3EFA"/>
    <w:rsid w:val="004B3F1B"/>
    <w:rsid w:val="004B4178"/>
    <w:rsid w:val="004B4434"/>
    <w:rsid w:val="004C0D4B"/>
    <w:rsid w:val="004C37BD"/>
    <w:rsid w:val="004C416B"/>
    <w:rsid w:val="004C45CE"/>
    <w:rsid w:val="004C4B9E"/>
    <w:rsid w:val="004C60DE"/>
    <w:rsid w:val="004C64B4"/>
    <w:rsid w:val="004D1D6B"/>
    <w:rsid w:val="004D260C"/>
    <w:rsid w:val="004D2611"/>
    <w:rsid w:val="004D4528"/>
    <w:rsid w:val="004D56BB"/>
    <w:rsid w:val="004D5E67"/>
    <w:rsid w:val="004E19F5"/>
    <w:rsid w:val="004E1FC2"/>
    <w:rsid w:val="004E2577"/>
    <w:rsid w:val="004E41BF"/>
    <w:rsid w:val="004E52C1"/>
    <w:rsid w:val="004E52E7"/>
    <w:rsid w:val="004E7289"/>
    <w:rsid w:val="004E78A4"/>
    <w:rsid w:val="004F022F"/>
    <w:rsid w:val="004F1321"/>
    <w:rsid w:val="004F1DF7"/>
    <w:rsid w:val="004F635B"/>
    <w:rsid w:val="004F63CD"/>
    <w:rsid w:val="004F6872"/>
    <w:rsid w:val="004F7184"/>
    <w:rsid w:val="004F7E9E"/>
    <w:rsid w:val="0050191E"/>
    <w:rsid w:val="0050199A"/>
    <w:rsid w:val="00502F3F"/>
    <w:rsid w:val="005031FD"/>
    <w:rsid w:val="0050467D"/>
    <w:rsid w:val="00504B52"/>
    <w:rsid w:val="00504F5C"/>
    <w:rsid w:val="00506236"/>
    <w:rsid w:val="00510E8A"/>
    <w:rsid w:val="00512C25"/>
    <w:rsid w:val="00515149"/>
    <w:rsid w:val="005163F4"/>
    <w:rsid w:val="0051666B"/>
    <w:rsid w:val="00516CF5"/>
    <w:rsid w:val="00517B2D"/>
    <w:rsid w:val="00517F77"/>
    <w:rsid w:val="005204C7"/>
    <w:rsid w:val="00520EE4"/>
    <w:rsid w:val="005210D0"/>
    <w:rsid w:val="00521346"/>
    <w:rsid w:val="005218FD"/>
    <w:rsid w:val="00521E22"/>
    <w:rsid w:val="005221D5"/>
    <w:rsid w:val="00522742"/>
    <w:rsid w:val="00523797"/>
    <w:rsid w:val="00523F40"/>
    <w:rsid w:val="005240CC"/>
    <w:rsid w:val="005254DB"/>
    <w:rsid w:val="00526E6E"/>
    <w:rsid w:val="00527662"/>
    <w:rsid w:val="005324DA"/>
    <w:rsid w:val="005325D4"/>
    <w:rsid w:val="005335E6"/>
    <w:rsid w:val="00536584"/>
    <w:rsid w:val="00537F9F"/>
    <w:rsid w:val="005400A9"/>
    <w:rsid w:val="00540268"/>
    <w:rsid w:val="00540D7A"/>
    <w:rsid w:val="00542E09"/>
    <w:rsid w:val="00543131"/>
    <w:rsid w:val="0054375E"/>
    <w:rsid w:val="00543BC0"/>
    <w:rsid w:val="00545FB9"/>
    <w:rsid w:val="0054647D"/>
    <w:rsid w:val="005476DB"/>
    <w:rsid w:val="00552B46"/>
    <w:rsid w:val="00552C91"/>
    <w:rsid w:val="005552C7"/>
    <w:rsid w:val="0055550F"/>
    <w:rsid w:val="00555A5B"/>
    <w:rsid w:val="005560B4"/>
    <w:rsid w:val="00556210"/>
    <w:rsid w:val="00556C6F"/>
    <w:rsid w:val="005570E0"/>
    <w:rsid w:val="00560DBC"/>
    <w:rsid w:val="00562DBA"/>
    <w:rsid w:val="00562E4F"/>
    <w:rsid w:val="00562F70"/>
    <w:rsid w:val="0056361E"/>
    <w:rsid w:val="005647A5"/>
    <w:rsid w:val="0056564A"/>
    <w:rsid w:val="00566033"/>
    <w:rsid w:val="00566257"/>
    <w:rsid w:val="005703F0"/>
    <w:rsid w:val="00570528"/>
    <w:rsid w:val="00572040"/>
    <w:rsid w:val="00575540"/>
    <w:rsid w:val="00576062"/>
    <w:rsid w:val="00577F6A"/>
    <w:rsid w:val="00580590"/>
    <w:rsid w:val="00580EF4"/>
    <w:rsid w:val="00581A9C"/>
    <w:rsid w:val="00581DFE"/>
    <w:rsid w:val="00582A94"/>
    <w:rsid w:val="00583BCA"/>
    <w:rsid w:val="005857CB"/>
    <w:rsid w:val="00585DE9"/>
    <w:rsid w:val="00592B8B"/>
    <w:rsid w:val="0059341F"/>
    <w:rsid w:val="00593A4F"/>
    <w:rsid w:val="00593B3F"/>
    <w:rsid w:val="0059479E"/>
    <w:rsid w:val="005950B5"/>
    <w:rsid w:val="005956F5"/>
    <w:rsid w:val="00595EE4"/>
    <w:rsid w:val="00596C4F"/>
    <w:rsid w:val="005A092F"/>
    <w:rsid w:val="005A0E6F"/>
    <w:rsid w:val="005A237E"/>
    <w:rsid w:val="005A2524"/>
    <w:rsid w:val="005A2A98"/>
    <w:rsid w:val="005A4306"/>
    <w:rsid w:val="005A5F10"/>
    <w:rsid w:val="005A70E3"/>
    <w:rsid w:val="005A7E52"/>
    <w:rsid w:val="005B01D7"/>
    <w:rsid w:val="005B06EE"/>
    <w:rsid w:val="005B3F74"/>
    <w:rsid w:val="005B4EE6"/>
    <w:rsid w:val="005B541C"/>
    <w:rsid w:val="005B54D8"/>
    <w:rsid w:val="005B5D7D"/>
    <w:rsid w:val="005B6095"/>
    <w:rsid w:val="005B6189"/>
    <w:rsid w:val="005B672C"/>
    <w:rsid w:val="005B6AA3"/>
    <w:rsid w:val="005C3C2D"/>
    <w:rsid w:val="005C4F7D"/>
    <w:rsid w:val="005C6DE1"/>
    <w:rsid w:val="005C7AEF"/>
    <w:rsid w:val="005D119C"/>
    <w:rsid w:val="005D169C"/>
    <w:rsid w:val="005D1E6F"/>
    <w:rsid w:val="005D2BD2"/>
    <w:rsid w:val="005D5DE9"/>
    <w:rsid w:val="005D76D9"/>
    <w:rsid w:val="005D7C1A"/>
    <w:rsid w:val="005E3960"/>
    <w:rsid w:val="005E39B7"/>
    <w:rsid w:val="005E50A6"/>
    <w:rsid w:val="005E58B3"/>
    <w:rsid w:val="005E5C0A"/>
    <w:rsid w:val="005E5DA6"/>
    <w:rsid w:val="005F071F"/>
    <w:rsid w:val="005F27B8"/>
    <w:rsid w:val="005F3896"/>
    <w:rsid w:val="005F423A"/>
    <w:rsid w:val="005F5625"/>
    <w:rsid w:val="005F58D1"/>
    <w:rsid w:val="005F672C"/>
    <w:rsid w:val="005F740D"/>
    <w:rsid w:val="005F76B6"/>
    <w:rsid w:val="005F7CBB"/>
    <w:rsid w:val="00600786"/>
    <w:rsid w:val="006009B2"/>
    <w:rsid w:val="00601FB8"/>
    <w:rsid w:val="006021F2"/>
    <w:rsid w:val="00602637"/>
    <w:rsid w:val="006039A7"/>
    <w:rsid w:val="00605A6A"/>
    <w:rsid w:val="0060643E"/>
    <w:rsid w:val="00606811"/>
    <w:rsid w:val="00607240"/>
    <w:rsid w:val="00607CD3"/>
    <w:rsid w:val="00607E1A"/>
    <w:rsid w:val="00610004"/>
    <w:rsid w:val="00610468"/>
    <w:rsid w:val="00611F08"/>
    <w:rsid w:val="006122FD"/>
    <w:rsid w:val="00612BFC"/>
    <w:rsid w:val="006175AA"/>
    <w:rsid w:val="006176DA"/>
    <w:rsid w:val="00617AF1"/>
    <w:rsid w:val="00620642"/>
    <w:rsid w:val="0062242A"/>
    <w:rsid w:val="006229E4"/>
    <w:rsid w:val="00622D12"/>
    <w:rsid w:val="006235D1"/>
    <w:rsid w:val="00625C8B"/>
    <w:rsid w:val="00631037"/>
    <w:rsid w:val="006314EB"/>
    <w:rsid w:val="00632747"/>
    <w:rsid w:val="00633791"/>
    <w:rsid w:val="00636D04"/>
    <w:rsid w:val="00640403"/>
    <w:rsid w:val="00641A6C"/>
    <w:rsid w:val="00642A56"/>
    <w:rsid w:val="00644095"/>
    <w:rsid w:val="00644115"/>
    <w:rsid w:val="00644865"/>
    <w:rsid w:val="00646000"/>
    <w:rsid w:val="00647437"/>
    <w:rsid w:val="006516C9"/>
    <w:rsid w:val="00652488"/>
    <w:rsid w:val="006524BA"/>
    <w:rsid w:val="0065340A"/>
    <w:rsid w:val="0065499F"/>
    <w:rsid w:val="00654F44"/>
    <w:rsid w:val="006563EE"/>
    <w:rsid w:val="00657932"/>
    <w:rsid w:val="00660085"/>
    <w:rsid w:val="006603FA"/>
    <w:rsid w:val="00660B6D"/>
    <w:rsid w:val="00660FBB"/>
    <w:rsid w:val="00662D76"/>
    <w:rsid w:val="00664C68"/>
    <w:rsid w:val="00665504"/>
    <w:rsid w:val="00665E56"/>
    <w:rsid w:val="00667042"/>
    <w:rsid w:val="00670E16"/>
    <w:rsid w:val="00671929"/>
    <w:rsid w:val="00671D3F"/>
    <w:rsid w:val="00672233"/>
    <w:rsid w:val="00675076"/>
    <w:rsid w:val="00676BA4"/>
    <w:rsid w:val="0068007C"/>
    <w:rsid w:val="00680311"/>
    <w:rsid w:val="00680AF7"/>
    <w:rsid w:val="00681F40"/>
    <w:rsid w:val="00682010"/>
    <w:rsid w:val="006833F4"/>
    <w:rsid w:val="0068352C"/>
    <w:rsid w:val="006835A2"/>
    <w:rsid w:val="00684E11"/>
    <w:rsid w:val="00684F25"/>
    <w:rsid w:val="006856AC"/>
    <w:rsid w:val="0068776A"/>
    <w:rsid w:val="006878D6"/>
    <w:rsid w:val="006879B3"/>
    <w:rsid w:val="006910BA"/>
    <w:rsid w:val="006911B4"/>
    <w:rsid w:val="00694E04"/>
    <w:rsid w:val="00694F86"/>
    <w:rsid w:val="006951FB"/>
    <w:rsid w:val="00695E47"/>
    <w:rsid w:val="006971EC"/>
    <w:rsid w:val="00697336"/>
    <w:rsid w:val="006A51A2"/>
    <w:rsid w:val="006A6B0C"/>
    <w:rsid w:val="006A7092"/>
    <w:rsid w:val="006A755C"/>
    <w:rsid w:val="006B001B"/>
    <w:rsid w:val="006B123A"/>
    <w:rsid w:val="006B15A0"/>
    <w:rsid w:val="006B4B24"/>
    <w:rsid w:val="006B7886"/>
    <w:rsid w:val="006C005B"/>
    <w:rsid w:val="006C2190"/>
    <w:rsid w:val="006C23A0"/>
    <w:rsid w:val="006C295A"/>
    <w:rsid w:val="006C3D0C"/>
    <w:rsid w:val="006C4C21"/>
    <w:rsid w:val="006C521E"/>
    <w:rsid w:val="006C522A"/>
    <w:rsid w:val="006C52A3"/>
    <w:rsid w:val="006C5C11"/>
    <w:rsid w:val="006C6B92"/>
    <w:rsid w:val="006C7784"/>
    <w:rsid w:val="006C7FFC"/>
    <w:rsid w:val="006D14A9"/>
    <w:rsid w:val="006D181A"/>
    <w:rsid w:val="006D1E9D"/>
    <w:rsid w:val="006D3289"/>
    <w:rsid w:val="006D37E7"/>
    <w:rsid w:val="006D4542"/>
    <w:rsid w:val="006D4EE7"/>
    <w:rsid w:val="006D568D"/>
    <w:rsid w:val="006D60DB"/>
    <w:rsid w:val="006D6EC7"/>
    <w:rsid w:val="006D7E54"/>
    <w:rsid w:val="006E1431"/>
    <w:rsid w:val="006E16B6"/>
    <w:rsid w:val="006E28EE"/>
    <w:rsid w:val="006E3168"/>
    <w:rsid w:val="006E4051"/>
    <w:rsid w:val="006E4133"/>
    <w:rsid w:val="006E5142"/>
    <w:rsid w:val="006F054B"/>
    <w:rsid w:val="006F1C6A"/>
    <w:rsid w:val="006F21A4"/>
    <w:rsid w:val="006F3AB4"/>
    <w:rsid w:val="006F449F"/>
    <w:rsid w:val="006F5110"/>
    <w:rsid w:val="006F5ADF"/>
    <w:rsid w:val="006F61ED"/>
    <w:rsid w:val="00700C63"/>
    <w:rsid w:val="00701A76"/>
    <w:rsid w:val="007031F4"/>
    <w:rsid w:val="0070572D"/>
    <w:rsid w:val="00706785"/>
    <w:rsid w:val="00707776"/>
    <w:rsid w:val="007103AE"/>
    <w:rsid w:val="00711C27"/>
    <w:rsid w:val="007132EE"/>
    <w:rsid w:val="00713C40"/>
    <w:rsid w:val="00714C24"/>
    <w:rsid w:val="0071538F"/>
    <w:rsid w:val="00716469"/>
    <w:rsid w:val="00720118"/>
    <w:rsid w:val="00720851"/>
    <w:rsid w:val="00721902"/>
    <w:rsid w:val="00721E6F"/>
    <w:rsid w:val="007222D6"/>
    <w:rsid w:val="00725556"/>
    <w:rsid w:val="00726C32"/>
    <w:rsid w:val="00726FAD"/>
    <w:rsid w:val="00730A21"/>
    <w:rsid w:val="00730FE5"/>
    <w:rsid w:val="00733A85"/>
    <w:rsid w:val="00734702"/>
    <w:rsid w:val="00734BDE"/>
    <w:rsid w:val="00734D1A"/>
    <w:rsid w:val="00735FED"/>
    <w:rsid w:val="00736054"/>
    <w:rsid w:val="00742993"/>
    <w:rsid w:val="00746B41"/>
    <w:rsid w:val="0075009A"/>
    <w:rsid w:val="007514E2"/>
    <w:rsid w:val="00751665"/>
    <w:rsid w:val="00752A80"/>
    <w:rsid w:val="00753419"/>
    <w:rsid w:val="00754C3D"/>
    <w:rsid w:val="007555C5"/>
    <w:rsid w:val="00755FFD"/>
    <w:rsid w:val="007625FB"/>
    <w:rsid w:val="0076320F"/>
    <w:rsid w:val="00763D2E"/>
    <w:rsid w:val="0076403F"/>
    <w:rsid w:val="007649D4"/>
    <w:rsid w:val="007653C4"/>
    <w:rsid w:val="00766290"/>
    <w:rsid w:val="007668DC"/>
    <w:rsid w:val="00766BDE"/>
    <w:rsid w:val="00767334"/>
    <w:rsid w:val="00767D60"/>
    <w:rsid w:val="00771C29"/>
    <w:rsid w:val="00771F25"/>
    <w:rsid w:val="007737A8"/>
    <w:rsid w:val="00775005"/>
    <w:rsid w:val="0077604B"/>
    <w:rsid w:val="00776DEC"/>
    <w:rsid w:val="007774D1"/>
    <w:rsid w:val="00781C70"/>
    <w:rsid w:val="00782971"/>
    <w:rsid w:val="00782DDC"/>
    <w:rsid w:val="00784082"/>
    <w:rsid w:val="0078430E"/>
    <w:rsid w:val="007846EA"/>
    <w:rsid w:val="0078498D"/>
    <w:rsid w:val="00787F1F"/>
    <w:rsid w:val="007904B4"/>
    <w:rsid w:val="0079087F"/>
    <w:rsid w:val="00792919"/>
    <w:rsid w:val="0079354D"/>
    <w:rsid w:val="00794175"/>
    <w:rsid w:val="00795B17"/>
    <w:rsid w:val="00795FBC"/>
    <w:rsid w:val="00796A7D"/>
    <w:rsid w:val="007A19CD"/>
    <w:rsid w:val="007A1F01"/>
    <w:rsid w:val="007A2A03"/>
    <w:rsid w:val="007A41C8"/>
    <w:rsid w:val="007A459F"/>
    <w:rsid w:val="007A796A"/>
    <w:rsid w:val="007B0C5A"/>
    <w:rsid w:val="007B27F2"/>
    <w:rsid w:val="007B31A8"/>
    <w:rsid w:val="007B4199"/>
    <w:rsid w:val="007B44C9"/>
    <w:rsid w:val="007B4ABC"/>
    <w:rsid w:val="007B4F35"/>
    <w:rsid w:val="007B5A17"/>
    <w:rsid w:val="007B7A79"/>
    <w:rsid w:val="007C033B"/>
    <w:rsid w:val="007C08EA"/>
    <w:rsid w:val="007C1A71"/>
    <w:rsid w:val="007C1F0F"/>
    <w:rsid w:val="007C26E2"/>
    <w:rsid w:val="007C2D4A"/>
    <w:rsid w:val="007C2D8A"/>
    <w:rsid w:val="007C3211"/>
    <w:rsid w:val="007C3C69"/>
    <w:rsid w:val="007C3CBB"/>
    <w:rsid w:val="007C4465"/>
    <w:rsid w:val="007C4B0D"/>
    <w:rsid w:val="007C5398"/>
    <w:rsid w:val="007C58CE"/>
    <w:rsid w:val="007C5982"/>
    <w:rsid w:val="007C678F"/>
    <w:rsid w:val="007C7359"/>
    <w:rsid w:val="007C7D80"/>
    <w:rsid w:val="007D0ACB"/>
    <w:rsid w:val="007D2133"/>
    <w:rsid w:val="007D281E"/>
    <w:rsid w:val="007D393E"/>
    <w:rsid w:val="007D62AC"/>
    <w:rsid w:val="007D6480"/>
    <w:rsid w:val="007D68AF"/>
    <w:rsid w:val="007D6AA5"/>
    <w:rsid w:val="007D6C5A"/>
    <w:rsid w:val="007E0306"/>
    <w:rsid w:val="007E0E6E"/>
    <w:rsid w:val="007E23C9"/>
    <w:rsid w:val="007E263D"/>
    <w:rsid w:val="007E42C6"/>
    <w:rsid w:val="007E42F1"/>
    <w:rsid w:val="007E5A80"/>
    <w:rsid w:val="007E5B98"/>
    <w:rsid w:val="007E5C6B"/>
    <w:rsid w:val="007F06D9"/>
    <w:rsid w:val="007F17CC"/>
    <w:rsid w:val="007F284A"/>
    <w:rsid w:val="007F3779"/>
    <w:rsid w:val="007F4938"/>
    <w:rsid w:val="007F6822"/>
    <w:rsid w:val="007F696F"/>
    <w:rsid w:val="0080068B"/>
    <w:rsid w:val="00803277"/>
    <w:rsid w:val="00803C64"/>
    <w:rsid w:val="00805549"/>
    <w:rsid w:val="008063E6"/>
    <w:rsid w:val="0080743E"/>
    <w:rsid w:val="00807D40"/>
    <w:rsid w:val="00810820"/>
    <w:rsid w:val="00810E32"/>
    <w:rsid w:val="00810ED0"/>
    <w:rsid w:val="00811080"/>
    <w:rsid w:val="008111C7"/>
    <w:rsid w:val="00811D5E"/>
    <w:rsid w:val="00814D69"/>
    <w:rsid w:val="008151F0"/>
    <w:rsid w:val="0081611D"/>
    <w:rsid w:val="00817262"/>
    <w:rsid w:val="00820DE4"/>
    <w:rsid w:val="0082127C"/>
    <w:rsid w:val="00821B08"/>
    <w:rsid w:val="00821E0C"/>
    <w:rsid w:val="00822417"/>
    <w:rsid w:val="0082249A"/>
    <w:rsid w:val="00824FF5"/>
    <w:rsid w:val="0082504D"/>
    <w:rsid w:val="00825167"/>
    <w:rsid w:val="00827B3E"/>
    <w:rsid w:val="008304A5"/>
    <w:rsid w:val="00831723"/>
    <w:rsid w:val="0083208C"/>
    <w:rsid w:val="00832833"/>
    <w:rsid w:val="00832DE7"/>
    <w:rsid w:val="00834A35"/>
    <w:rsid w:val="00835DAC"/>
    <w:rsid w:val="0083730D"/>
    <w:rsid w:val="008373CA"/>
    <w:rsid w:val="00837AF3"/>
    <w:rsid w:val="0084032D"/>
    <w:rsid w:val="00841282"/>
    <w:rsid w:val="00842FFB"/>
    <w:rsid w:val="00843016"/>
    <w:rsid w:val="00843413"/>
    <w:rsid w:val="00843664"/>
    <w:rsid w:val="00843F4A"/>
    <w:rsid w:val="0084465D"/>
    <w:rsid w:val="0084496A"/>
    <w:rsid w:val="00845354"/>
    <w:rsid w:val="0084574A"/>
    <w:rsid w:val="00845EA3"/>
    <w:rsid w:val="00846428"/>
    <w:rsid w:val="0084650D"/>
    <w:rsid w:val="00851F27"/>
    <w:rsid w:val="0085270A"/>
    <w:rsid w:val="00853C87"/>
    <w:rsid w:val="00855281"/>
    <w:rsid w:val="008568FD"/>
    <w:rsid w:val="0086120A"/>
    <w:rsid w:val="00862BD9"/>
    <w:rsid w:val="00864B27"/>
    <w:rsid w:val="00865E28"/>
    <w:rsid w:val="00865EA3"/>
    <w:rsid w:val="008661BE"/>
    <w:rsid w:val="0086737C"/>
    <w:rsid w:val="00867B22"/>
    <w:rsid w:val="0087028E"/>
    <w:rsid w:val="008729B2"/>
    <w:rsid w:val="00872BC2"/>
    <w:rsid w:val="0087374C"/>
    <w:rsid w:val="008742AB"/>
    <w:rsid w:val="00875445"/>
    <w:rsid w:val="00876515"/>
    <w:rsid w:val="00877D63"/>
    <w:rsid w:val="00877D75"/>
    <w:rsid w:val="00877DC7"/>
    <w:rsid w:val="00880029"/>
    <w:rsid w:val="008802B9"/>
    <w:rsid w:val="008803A6"/>
    <w:rsid w:val="00880597"/>
    <w:rsid w:val="00880EC4"/>
    <w:rsid w:val="00883158"/>
    <w:rsid w:val="00884F44"/>
    <w:rsid w:val="0088579D"/>
    <w:rsid w:val="008866B4"/>
    <w:rsid w:val="008877B6"/>
    <w:rsid w:val="00887DC0"/>
    <w:rsid w:val="0089054F"/>
    <w:rsid w:val="00891609"/>
    <w:rsid w:val="008917A1"/>
    <w:rsid w:val="00892037"/>
    <w:rsid w:val="008925ED"/>
    <w:rsid w:val="00893F15"/>
    <w:rsid w:val="00894487"/>
    <w:rsid w:val="00894D86"/>
    <w:rsid w:val="00894E3F"/>
    <w:rsid w:val="00895839"/>
    <w:rsid w:val="00896B21"/>
    <w:rsid w:val="008A0574"/>
    <w:rsid w:val="008A05FF"/>
    <w:rsid w:val="008A211A"/>
    <w:rsid w:val="008A2443"/>
    <w:rsid w:val="008A2989"/>
    <w:rsid w:val="008A5FDC"/>
    <w:rsid w:val="008A6691"/>
    <w:rsid w:val="008A6AC5"/>
    <w:rsid w:val="008A714A"/>
    <w:rsid w:val="008B0501"/>
    <w:rsid w:val="008B07AC"/>
    <w:rsid w:val="008B0CD8"/>
    <w:rsid w:val="008B3EE6"/>
    <w:rsid w:val="008B4E34"/>
    <w:rsid w:val="008B5649"/>
    <w:rsid w:val="008B575F"/>
    <w:rsid w:val="008B65F3"/>
    <w:rsid w:val="008B67E7"/>
    <w:rsid w:val="008B7F0F"/>
    <w:rsid w:val="008C0692"/>
    <w:rsid w:val="008C1EBF"/>
    <w:rsid w:val="008C35A5"/>
    <w:rsid w:val="008C36EC"/>
    <w:rsid w:val="008C74DC"/>
    <w:rsid w:val="008C763F"/>
    <w:rsid w:val="008C7BA9"/>
    <w:rsid w:val="008D0B34"/>
    <w:rsid w:val="008D0D6E"/>
    <w:rsid w:val="008D1539"/>
    <w:rsid w:val="008D1A73"/>
    <w:rsid w:val="008D1C9C"/>
    <w:rsid w:val="008D2462"/>
    <w:rsid w:val="008D2916"/>
    <w:rsid w:val="008D2E32"/>
    <w:rsid w:val="008D3964"/>
    <w:rsid w:val="008D57A0"/>
    <w:rsid w:val="008D6252"/>
    <w:rsid w:val="008D6393"/>
    <w:rsid w:val="008D709A"/>
    <w:rsid w:val="008E2724"/>
    <w:rsid w:val="008E33D9"/>
    <w:rsid w:val="008E39E5"/>
    <w:rsid w:val="008E47C0"/>
    <w:rsid w:val="008F18F6"/>
    <w:rsid w:val="008F2558"/>
    <w:rsid w:val="008F25FE"/>
    <w:rsid w:val="008F2BBA"/>
    <w:rsid w:val="008F357D"/>
    <w:rsid w:val="008F3B2C"/>
    <w:rsid w:val="00902417"/>
    <w:rsid w:val="00902524"/>
    <w:rsid w:val="00904E07"/>
    <w:rsid w:val="00910D06"/>
    <w:rsid w:val="00911307"/>
    <w:rsid w:val="009119DF"/>
    <w:rsid w:val="00911C0D"/>
    <w:rsid w:val="00911E29"/>
    <w:rsid w:val="009126C5"/>
    <w:rsid w:val="00913779"/>
    <w:rsid w:val="00915047"/>
    <w:rsid w:val="00915876"/>
    <w:rsid w:val="009164FA"/>
    <w:rsid w:val="00917CF4"/>
    <w:rsid w:val="00920969"/>
    <w:rsid w:val="009209C2"/>
    <w:rsid w:val="00923CC4"/>
    <w:rsid w:val="00924A3E"/>
    <w:rsid w:val="00924D7C"/>
    <w:rsid w:val="009253A3"/>
    <w:rsid w:val="0092619E"/>
    <w:rsid w:val="009309F8"/>
    <w:rsid w:val="00931208"/>
    <w:rsid w:val="009312AD"/>
    <w:rsid w:val="009331B0"/>
    <w:rsid w:val="00934004"/>
    <w:rsid w:val="00936B74"/>
    <w:rsid w:val="00940657"/>
    <w:rsid w:val="009413BE"/>
    <w:rsid w:val="00942596"/>
    <w:rsid w:val="00943965"/>
    <w:rsid w:val="009445BB"/>
    <w:rsid w:val="00944CA5"/>
    <w:rsid w:val="009476DD"/>
    <w:rsid w:val="00947E59"/>
    <w:rsid w:val="00947E9A"/>
    <w:rsid w:val="00950EBA"/>
    <w:rsid w:val="009514FF"/>
    <w:rsid w:val="0095258C"/>
    <w:rsid w:val="00952AAC"/>
    <w:rsid w:val="00953058"/>
    <w:rsid w:val="0095354C"/>
    <w:rsid w:val="00954AF1"/>
    <w:rsid w:val="00955A65"/>
    <w:rsid w:val="00956BAC"/>
    <w:rsid w:val="00962B7F"/>
    <w:rsid w:val="009633E6"/>
    <w:rsid w:val="00963B5E"/>
    <w:rsid w:val="00964260"/>
    <w:rsid w:val="009672D7"/>
    <w:rsid w:val="00967723"/>
    <w:rsid w:val="00967CBA"/>
    <w:rsid w:val="00971333"/>
    <w:rsid w:val="00973AD7"/>
    <w:rsid w:val="009748BC"/>
    <w:rsid w:val="00974AFC"/>
    <w:rsid w:val="00974EAA"/>
    <w:rsid w:val="00977D14"/>
    <w:rsid w:val="00980B93"/>
    <w:rsid w:val="00982916"/>
    <w:rsid w:val="00985496"/>
    <w:rsid w:val="00986F01"/>
    <w:rsid w:val="0099367B"/>
    <w:rsid w:val="0099551D"/>
    <w:rsid w:val="009971B9"/>
    <w:rsid w:val="00997456"/>
    <w:rsid w:val="00997630"/>
    <w:rsid w:val="00997C36"/>
    <w:rsid w:val="009A223B"/>
    <w:rsid w:val="009A3308"/>
    <w:rsid w:val="009A3325"/>
    <w:rsid w:val="009A5A06"/>
    <w:rsid w:val="009A6CEF"/>
    <w:rsid w:val="009A71C8"/>
    <w:rsid w:val="009A7DB2"/>
    <w:rsid w:val="009B0905"/>
    <w:rsid w:val="009B2644"/>
    <w:rsid w:val="009B50BF"/>
    <w:rsid w:val="009B691F"/>
    <w:rsid w:val="009B7064"/>
    <w:rsid w:val="009B7ECF"/>
    <w:rsid w:val="009C0601"/>
    <w:rsid w:val="009C109E"/>
    <w:rsid w:val="009C18E9"/>
    <w:rsid w:val="009C35C5"/>
    <w:rsid w:val="009C395F"/>
    <w:rsid w:val="009C7903"/>
    <w:rsid w:val="009D0F5C"/>
    <w:rsid w:val="009D30EE"/>
    <w:rsid w:val="009D3849"/>
    <w:rsid w:val="009D4B15"/>
    <w:rsid w:val="009D51DE"/>
    <w:rsid w:val="009D700B"/>
    <w:rsid w:val="009E10F4"/>
    <w:rsid w:val="009E25B0"/>
    <w:rsid w:val="009E7CB7"/>
    <w:rsid w:val="009F0CAC"/>
    <w:rsid w:val="009F3240"/>
    <w:rsid w:val="009F3C60"/>
    <w:rsid w:val="009F495F"/>
    <w:rsid w:val="009F67C7"/>
    <w:rsid w:val="009F7589"/>
    <w:rsid w:val="009F7C2D"/>
    <w:rsid w:val="00A000A9"/>
    <w:rsid w:val="00A01C2C"/>
    <w:rsid w:val="00A01E82"/>
    <w:rsid w:val="00A02796"/>
    <w:rsid w:val="00A04EC1"/>
    <w:rsid w:val="00A063CC"/>
    <w:rsid w:val="00A064A8"/>
    <w:rsid w:val="00A06F7B"/>
    <w:rsid w:val="00A07023"/>
    <w:rsid w:val="00A11835"/>
    <w:rsid w:val="00A12971"/>
    <w:rsid w:val="00A1303B"/>
    <w:rsid w:val="00A138AD"/>
    <w:rsid w:val="00A13943"/>
    <w:rsid w:val="00A15ADC"/>
    <w:rsid w:val="00A176B8"/>
    <w:rsid w:val="00A2012A"/>
    <w:rsid w:val="00A20311"/>
    <w:rsid w:val="00A21E01"/>
    <w:rsid w:val="00A22889"/>
    <w:rsid w:val="00A22AD0"/>
    <w:rsid w:val="00A2639C"/>
    <w:rsid w:val="00A279B2"/>
    <w:rsid w:val="00A27BC4"/>
    <w:rsid w:val="00A27F10"/>
    <w:rsid w:val="00A30073"/>
    <w:rsid w:val="00A3179F"/>
    <w:rsid w:val="00A323FF"/>
    <w:rsid w:val="00A324F8"/>
    <w:rsid w:val="00A32E7C"/>
    <w:rsid w:val="00A3320B"/>
    <w:rsid w:val="00A332B6"/>
    <w:rsid w:val="00A335CD"/>
    <w:rsid w:val="00A34D68"/>
    <w:rsid w:val="00A35482"/>
    <w:rsid w:val="00A3611F"/>
    <w:rsid w:val="00A3646B"/>
    <w:rsid w:val="00A40D17"/>
    <w:rsid w:val="00A4220F"/>
    <w:rsid w:val="00A43011"/>
    <w:rsid w:val="00A4355C"/>
    <w:rsid w:val="00A4499C"/>
    <w:rsid w:val="00A45191"/>
    <w:rsid w:val="00A45245"/>
    <w:rsid w:val="00A466F0"/>
    <w:rsid w:val="00A46BEC"/>
    <w:rsid w:val="00A47183"/>
    <w:rsid w:val="00A476FF"/>
    <w:rsid w:val="00A50AD6"/>
    <w:rsid w:val="00A50F35"/>
    <w:rsid w:val="00A53AE2"/>
    <w:rsid w:val="00A548AE"/>
    <w:rsid w:val="00A57729"/>
    <w:rsid w:val="00A6114B"/>
    <w:rsid w:val="00A6172C"/>
    <w:rsid w:val="00A62604"/>
    <w:rsid w:val="00A627D7"/>
    <w:rsid w:val="00A64641"/>
    <w:rsid w:val="00A65163"/>
    <w:rsid w:val="00A66781"/>
    <w:rsid w:val="00A71F6C"/>
    <w:rsid w:val="00A72BBC"/>
    <w:rsid w:val="00A737E8"/>
    <w:rsid w:val="00A73FE8"/>
    <w:rsid w:val="00A742D1"/>
    <w:rsid w:val="00A7502E"/>
    <w:rsid w:val="00A75284"/>
    <w:rsid w:val="00A7692B"/>
    <w:rsid w:val="00A76DDD"/>
    <w:rsid w:val="00A77021"/>
    <w:rsid w:val="00A7749E"/>
    <w:rsid w:val="00A77613"/>
    <w:rsid w:val="00A819D8"/>
    <w:rsid w:val="00A81AEB"/>
    <w:rsid w:val="00A81ECC"/>
    <w:rsid w:val="00A81FF6"/>
    <w:rsid w:val="00A82448"/>
    <w:rsid w:val="00A83394"/>
    <w:rsid w:val="00A8553B"/>
    <w:rsid w:val="00A86865"/>
    <w:rsid w:val="00A91769"/>
    <w:rsid w:val="00A91D6E"/>
    <w:rsid w:val="00A9277B"/>
    <w:rsid w:val="00A92C9C"/>
    <w:rsid w:val="00A943AF"/>
    <w:rsid w:val="00A945B4"/>
    <w:rsid w:val="00A94D4D"/>
    <w:rsid w:val="00A94F9C"/>
    <w:rsid w:val="00A95386"/>
    <w:rsid w:val="00A95B30"/>
    <w:rsid w:val="00A97319"/>
    <w:rsid w:val="00AA0AF1"/>
    <w:rsid w:val="00AA21EF"/>
    <w:rsid w:val="00AA4EDE"/>
    <w:rsid w:val="00AA5F8F"/>
    <w:rsid w:val="00AA601D"/>
    <w:rsid w:val="00AA73BC"/>
    <w:rsid w:val="00AB0CFA"/>
    <w:rsid w:val="00AB0F74"/>
    <w:rsid w:val="00AB2B45"/>
    <w:rsid w:val="00AB2D58"/>
    <w:rsid w:val="00AB3871"/>
    <w:rsid w:val="00AB3E81"/>
    <w:rsid w:val="00AB5DA3"/>
    <w:rsid w:val="00AB6FC5"/>
    <w:rsid w:val="00AC098A"/>
    <w:rsid w:val="00AC103D"/>
    <w:rsid w:val="00AC280C"/>
    <w:rsid w:val="00AC32DE"/>
    <w:rsid w:val="00AC5099"/>
    <w:rsid w:val="00AC5203"/>
    <w:rsid w:val="00AC6B94"/>
    <w:rsid w:val="00AD0BDD"/>
    <w:rsid w:val="00AD1A61"/>
    <w:rsid w:val="00AD336C"/>
    <w:rsid w:val="00AD3567"/>
    <w:rsid w:val="00AD5F8B"/>
    <w:rsid w:val="00AE2410"/>
    <w:rsid w:val="00AE3FC8"/>
    <w:rsid w:val="00AE4E8F"/>
    <w:rsid w:val="00AE6981"/>
    <w:rsid w:val="00AF06A2"/>
    <w:rsid w:val="00AF1636"/>
    <w:rsid w:val="00AF3A9E"/>
    <w:rsid w:val="00AF476B"/>
    <w:rsid w:val="00AF5E68"/>
    <w:rsid w:val="00AF5E84"/>
    <w:rsid w:val="00AF7B35"/>
    <w:rsid w:val="00B007FC"/>
    <w:rsid w:val="00B00B95"/>
    <w:rsid w:val="00B0348C"/>
    <w:rsid w:val="00B03D6E"/>
    <w:rsid w:val="00B04EFA"/>
    <w:rsid w:val="00B06825"/>
    <w:rsid w:val="00B10852"/>
    <w:rsid w:val="00B11C82"/>
    <w:rsid w:val="00B1335E"/>
    <w:rsid w:val="00B13AAD"/>
    <w:rsid w:val="00B144D1"/>
    <w:rsid w:val="00B15765"/>
    <w:rsid w:val="00B15A58"/>
    <w:rsid w:val="00B15E96"/>
    <w:rsid w:val="00B15FEC"/>
    <w:rsid w:val="00B160E7"/>
    <w:rsid w:val="00B178C3"/>
    <w:rsid w:val="00B17AC5"/>
    <w:rsid w:val="00B17CCB"/>
    <w:rsid w:val="00B2068D"/>
    <w:rsid w:val="00B20772"/>
    <w:rsid w:val="00B21090"/>
    <w:rsid w:val="00B2226D"/>
    <w:rsid w:val="00B23D8D"/>
    <w:rsid w:val="00B23F0B"/>
    <w:rsid w:val="00B25A45"/>
    <w:rsid w:val="00B25A57"/>
    <w:rsid w:val="00B26C67"/>
    <w:rsid w:val="00B315B8"/>
    <w:rsid w:val="00B31974"/>
    <w:rsid w:val="00B33C77"/>
    <w:rsid w:val="00B34328"/>
    <w:rsid w:val="00B3630A"/>
    <w:rsid w:val="00B37190"/>
    <w:rsid w:val="00B3771F"/>
    <w:rsid w:val="00B4069A"/>
    <w:rsid w:val="00B41D41"/>
    <w:rsid w:val="00B42929"/>
    <w:rsid w:val="00B42DC1"/>
    <w:rsid w:val="00B43410"/>
    <w:rsid w:val="00B437D7"/>
    <w:rsid w:val="00B44173"/>
    <w:rsid w:val="00B45FFC"/>
    <w:rsid w:val="00B46E7D"/>
    <w:rsid w:val="00B478B5"/>
    <w:rsid w:val="00B52800"/>
    <w:rsid w:val="00B52CE2"/>
    <w:rsid w:val="00B53B8A"/>
    <w:rsid w:val="00B550DE"/>
    <w:rsid w:val="00B5610F"/>
    <w:rsid w:val="00B562AD"/>
    <w:rsid w:val="00B57D4B"/>
    <w:rsid w:val="00B60900"/>
    <w:rsid w:val="00B60F5D"/>
    <w:rsid w:val="00B61C2B"/>
    <w:rsid w:val="00B62CC5"/>
    <w:rsid w:val="00B66F05"/>
    <w:rsid w:val="00B721D8"/>
    <w:rsid w:val="00B72941"/>
    <w:rsid w:val="00B73954"/>
    <w:rsid w:val="00B76039"/>
    <w:rsid w:val="00B763A3"/>
    <w:rsid w:val="00B76F90"/>
    <w:rsid w:val="00B77460"/>
    <w:rsid w:val="00B77C9C"/>
    <w:rsid w:val="00B800FF"/>
    <w:rsid w:val="00B80926"/>
    <w:rsid w:val="00B80F95"/>
    <w:rsid w:val="00B82F85"/>
    <w:rsid w:val="00B832DF"/>
    <w:rsid w:val="00B84221"/>
    <w:rsid w:val="00B85566"/>
    <w:rsid w:val="00B85A8C"/>
    <w:rsid w:val="00B901E7"/>
    <w:rsid w:val="00B9162C"/>
    <w:rsid w:val="00B93AE1"/>
    <w:rsid w:val="00B93DB3"/>
    <w:rsid w:val="00B94194"/>
    <w:rsid w:val="00B94AC1"/>
    <w:rsid w:val="00B95A43"/>
    <w:rsid w:val="00BA1FF2"/>
    <w:rsid w:val="00BA239D"/>
    <w:rsid w:val="00BA2D7D"/>
    <w:rsid w:val="00BA2DEB"/>
    <w:rsid w:val="00BA34B0"/>
    <w:rsid w:val="00BA39AA"/>
    <w:rsid w:val="00BA4A23"/>
    <w:rsid w:val="00BA51A8"/>
    <w:rsid w:val="00BA556E"/>
    <w:rsid w:val="00BA56D3"/>
    <w:rsid w:val="00BA5BCC"/>
    <w:rsid w:val="00BA6386"/>
    <w:rsid w:val="00BA68DA"/>
    <w:rsid w:val="00BA7B56"/>
    <w:rsid w:val="00BB0E92"/>
    <w:rsid w:val="00BB25D2"/>
    <w:rsid w:val="00BB5129"/>
    <w:rsid w:val="00BB7341"/>
    <w:rsid w:val="00BB7D15"/>
    <w:rsid w:val="00BB7F05"/>
    <w:rsid w:val="00BC01A9"/>
    <w:rsid w:val="00BC0D25"/>
    <w:rsid w:val="00BC121F"/>
    <w:rsid w:val="00BC2B82"/>
    <w:rsid w:val="00BC3AAE"/>
    <w:rsid w:val="00BC3AD9"/>
    <w:rsid w:val="00BC4A90"/>
    <w:rsid w:val="00BC5076"/>
    <w:rsid w:val="00BC7AA9"/>
    <w:rsid w:val="00BD2655"/>
    <w:rsid w:val="00BD37EA"/>
    <w:rsid w:val="00BD38AF"/>
    <w:rsid w:val="00BD4FF4"/>
    <w:rsid w:val="00BD5200"/>
    <w:rsid w:val="00BD6D87"/>
    <w:rsid w:val="00BE0183"/>
    <w:rsid w:val="00BE0363"/>
    <w:rsid w:val="00BE0A0E"/>
    <w:rsid w:val="00BE0BC0"/>
    <w:rsid w:val="00BE24EE"/>
    <w:rsid w:val="00BE3B86"/>
    <w:rsid w:val="00BE49F4"/>
    <w:rsid w:val="00BE4CC5"/>
    <w:rsid w:val="00BE5C9C"/>
    <w:rsid w:val="00BE650D"/>
    <w:rsid w:val="00BE6D9A"/>
    <w:rsid w:val="00BF023E"/>
    <w:rsid w:val="00BF1105"/>
    <w:rsid w:val="00BF1FBE"/>
    <w:rsid w:val="00BF2224"/>
    <w:rsid w:val="00BF30A9"/>
    <w:rsid w:val="00BF3507"/>
    <w:rsid w:val="00BF4140"/>
    <w:rsid w:val="00BF727C"/>
    <w:rsid w:val="00BF7728"/>
    <w:rsid w:val="00BF7CD4"/>
    <w:rsid w:val="00C02E74"/>
    <w:rsid w:val="00C0361C"/>
    <w:rsid w:val="00C04384"/>
    <w:rsid w:val="00C051E8"/>
    <w:rsid w:val="00C056F6"/>
    <w:rsid w:val="00C065CC"/>
    <w:rsid w:val="00C07637"/>
    <w:rsid w:val="00C10E55"/>
    <w:rsid w:val="00C10EB2"/>
    <w:rsid w:val="00C11758"/>
    <w:rsid w:val="00C146CF"/>
    <w:rsid w:val="00C149E4"/>
    <w:rsid w:val="00C163DA"/>
    <w:rsid w:val="00C16F9C"/>
    <w:rsid w:val="00C21C40"/>
    <w:rsid w:val="00C22F90"/>
    <w:rsid w:val="00C230DF"/>
    <w:rsid w:val="00C233EA"/>
    <w:rsid w:val="00C2376C"/>
    <w:rsid w:val="00C2455A"/>
    <w:rsid w:val="00C25F36"/>
    <w:rsid w:val="00C26869"/>
    <w:rsid w:val="00C278D5"/>
    <w:rsid w:val="00C27D1D"/>
    <w:rsid w:val="00C30864"/>
    <w:rsid w:val="00C31837"/>
    <w:rsid w:val="00C31BB9"/>
    <w:rsid w:val="00C3408D"/>
    <w:rsid w:val="00C346D8"/>
    <w:rsid w:val="00C356E7"/>
    <w:rsid w:val="00C37257"/>
    <w:rsid w:val="00C40500"/>
    <w:rsid w:val="00C40BE0"/>
    <w:rsid w:val="00C40C1D"/>
    <w:rsid w:val="00C417DB"/>
    <w:rsid w:val="00C42524"/>
    <w:rsid w:val="00C426B4"/>
    <w:rsid w:val="00C434B4"/>
    <w:rsid w:val="00C43B8F"/>
    <w:rsid w:val="00C455A6"/>
    <w:rsid w:val="00C45B01"/>
    <w:rsid w:val="00C4721B"/>
    <w:rsid w:val="00C47E54"/>
    <w:rsid w:val="00C51648"/>
    <w:rsid w:val="00C53A7D"/>
    <w:rsid w:val="00C54B7A"/>
    <w:rsid w:val="00C56342"/>
    <w:rsid w:val="00C56E4C"/>
    <w:rsid w:val="00C56EE6"/>
    <w:rsid w:val="00C60F5E"/>
    <w:rsid w:val="00C619F4"/>
    <w:rsid w:val="00C61CFF"/>
    <w:rsid w:val="00C61EC2"/>
    <w:rsid w:val="00C62C21"/>
    <w:rsid w:val="00C64426"/>
    <w:rsid w:val="00C651E7"/>
    <w:rsid w:val="00C66DC8"/>
    <w:rsid w:val="00C66F2C"/>
    <w:rsid w:val="00C7081B"/>
    <w:rsid w:val="00C71248"/>
    <w:rsid w:val="00C725E0"/>
    <w:rsid w:val="00C74636"/>
    <w:rsid w:val="00C74BEB"/>
    <w:rsid w:val="00C75DCB"/>
    <w:rsid w:val="00C81D32"/>
    <w:rsid w:val="00C8314F"/>
    <w:rsid w:val="00C8321F"/>
    <w:rsid w:val="00C841B4"/>
    <w:rsid w:val="00C845C6"/>
    <w:rsid w:val="00C86622"/>
    <w:rsid w:val="00C8674B"/>
    <w:rsid w:val="00C868D7"/>
    <w:rsid w:val="00C960C6"/>
    <w:rsid w:val="00C9724D"/>
    <w:rsid w:val="00C9732B"/>
    <w:rsid w:val="00CA21A4"/>
    <w:rsid w:val="00CA22A5"/>
    <w:rsid w:val="00CA24C1"/>
    <w:rsid w:val="00CA3317"/>
    <w:rsid w:val="00CA52FD"/>
    <w:rsid w:val="00CA6FA4"/>
    <w:rsid w:val="00CA79CE"/>
    <w:rsid w:val="00CA7DA3"/>
    <w:rsid w:val="00CB106E"/>
    <w:rsid w:val="00CB15B6"/>
    <w:rsid w:val="00CB3804"/>
    <w:rsid w:val="00CB3A6B"/>
    <w:rsid w:val="00CC0330"/>
    <w:rsid w:val="00CC0CB3"/>
    <w:rsid w:val="00CC137A"/>
    <w:rsid w:val="00CC1FCE"/>
    <w:rsid w:val="00CC2AFD"/>
    <w:rsid w:val="00CC357C"/>
    <w:rsid w:val="00CC518F"/>
    <w:rsid w:val="00CC5B60"/>
    <w:rsid w:val="00CC63E0"/>
    <w:rsid w:val="00CC6817"/>
    <w:rsid w:val="00CC76BA"/>
    <w:rsid w:val="00CC7BBE"/>
    <w:rsid w:val="00CD4E6E"/>
    <w:rsid w:val="00CD529E"/>
    <w:rsid w:val="00CD5A83"/>
    <w:rsid w:val="00CD6FA7"/>
    <w:rsid w:val="00CD74CE"/>
    <w:rsid w:val="00CE0A5F"/>
    <w:rsid w:val="00CE0E64"/>
    <w:rsid w:val="00CE2B68"/>
    <w:rsid w:val="00CE4725"/>
    <w:rsid w:val="00CE4EDE"/>
    <w:rsid w:val="00CE5C16"/>
    <w:rsid w:val="00CE6398"/>
    <w:rsid w:val="00CE6470"/>
    <w:rsid w:val="00CF1081"/>
    <w:rsid w:val="00CF3D9A"/>
    <w:rsid w:val="00D01097"/>
    <w:rsid w:val="00D024F0"/>
    <w:rsid w:val="00D02541"/>
    <w:rsid w:val="00D04325"/>
    <w:rsid w:val="00D050F9"/>
    <w:rsid w:val="00D074B7"/>
    <w:rsid w:val="00D076B4"/>
    <w:rsid w:val="00D07A2E"/>
    <w:rsid w:val="00D1179F"/>
    <w:rsid w:val="00D17C47"/>
    <w:rsid w:val="00D20A4E"/>
    <w:rsid w:val="00D20A64"/>
    <w:rsid w:val="00D21B17"/>
    <w:rsid w:val="00D22820"/>
    <w:rsid w:val="00D23D5D"/>
    <w:rsid w:val="00D24040"/>
    <w:rsid w:val="00D271A2"/>
    <w:rsid w:val="00D30D32"/>
    <w:rsid w:val="00D31D6C"/>
    <w:rsid w:val="00D338D1"/>
    <w:rsid w:val="00D3442E"/>
    <w:rsid w:val="00D36292"/>
    <w:rsid w:val="00D365B8"/>
    <w:rsid w:val="00D36AF8"/>
    <w:rsid w:val="00D36D1A"/>
    <w:rsid w:val="00D40AFE"/>
    <w:rsid w:val="00D41861"/>
    <w:rsid w:val="00D4333A"/>
    <w:rsid w:val="00D4336E"/>
    <w:rsid w:val="00D4400D"/>
    <w:rsid w:val="00D441B4"/>
    <w:rsid w:val="00D47289"/>
    <w:rsid w:val="00D50DBD"/>
    <w:rsid w:val="00D5165F"/>
    <w:rsid w:val="00D53B17"/>
    <w:rsid w:val="00D556D9"/>
    <w:rsid w:val="00D618FA"/>
    <w:rsid w:val="00D62F10"/>
    <w:rsid w:val="00D6429F"/>
    <w:rsid w:val="00D64342"/>
    <w:rsid w:val="00D66209"/>
    <w:rsid w:val="00D669F8"/>
    <w:rsid w:val="00D67084"/>
    <w:rsid w:val="00D6782D"/>
    <w:rsid w:val="00D706E5"/>
    <w:rsid w:val="00D719A4"/>
    <w:rsid w:val="00D72BB4"/>
    <w:rsid w:val="00D72F84"/>
    <w:rsid w:val="00D73AE3"/>
    <w:rsid w:val="00D75861"/>
    <w:rsid w:val="00D76421"/>
    <w:rsid w:val="00D80DD4"/>
    <w:rsid w:val="00D80EAB"/>
    <w:rsid w:val="00D81FC1"/>
    <w:rsid w:val="00D83639"/>
    <w:rsid w:val="00D85AE9"/>
    <w:rsid w:val="00D861F4"/>
    <w:rsid w:val="00D86641"/>
    <w:rsid w:val="00D9068C"/>
    <w:rsid w:val="00D9272D"/>
    <w:rsid w:val="00D95858"/>
    <w:rsid w:val="00D95C68"/>
    <w:rsid w:val="00DA0460"/>
    <w:rsid w:val="00DA121E"/>
    <w:rsid w:val="00DA1BBE"/>
    <w:rsid w:val="00DA1D50"/>
    <w:rsid w:val="00DA26D0"/>
    <w:rsid w:val="00DA4B3B"/>
    <w:rsid w:val="00DA4FF8"/>
    <w:rsid w:val="00DA50D9"/>
    <w:rsid w:val="00DA784F"/>
    <w:rsid w:val="00DA7CBA"/>
    <w:rsid w:val="00DB0D40"/>
    <w:rsid w:val="00DB1DAF"/>
    <w:rsid w:val="00DB3331"/>
    <w:rsid w:val="00DB3400"/>
    <w:rsid w:val="00DB5633"/>
    <w:rsid w:val="00DB58EB"/>
    <w:rsid w:val="00DC1B93"/>
    <w:rsid w:val="00DC26C3"/>
    <w:rsid w:val="00DC322F"/>
    <w:rsid w:val="00DC37CE"/>
    <w:rsid w:val="00DC3C4C"/>
    <w:rsid w:val="00DC5E06"/>
    <w:rsid w:val="00DC616B"/>
    <w:rsid w:val="00DC67E3"/>
    <w:rsid w:val="00DC6DD5"/>
    <w:rsid w:val="00DD00AB"/>
    <w:rsid w:val="00DD05C8"/>
    <w:rsid w:val="00DD1854"/>
    <w:rsid w:val="00DD1DD0"/>
    <w:rsid w:val="00DD1FCB"/>
    <w:rsid w:val="00DD21D5"/>
    <w:rsid w:val="00DD4EF4"/>
    <w:rsid w:val="00DD56DC"/>
    <w:rsid w:val="00DD5CBC"/>
    <w:rsid w:val="00DD66BC"/>
    <w:rsid w:val="00DD71CF"/>
    <w:rsid w:val="00DE3CC6"/>
    <w:rsid w:val="00DE499E"/>
    <w:rsid w:val="00DE4B44"/>
    <w:rsid w:val="00DE7172"/>
    <w:rsid w:val="00DE782E"/>
    <w:rsid w:val="00DF15E9"/>
    <w:rsid w:val="00DF2B58"/>
    <w:rsid w:val="00DF3CB9"/>
    <w:rsid w:val="00DF3CEE"/>
    <w:rsid w:val="00DF5E42"/>
    <w:rsid w:val="00DF7C8E"/>
    <w:rsid w:val="00E00250"/>
    <w:rsid w:val="00E00D34"/>
    <w:rsid w:val="00E01913"/>
    <w:rsid w:val="00E0343A"/>
    <w:rsid w:val="00E039E1"/>
    <w:rsid w:val="00E04969"/>
    <w:rsid w:val="00E055D3"/>
    <w:rsid w:val="00E06BC9"/>
    <w:rsid w:val="00E06D41"/>
    <w:rsid w:val="00E11608"/>
    <w:rsid w:val="00E11730"/>
    <w:rsid w:val="00E121F9"/>
    <w:rsid w:val="00E13F02"/>
    <w:rsid w:val="00E140BF"/>
    <w:rsid w:val="00E1482E"/>
    <w:rsid w:val="00E14B53"/>
    <w:rsid w:val="00E153AE"/>
    <w:rsid w:val="00E20E10"/>
    <w:rsid w:val="00E24211"/>
    <w:rsid w:val="00E25114"/>
    <w:rsid w:val="00E26EB2"/>
    <w:rsid w:val="00E30475"/>
    <w:rsid w:val="00E30C4E"/>
    <w:rsid w:val="00E31401"/>
    <w:rsid w:val="00E328B9"/>
    <w:rsid w:val="00E32CA4"/>
    <w:rsid w:val="00E35796"/>
    <w:rsid w:val="00E375CB"/>
    <w:rsid w:val="00E379E8"/>
    <w:rsid w:val="00E40DDA"/>
    <w:rsid w:val="00E4185C"/>
    <w:rsid w:val="00E41DD9"/>
    <w:rsid w:val="00E4294D"/>
    <w:rsid w:val="00E43151"/>
    <w:rsid w:val="00E43796"/>
    <w:rsid w:val="00E43C70"/>
    <w:rsid w:val="00E43EA3"/>
    <w:rsid w:val="00E446E3"/>
    <w:rsid w:val="00E501E7"/>
    <w:rsid w:val="00E50E26"/>
    <w:rsid w:val="00E5273E"/>
    <w:rsid w:val="00E52BEB"/>
    <w:rsid w:val="00E52FDD"/>
    <w:rsid w:val="00E540E3"/>
    <w:rsid w:val="00E55FA5"/>
    <w:rsid w:val="00E56F46"/>
    <w:rsid w:val="00E57E24"/>
    <w:rsid w:val="00E604EF"/>
    <w:rsid w:val="00E61157"/>
    <w:rsid w:val="00E64202"/>
    <w:rsid w:val="00E664BC"/>
    <w:rsid w:val="00E66513"/>
    <w:rsid w:val="00E667F8"/>
    <w:rsid w:val="00E66CF2"/>
    <w:rsid w:val="00E74FC5"/>
    <w:rsid w:val="00E7757A"/>
    <w:rsid w:val="00E81D4B"/>
    <w:rsid w:val="00E82528"/>
    <w:rsid w:val="00E833B5"/>
    <w:rsid w:val="00E84830"/>
    <w:rsid w:val="00E86B3E"/>
    <w:rsid w:val="00E9085B"/>
    <w:rsid w:val="00E9155B"/>
    <w:rsid w:val="00E9271A"/>
    <w:rsid w:val="00E92C9E"/>
    <w:rsid w:val="00E932A0"/>
    <w:rsid w:val="00E94707"/>
    <w:rsid w:val="00E95200"/>
    <w:rsid w:val="00E953D2"/>
    <w:rsid w:val="00E95A34"/>
    <w:rsid w:val="00E95EA0"/>
    <w:rsid w:val="00E96ED9"/>
    <w:rsid w:val="00EA4C67"/>
    <w:rsid w:val="00EA50D4"/>
    <w:rsid w:val="00EA6441"/>
    <w:rsid w:val="00EA6625"/>
    <w:rsid w:val="00EB1729"/>
    <w:rsid w:val="00EB3E90"/>
    <w:rsid w:val="00EB5275"/>
    <w:rsid w:val="00EB7374"/>
    <w:rsid w:val="00EC20A7"/>
    <w:rsid w:val="00EC41F8"/>
    <w:rsid w:val="00EC4301"/>
    <w:rsid w:val="00EC4B3E"/>
    <w:rsid w:val="00EC4C35"/>
    <w:rsid w:val="00EC510E"/>
    <w:rsid w:val="00EC7692"/>
    <w:rsid w:val="00EC7D75"/>
    <w:rsid w:val="00ED1DAA"/>
    <w:rsid w:val="00ED215A"/>
    <w:rsid w:val="00ED3580"/>
    <w:rsid w:val="00ED41D8"/>
    <w:rsid w:val="00ED4AFD"/>
    <w:rsid w:val="00ED5C33"/>
    <w:rsid w:val="00ED7373"/>
    <w:rsid w:val="00ED782E"/>
    <w:rsid w:val="00ED7B49"/>
    <w:rsid w:val="00EE02E8"/>
    <w:rsid w:val="00EE0B5F"/>
    <w:rsid w:val="00EE1086"/>
    <w:rsid w:val="00EE36D3"/>
    <w:rsid w:val="00EE469D"/>
    <w:rsid w:val="00EE513E"/>
    <w:rsid w:val="00EE526E"/>
    <w:rsid w:val="00EE60D4"/>
    <w:rsid w:val="00EE646E"/>
    <w:rsid w:val="00EE681B"/>
    <w:rsid w:val="00EF0D9B"/>
    <w:rsid w:val="00EF0E5E"/>
    <w:rsid w:val="00EF3065"/>
    <w:rsid w:val="00EF39AC"/>
    <w:rsid w:val="00EF4A52"/>
    <w:rsid w:val="00EF509E"/>
    <w:rsid w:val="00EF7188"/>
    <w:rsid w:val="00EF7474"/>
    <w:rsid w:val="00F009AA"/>
    <w:rsid w:val="00F027A6"/>
    <w:rsid w:val="00F02E5F"/>
    <w:rsid w:val="00F0390F"/>
    <w:rsid w:val="00F04E93"/>
    <w:rsid w:val="00F051A6"/>
    <w:rsid w:val="00F05343"/>
    <w:rsid w:val="00F06C44"/>
    <w:rsid w:val="00F06F31"/>
    <w:rsid w:val="00F10300"/>
    <w:rsid w:val="00F107D3"/>
    <w:rsid w:val="00F11012"/>
    <w:rsid w:val="00F12C0E"/>
    <w:rsid w:val="00F14379"/>
    <w:rsid w:val="00F2114E"/>
    <w:rsid w:val="00F21ACC"/>
    <w:rsid w:val="00F245E7"/>
    <w:rsid w:val="00F25FF9"/>
    <w:rsid w:val="00F303D9"/>
    <w:rsid w:val="00F3082E"/>
    <w:rsid w:val="00F30836"/>
    <w:rsid w:val="00F30D96"/>
    <w:rsid w:val="00F3162F"/>
    <w:rsid w:val="00F325C2"/>
    <w:rsid w:val="00F32D3D"/>
    <w:rsid w:val="00F3358B"/>
    <w:rsid w:val="00F33700"/>
    <w:rsid w:val="00F33B49"/>
    <w:rsid w:val="00F3402C"/>
    <w:rsid w:val="00F3528F"/>
    <w:rsid w:val="00F35FA0"/>
    <w:rsid w:val="00F3672C"/>
    <w:rsid w:val="00F370FB"/>
    <w:rsid w:val="00F377BC"/>
    <w:rsid w:val="00F37E55"/>
    <w:rsid w:val="00F40F67"/>
    <w:rsid w:val="00F417F9"/>
    <w:rsid w:val="00F423D8"/>
    <w:rsid w:val="00F42A1A"/>
    <w:rsid w:val="00F44A5F"/>
    <w:rsid w:val="00F455A0"/>
    <w:rsid w:val="00F45B94"/>
    <w:rsid w:val="00F46E0E"/>
    <w:rsid w:val="00F46FEE"/>
    <w:rsid w:val="00F47A1F"/>
    <w:rsid w:val="00F503E3"/>
    <w:rsid w:val="00F505D4"/>
    <w:rsid w:val="00F5180B"/>
    <w:rsid w:val="00F5187A"/>
    <w:rsid w:val="00F52C31"/>
    <w:rsid w:val="00F55526"/>
    <w:rsid w:val="00F567B8"/>
    <w:rsid w:val="00F578A5"/>
    <w:rsid w:val="00F607F5"/>
    <w:rsid w:val="00F60E32"/>
    <w:rsid w:val="00F618E4"/>
    <w:rsid w:val="00F63758"/>
    <w:rsid w:val="00F63E58"/>
    <w:rsid w:val="00F63F67"/>
    <w:rsid w:val="00F6410B"/>
    <w:rsid w:val="00F64C38"/>
    <w:rsid w:val="00F663DA"/>
    <w:rsid w:val="00F66C90"/>
    <w:rsid w:val="00F67F2F"/>
    <w:rsid w:val="00F71244"/>
    <w:rsid w:val="00F73FE3"/>
    <w:rsid w:val="00F75B86"/>
    <w:rsid w:val="00F75D5B"/>
    <w:rsid w:val="00F761D5"/>
    <w:rsid w:val="00F771D3"/>
    <w:rsid w:val="00F8376E"/>
    <w:rsid w:val="00F84749"/>
    <w:rsid w:val="00F84913"/>
    <w:rsid w:val="00F84C8D"/>
    <w:rsid w:val="00F85491"/>
    <w:rsid w:val="00F86BEA"/>
    <w:rsid w:val="00F86EAA"/>
    <w:rsid w:val="00F87505"/>
    <w:rsid w:val="00F90A3F"/>
    <w:rsid w:val="00F90BF6"/>
    <w:rsid w:val="00F911DB"/>
    <w:rsid w:val="00F92508"/>
    <w:rsid w:val="00F92944"/>
    <w:rsid w:val="00F92EBD"/>
    <w:rsid w:val="00F9393A"/>
    <w:rsid w:val="00F963B4"/>
    <w:rsid w:val="00F96495"/>
    <w:rsid w:val="00F96AE2"/>
    <w:rsid w:val="00F97951"/>
    <w:rsid w:val="00FA29E2"/>
    <w:rsid w:val="00FA3EB3"/>
    <w:rsid w:val="00FA3EEA"/>
    <w:rsid w:val="00FA683E"/>
    <w:rsid w:val="00FA6B89"/>
    <w:rsid w:val="00FA7EE1"/>
    <w:rsid w:val="00FB15ED"/>
    <w:rsid w:val="00FB1ED5"/>
    <w:rsid w:val="00FB2822"/>
    <w:rsid w:val="00FB4778"/>
    <w:rsid w:val="00FB4945"/>
    <w:rsid w:val="00FB4AB0"/>
    <w:rsid w:val="00FB66BD"/>
    <w:rsid w:val="00FB7BB3"/>
    <w:rsid w:val="00FC1393"/>
    <w:rsid w:val="00FC1403"/>
    <w:rsid w:val="00FC1BDB"/>
    <w:rsid w:val="00FC22B4"/>
    <w:rsid w:val="00FC28C3"/>
    <w:rsid w:val="00FC5CCB"/>
    <w:rsid w:val="00FC66DA"/>
    <w:rsid w:val="00FC7076"/>
    <w:rsid w:val="00FC7B24"/>
    <w:rsid w:val="00FC7C62"/>
    <w:rsid w:val="00FD0098"/>
    <w:rsid w:val="00FD39E2"/>
    <w:rsid w:val="00FD41AF"/>
    <w:rsid w:val="00FD69CE"/>
    <w:rsid w:val="00FE1FE6"/>
    <w:rsid w:val="00FE2BB6"/>
    <w:rsid w:val="00FE43A4"/>
    <w:rsid w:val="00FE4605"/>
    <w:rsid w:val="00FE4E3A"/>
    <w:rsid w:val="00FE560F"/>
    <w:rsid w:val="00FE5F61"/>
    <w:rsid w:val="00FE6B54"/>
    <w:rsid w:val="00FE6FDC"/>
    <w:rsid w:val="00FE70DD"/>
    <w:rsid w:val="00FF0B70"/>
    <w:rsid w:val="00FF12BE"/>
    <w:rsid w:val="00FF1971"/>
    <w:rsid w:val="00FF2773"/>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95C8D"/>
  <w15:docId w15:val="{BFE08E0A-0648-41F2-89EB-44101D4E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CC"/>
  </w:style>
  <w:style w:type="paragraph" w:styleId="Heading1">
    <w:name w:val="heading 1"/>
    <w:basedOn w:val="Normal"/>
    <w:next w:val="Normal"/>
    <w:link w:val="Heading1Char"/>
    <w:uiPriority w:val="1"/>
    <w:qFormat/>
    <w:rsid w:val="005218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218FD"/>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CE0E64"/>
    <w:pPr>
      <w:ind w:left="720"/>
      <w:contextualSpacing/>
    </w:pPr>
  </w:style>
  <w:style w:type="character" w:styleId="PlaceholderText">
    <w:name w:val="Placeholder Text"/>
    <w:basedOn w:val="DefaultParagraphFont"/>
    <w:uiPriority w:val="99"/>
    <w:semiHidden/>
    <w:rsid w:val="00CE0E64"/>
    <w:rPr>
      <w:color w:val="808080"/>
    </w:rPr>
  </w:style>
  <w:style w:type="paragraph" w:styleId="BalloonText">
    <w:name w:val="Balloon Text"/>
    <w:basedOn w:val="Normal"/>
    <w:link w:val="BalloonTextChar"/>
    <w:uiPriority w:val="99"/>
    <w:semiHidden/>
    <w:unhideWhenUsed/>
    <w:rsid w:val="005E39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960"/>
    <w:rPr>
      <w:rFonts w:ascii="Segoe UI" w:hAnsi="Segoe UI" w:cs="Segoe UI"/>
      <w:sz w:val="18"/>
      <w:szCs w:val="18"/>
    </w:rPr>
  </w:style>
  <w:style w:type="paragraph" w:styleId="Caption">
    <w:name w:val="caption"/>
    <w:basedOn w:val="Normal"/>
    <w:next w:val="Normal"/>
    <w:uiPriority w:val="35"/>
    <w:semiHidden/>
    <w:unhideWhenUsed/>
    <w:qFormat/>
    <w:rsid w:val="000C38F7"/>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0C38F7"/>
    <w:rPr>
      <w:sz w:val="16"/>
      <w:szCs w:val="16"/>
    </w:rPr>
  </w:style>
  <w:style w:type="paragraph" w:styleId="CommentText">
    <w:name w:val="annotation text"/>
    <w:basedOn w:val="Normal"/>
    <w:link w:val="CommentTextChar"/>
    <w:uiPriority w:val="99"/>
    <w:unhideWhenUsed/>
    <w:rsid w:val="000C38F7"/>
    <w:pPr>
      <w:spacing w:line="240" w:lineRule="auto"/>
    </w:pPr>
    <w:rPr>
      <w:sz w:val="20"/>
      <w:szCs w:val="20"/>
    </w:rPr>
  </w:style>
  <w:style w:type="character" w:customStyle="1" w:styleId="CommentTextChar">
    <w:name w:val="Comment Text Char"/>
    <w:basedOn w:val="DefaultParagraphFont"/>
    <w:link w:val="CommentText"/>
    <w:uiPriority w:val="99"/>
    <w:rsid w:val="000C38F7"/>
    <w:rPr>
      <w:sz w:val="20"/>
      <w:szCs w:val="20"/>
    </w:rPr>
  </w:style>
  <w:style w:type="paragraph" w:styleId="CommentSubject">
    <w:name w:val="annotation subject"/>
    <w:basedOn w:val="CommentText"/>
    <w:next w:val="CommentText"/>
    <w:link w:val="CommentSubjectChar"/>
    <w:uiPriority w:val="99"/>
    <w:semiHidden/>
    <w:unhideWhenUsed/>
    <w:rsid w:val="000C38F7"/>
    <w:rPr>
      <w:b/>
      <w:bCs/>
    </w:rPr>
  </w:style>
  <w:style w:type="character" w:customStyle="1" w:styleId="CommentSubjectChar">
    <w:name w:val="Comment Subject Char"/>
    <w:basedOn w:val="CommentTextChar"/>
    <w:link w:val="CommentSubject"/>
    <w:uiPriority w:val="99"/>
    <w:semiHidden/>
    <w:rsid w:val="000C38F7"/>
    <w:rPr>
      <w:b/>
      <w:bCs/>
      <w:sz w:val="20"/>
      <w:szCs w:val="20"/>
    </w:rPr>
  </w:style>
  <w:style w:type="table" w:styleId="TableGrid">
    <w:name w:val="Table Grid"/>
    <w:basedOn w:val="TableNormal"/>
    <w:uiPriority w:val="59"/>
    <w:rsid w:val="00DA4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4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384"/>
  </w:style>
  <w:style w:type="paragraph" w:styleId="Footer">
    <w:name w:val="footer"/>
    <w:basedOn w:val="Normal"/>
    <w:link w:val="FooterChar"/>
    <w:uiPriority w:val="99"/>
    <w:unhideWhenUsed/>
    <w:rsid w:val="00C04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84"/>
  </w:style>
  <w:style w:type="character" w:styleId="Hyperlink">
    <w:name w:val="Hyperlink"/>
    <w:basedOn w:val="DefaultParagraphFont"/>
    <w:uiPriority w:val="99"/>
    <w:unhideWhenUsed/>
    <w:rsid w:val="00A83394"/>
    <w:rPr>
      <w:color w:val="0000FF" w:themeColor="hyperlink"/>
      <w:u w:val="single"/>
    </w:rPr>
  </w:style>
  <w:style w:type="paragraph" w:styleId="BodyText">
    <w:name w:val="Body Text"/>
    <w:basedOn w:val="Normal"/>
    <w:link w:val="BodyTextChar"/>
    <w:uiPriority w:val="1"/>
    <w:qFormat/>
    <w:rsid w:val="00D72BB4"/>
    <w:pPr>
      <w:widowControl w:val="0"/>
      <w:spacing w:after="0" w:line="240" w:lineRule="auto"/>
      <w:ind w:left="84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D72BB4"/>
    <w:rPr>
      <w:rFonts w:ascii="Times New Roman" w:eastAsia="Times New Roman" w:hAnsi="Times New Roman"/>
      <w:sz w:val="24"/>
      <w:szCs w:val="24"/>
    </w:rPr>
  </w:style>
  <w:style w:type="paragraph" w:customStyle="1" w:styleId="TableParagraph">
    <w:name w:val="Table Paragraph"/>
    <w:basedOn w:val="Normal"/>
    <w:uiPriority w:val="1"/>
    <w:qFormat/>
    <w:rsid w:val="00A81ECC"/>
    <w:pPr>
      <w:widowControl w:val="0"/>
      <w:spacing w:after="0" w:line="240" w:lineRule="auto"/>
    </w:pPr>
  </w:style>
  <w:style w:type="character" w:styleId="HTMLCite">
    <w:name w:val="HTML Cite"/>
    <w:basedOn w:val="DefaultParagraphFont"/>
    <w:uiPriority w:val="99"/>
    <w:semiHidden/>
    <w:unhideWhenUsed/>
    <w:rsid w:val="00522742"/>
    <w:rPr>
      <w:i/>
      <w:iCs/>
    </w:rPr>
  </w:style>
  <w:style w:type="character" w:customStyle="1" w:styleId="c9dxtc">
    <w:name w:val="c9dxtc"/>
    <w:basedOn w:val="DefaultParagraphFont"/>
    <w:rsid w:val="00485C60"/>
  </w:style>
  <w:style w:type="paragraph" w:customStyle="1" w:styleId="Default">
    <w:name w:val="Default"/>
    <w:rsid w:val="00713C40"/>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semiHidden/>
    <w:unhideWhenUsed/>
    <w:rsid w:val="00F303D9"/>
    <w:pPr>
      <w:widowControl w:val="0"/>
      <w:wordWrap w:val="0"/>
      <w:autoSpaceDE w:val="0"/>
      <w:autoSpaceDN w:val="0"/>
      <w:snapToGrid w:val="0"/>
      <w:spacing w:after="160" w:line="259" w:lineRule="auto"/>
    </w:pPr>
    <w:rPr>
      <w:rFonts w:eastAsiaTheme="minorEastAsia"/>
      <w:kern w:val="2"/>
      <w:sz w:val="20"/>
      <w:lang w:eastAsia="ko-KR"/>
    </w:rPr>
  </w:style>
  <w:style w:type="character" w:customStyle="1" w:styleId="FootnoteTextChar">
    <w:name w:val="Footnote Text Char"/>
    <w:basedOn w:val="DefaultParagraphFont"/>
    <w:link w:val="FootnoteText"/>
    <w:uiPriority w:val="99"/>
    <w:semiHidden/>
    <w:rsid w:val="00F303D9"/>
    <w:rPr>
      <w:rFonts w:eastAsiaTheme="minorEastAsia"/>
      <w:kern w:val="2"/>
      <w:sz w:val="20"/>
      <w:lang w:eastAsia="ko-KR"/>
    </w:rPr>
  </w:style>
  <w:style w:type="character" w:styleId="FootnoteReference">
    <w:name w:val="footnote reference"/>
    <w:basedOn w:val="DefaultParagraphFont"/>
    <w:uiPriority w:val="99"/>
    <w:semiHidden/>
    <w:unhideWhenUsed/>
    <w:rsid w:val="00F303D9"/>
    <w:rPr>
      <w:vertAlign w:val="superscript"/>
    </w:rPr>
  </w:style>
  <w:style w:type="character" w:styleId="UnresolvedMention">
    <w:name w:val="Unresolved Mention"/>
    <w:basedOn w:val="DefaultParagraphFont"/>
    <w:uiPriority w:val="99"/>
    <w:semiHidden/>
    <w:unhideWhenUsed/>
    <w:rsid w:val="00153E7E"/>
    <w:rPr>
      <w:color w:val="605E5C"/>
      <w:shd w:val="clear" w:color="auto" w:fill="E1DFDD"/>
    </w:rPr>
  </w:style>
  <w:style w:type="paragraph" w:styleId="NormalWeb">
    <w:name w:val="Normal (Web)"/>
    <w:basedOn w:val="Normal"/>
    <w:uiPriority w:val="99"/>
    <w:semiHidden/>
    <w:unhideWhenUsed/>
    <w:rsid w:val="00665504"/>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styleId="Revision">
    <w:name w:val="Revision"/>
    <w:hidden/>
    <w:uiPriority w:val="99"/>
    <w:semiHidden/>
    <w:rsid w:val="009672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81314">
      <w:bodyDiv w:val="1"/>
      <w:marLeft w:val="0"/>
      <w:marRight w:val="0"/>
      <w:marTop w:val="0"/>
      <w:marBottom w:val="0"/>
      <w:divBdr>
        <w:top w:val="none" w:sz="0" w:space="0" w:color="auto"/>
        <w:left w:val="none" w:sz="0" w:space="0" w:color="auto"/>
        <w:bottom w:val="none" w:sz="0" w:space="0" w:color="auto"/>
        <w:right w:val="none" w:sz="0" w:space="0" w:color="auto"/>
      </w:divBdr>
    </w:div>
    <w:div w:id="1054499154">
      <w:bodyDiv w:val="1"/>
      <w:marLeft w:val="0"/>
      <w:marRight w:val="0"/>
      <w:marTop w:val="0"/>
      <w:marBottom w:val="0"/>
      <w:divBdr>
        <w:top w:val="none" w:sz="0" w:space="0" w:color="auto"/>
        <w:left w:val="none" w:sz="0" w:space="0" w:color="auto"/>
        <w:bottom w:val="none" w:sz="0" w:space="0" w:color="auto"/>
        <w:right w:val="none" w:sz="0" w:space="0" w:color="auto"/>
      </w:divBdr>
      <w:divsChild>
        <w:div w:id="2016836144">
          <w:marLeft w:val="45"/>
          <w:marRight w:val="45"/>
          <w:marTop w:val="0"/>
          <w:marBottom w:val="0"/>
          <w:divBdr>
            <w:top w:val="none" w:sz="0" w:space="0" w:color="auto"/>
            <w:left w:val="none" w:sz="0" w:space="0" w:color="auto"/>
            <w:bottom w:val="none" w:sz="0" w:space="0" w:color="auto"/>
            <w:right w:val="none" w:sz="0" w:space="0" w:color="auto"/>
          </w:divBdr>
          <w:divsChild>
            <w:div w:id="10617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9266">
      <w:bodyDiv w:val="1"/>
      <w:marLeft w:val="0"/>
      <w:marRight w:val="0"/>
      <w:marTop w:val="0"/>
      <w:marBottom w:val="0"/>
      <w:divBdr>
        <w:top w:val="none" w:sz="0" w:space="0" w:color="auto"/>
        <w:left w:val="none" w:sz="0" w:space="0" w:color="auto"/>
        <w:bottom w:val="none" w:sz="0" w:space="0" w:color="auto"/>
        <w:right w:val="none" w:sz="0" w:space="0" w:color="auto"/>
      </w:divBdr>
    </w:div>
    <w:div w:id="1304694901">
      <w:bodyDiv w:val="1"/>
      <w:marLeft w:val="0"/>
      <w:marRight w:val="0"/>
      <w:marTop w:val="0"/>
      <w:marBottom w:val="0"/>
      <w:divBdr>
        <w:top w:val="none" w:sz="0" w:space="0" w:color="auto"/>
        <w:left w:val="none" w:sz="0" w:space="0" w:color="auto"/>
        <w:bottom w:val="none" w:sz="0" w:space="0" w:color="auto"/>
        <w:right w:val="none" w:sz="0" w:space="0" w:color="auto"/>
      </w:divBdr>
    </w:div>
    <w:div w:id="1741977791">
      <w:bodyDiv w:val="1"/>
      <w:marLeft w:val="0"/>
      <w:marRight w:val="0"/>
      <w:marTop w:val="0"/>
      <w:marBottom w:val="0"/>
      <w:divBdr>
        <w:top w:val="none" w:sz="0" w:space="0" w:color="auto"/>
        <w:left w:val="none" w:sz="0" w:space="0" w:color="auto"/>
        <w:bottom w:val="none" w:sz="0" w:space="0" w:color="auto"/>
        <w:right w:val="none" w:sz="0" w:space="0" w:color="auto"/>
      </w:divBdr>
      <w:divsChild>
        <w:div w:id="1357392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2790530">
              <w:marLeft w:val="0"/>
              <w:marRight w:val="0"/>
              <w:marTop w:val="0"/>
              <w:marBottom w:val="0"/>
              <w:divBdr>
                <w:top w:val="none" w:sz="0" w:space="0" w:color="auto"/>
                <w:left w:val="none" w:sz="0" w:space="0" w:color="auto"/>
                <w:bottom w:val="none" w:sz="0" w:space="0" w:color="auto"/>
                <w:right w:val="none" w:sz="0" w:space="0" w:color="auto"/>
              </w:divBdr>
              <w:divsChild>
                <w:div w:id="434206564">
                  <w:marLeft w:val="0"/>
                  <w:marRight w:val="0"/>
                  <w:marTop w:val="0"/>
                  <w:marBottom w:val="0"/>
                  <w:divBdr>
                    <w:top w:val="none" w:sz="0" w:space="0" w:color="auto"/>
                    <w:left w:val="none" w:sz="0" w:space="0" w:color="auto"/>
                    <w:bottom w:val="none" w:sz="0" w:space="0" w:color="auto"/>
                    <w:right w:val="none" w:sz="0" w:space="0" w:color="auto"/>
                  </w:divBdr>
                  <w:divsChild>
                    <w:div w:id="13861501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23163037">
                          <w:marLeft w:val="0"/>
                          <w:marRight w:val="0"/>
                          <w:marTop w:val="0"/>
                          <w:marBottom w:val="0"/>
                          <w:divBdr>
                            <w:top w:val="none" w:sz="0" w:space="0" w:color="auto"/>
                            <w:left w:val="none" w:sz="0" w:space="0" w:color="auto"/>
                            <w:bottom w:val="none" w:sz="0" w:space="0" w:color="auto"/>
                            <w:right w:val="none" w:sz="0" w:space="0" w:color="auto"/>
                          </w:divBdr>
                          <w:divsChild>
                            <w:div w:id="1333024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1818469">
                                  <w:marLeft w:val="0"/>
                                  <w:marRight w:val="0"/>
                                  <w:marTop w:val="0"/>
                                  <w:marBottom w:val="0"/>
                                  <w:divBdr>
                                    <w:top w:val="none" w:sz="0" w:space="0" w:color="auto"/>
                                    <w:left w:val="none" w:sz="0" w:space="0" w:color="auto"/>
                                    <w:bottom w:val="none" w:sz="0" w:space="0" w:color="auto"/>
                                    <w:right w:val="none" w:sz="0" w:space="0" w:color="auto"/>
                                  </w:divBdr>
                                  <w:divsChild>
                                    <w:div w:id="1989742872">
                                      <w:marLeft w:val="0"/>
                                      <w:marRight w:val="0"/>
                                      <w:marTop w:val="0"/>
                                      <w:marBottom w:val="0"/>
                                      <w:divBdr>
                                        <w:top w:val="none" w:sz="0" w:space="0" w:color="auto"/>
                                        <w:left w:val="none" w:sz="0" w:space="0" w:color="auto"/>
                                        <w:bottom w:val="none" w:sz="0" w:space="0" w:color="auto"/>
                                        <w:right w:val="none" w:sz="0" w:space="0" w:color="auto"/>
                                      </w:divBdr>
                                      <w:divsChild>
                                        <w:div w:id="8785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D75C-E9AB-478A-AC1E-BEC60D665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25</Pages>
  <Words>9667</Words>
  <Characters>55107</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uras</dc:creator>
  <cp:lastModifiedBy>Carolin Pflueger</cp:lastModifiedBy>
  <cp:revision>26</cp:revision>
  <cp:lastPrinted>2024-12-15T22:23:00Z</cp:lastPrinted>
  <dcterms:created xsi:type="dcterms:W3CDTF">2024-12-20T19:10:00Z</dcterms:created>
  <dcterms:modified xsi:type="dcterms:W3CDTF">2024-12-20T20:31:00Z</dcterms:modified>
</cp:coreProperties>
</file>