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traffic needs to be directed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https://localhost:8443</w:t>
        </w:r>
      </w:hyperlink>
      <w:r w:rsidDel="00000000" w:rsidR="00000000" w:rsidRPr="00000000">
        <w:rPr>
          <w:rtl w:val="0"/>
        </w:rPr>
        <w:t xml:space="preserve"> if being hosted on a local machine.</w:t>
        <w:br w:type="textWrapping"/>
        <w:br w:type="textWrapping"/>
      </w:r>
      <w:r w:rsidDel="00000000" w:rsidR="00000000" w:rsidRPr="00000000">
        <w:rPr>
          <w:rtl w:val="0"/>
        </w:rPr>
        <w:t xml:space="preserve">SuperUser(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8675621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Company</w:t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8675621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Role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8675621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Admin(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8675621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Evalutor_Admin(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admine@gmail.com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8675621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8675621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Reviewee user(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user1@gmail.com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 Groups they are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8675621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Reviewer user (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user2@gmail.com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173605"/>
            <wp:effectExtent b="0" l="0" r="0" t="0"/>
            <wp:docPr id="18675621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Uploaded Users (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FirstnameLastname2@company2.com</w:t>
        </w:r>
      </w:hyperlink>
      <w:r w:rsidDel="00000000" w:rsidR="00000000" w:rsidRPr="00000000">
        <w:rPr>
          <w:rtl w:val="0"/>
        </w:rPr>
        <w:t xml:space="preserve">) Password: &lt;FIRSTNAME ALL CAPS&gt;23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46C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6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63A9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hyperlink" Target="mailto:FirstnameLastname2@company2.com" TargetMode="External"/><Relationship Id="rId13" Type="http://schemas.openxmlformats.org/officeDocument/2006/relationships/image" Target="media/image8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localhost:8443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oP6ACv4Wl7t13eW7231LG2T+Q==">CgMxLjA4AHIhMU1pRkR4cmx1M2RHeGJjdlczT3N5WlRJYjZXelpyZnJG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2023-11-08T00:32:00Z</dcterms:created>
  <dc:creator>Nkurunziza, 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2023-11-06T12:39:06Z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1ba97efc-9307-419b-a7e1-62e2761ce01c</vt:lpwstr>
  </property>
  <property fmtid="{D5CDD505-2E9C-101B-9397-08002B2CF9AE}" pid="8" name="MSIP_Label_6914c80f-f1ea-4d98-8793-96e1abe086b5_ContentBits">
    <vt:lpwstr>0</vt:lpwstr>
  </property>
  <property fmtid="{D5CDD505-2E9C-101B-9397-08002B2CF9AE}" pid="9" name="MSIP_Label_6914c80f-f1ea-4d98-8793-96e1abe086b5_ContentBits">
    <vt:lpwstr>0</vt:lpwstr>
  </property>
  <property fmtid="{D5CDD505-2E9C-101B-9397-08002B2CF9AE}" pid="10" name="MSIP_Label_6914c80f-f1ea-4d98-8793-96e1abe086b5_Enabled">
    <vt:lpwstr>true</vt:lpwstr>
  </property>
  <property fmtid="{D5CDD505-2E9C-101B-9397-08002B2CF9AE}" pid="11" name="MSIP_Label_6914c80f-f1ea-4d98-8793-96e1abe086b5_SiteId">
    <vt:lpwstr>86555dba-073b-4ff7-b7d1-b73a77c5bd92</vt:lpwstr>
  </property>
  <property fmtid="{D5CDD505-2E9C-101B-9397-08002B2CF9AE}" pid="12" name="MSIP_Label_6914c80f-f1ea-4d98-8793-96e1abe086b5_Name">
    <vt:lpwstr>defa4170-0d19-0005-0004-bc88714345d2</vt:lpwstr>
  </property>
  <property fmtid="{D5CDD505-2E9C-101B-9397-08002B2CF9AE}" pid="13" name="MSIP_Label_6914c80f-f1ea-4d98-8793-96e1abe086b5_ActionId">
    <vt:lpwstr>1ba97efc-9307-419b-a7e1-62e2761ce01c</vt:lpwstr>
  </property>
  <property fmtid="{D5CDD505-2E9C-101B-9397-08002B2CF9AE}" pid="14" name="MSIP_Label_6914c80f-f1ea-4d98-8793-96e1abe086b5_Method">
    <vt:lpwstr>Standard</vt:lpwstr>
  </property>
  <property fmtid="{D5CDD505-2E9C-101B-9397-08002B2CF9AE}" pid="15" name="MSIP_Label_6914c80f-f1ea-4d98-8793-96e1abe086b5_SetDate">
    <vt:lpwstr>2023-11-06T12:39:06Z</vt:lpwstr>
  </property>
</Properties>
</file>