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ptos Display" w:hAnsi="Aptos Display"/>
          <w:b/>
          <w:color w:val="163A5F"/>
          <w:sz w:val="60"/>
        </w:rPr>
        <w:t>Retail Competitive Intelligence</w:t>
      </w:r>
    </w:p>
    <w:p>
      <w:pPr>
        <w:spacing w:after="360"/>
      </w:pPr>
      <w:r>
        <w:rPr>
          <w:rFonts w:ascii="Aptos" w:hAnsi="Aptos"/>
          <w:color w:val="5B6573"/>
          <w:sz w:val="30"/>
        </w:rPr>
        <w:t>Standalone Product Requirements, System Architecture, Data Contracts, and Codex Build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5B6573"/>
                <w:sz w:val="16"/>
              </w:rPr>
              <w:t>PRODUCT</w:t>
              <w:br/>
            </w:r>
            <w:r>
              <w:rPr>
                <w:b/>
                <w:color w:val="1F2937"/>
                <w:sz w:val="22"/>
              </w:rPr>
              <w:t>Standalone retailer competitive intelligence</w:t>
            </w:r>
          </w:p>
        </w:tc>
        <w:tc>
          <w:tcPr>
            <w:tcW w:type="dxa" w:w="3389"/>
            <w:shd w:fill="FFF6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5B6573"/>
                <w:sz w:val="16"/>
              </w:rPr>
              <w:t>V1 BENCHMARK</w:t>
              <w:br/>
            </w:r>
            <w:r>
              <w:rPr>
                <w:b/>
                <w:color w:val="1F2937"/>
                <w:sz w:val="22"/>
              </w:rPr>
              <w:t>Walmart US</w:t>
            </w:r>
          </w:p>
        </w:tc>
        <w:tc>
          <w:tcPr>
            <w:tcW w:type="dxa" w:w="3389"/>
            <w:shd w:fill="EA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5B6573"/>
                <w:sz w:val="16"/>
              </w:rPr>
              <w:t>FIRST SLICE</w:t>
              <w:br/>
            </w:r>
            <w:r>
              <w:rPr>
                <w:b/>
                <w:color w:val="1F2937"/>
                <w:sz w:val="22"/>
              </w:rPr>
              <w:t>Fresh Strawberries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3A5F"/>
                <w:sz w:val="20"/>
              </w:rPr>
              <w:t>Decision</w:t>
              <w:br/>
            </w:r>
            <w:r>
              <w:rPr>
                <w:color w:val="1F2937"/>
                <w:sz w:val="20"/>
              </w:rPr>
              <w:t>Build this as a standalone Railway-hosted application, separate from CPGHero. Reuse the analytical methodology learned from eggs, milk, bananas, and strawberries as a generic engine with versioned Product Packs.</w:t>
            </w:r>
          </w:p>
        </w:tc>
      </w:tr>
    </w:tbl>
    <w:p/>
    <w:p>
      <w:pPr>
        <w:pStyle w:val="Heading1"/>
        <w:keepNext/>
      </w:pPr>
      <w:r>
        <w:t>Executive Summary</w:t>
      </w:r>
    </w:p>
    <w:p>
      <w:pPr>
        <w:pStyle w:val="ListBullet"/>
        <w:spacing w:after="80"/>
      </w:pPr>
      <w:r>
        <w:t>One generic engine will collect retailer search data, normalize offers, classify products, create valid product matches, calculate local competitive price position, validate results, and generate leadership outputs.</w:t>
      </w:r>
    </w:p>
    <w:p>
      <w:pPr>
        <w:pStyle w:val="ListBullet"/>
        <w:spacing w:after="80"/>
      </w:pPr>
      <w:r>
        <w:t>Retailer-specific behavior belongs in Retailer Adapters. Product-category behavior belongs in Product Packs. These are independent configuration/plugin axes.</w:t>
      </w:r>
    </w:p>
    <w:p>
      <w:pPr>
        <w:pStyle w:val="ListBullet"/>
        <w:spacing w:after="80"/>
      </w:pPr>
      <w:r>
        <w:t>PostgreSQL is the V1 control plane and durable task queue. Large immutable raw/normalized datasets live in S3-compatible Railway object storage, with Polars/DuckDB used for analytics.</w:t>
      </w:r>
    </w:p>
    <w:p>
      <w:pPr>
        <w:pStyle w:val="ListBullet"/>
        <w:spacing w:after="80"/>
      </w:pPr>
      <w:r>
        <w:t>AI is bounded to ambiguous classification, comparison QA, insight interpretation, and narrative. It never becomes the authoritative calculator.</w:t>
      </w:r>
    </w:p>
    <w:p>
      <w:pPr>
        <w:pStyle w:val="ListBullet"/>
        <w:spacing w:after="80"/>
      </w:pPr>
      <w:r>
        <w:t>Fresh Strawberries is the first production acceptance case; Eggs, Milk, and Bananas are subsequent regression tests that prove the abstraction.</w:t>
      </w:r>
    </w:p>
    <w:p>
      <w:pPr>
        <w:pStyle w:val="Heading2"/>
        <w:keepNext/>
      </w:pPr>
      <w:r>
        <w:t>What is included in the Codex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8064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Included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Contracts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Product Pack, Collection Definition, Normalized Offer, Provider Error, AnalysisResult JSON Schemas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Collection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MetricsCart API samples, retailer endpoint/credit catalog, rate-limit design, durable queue SQL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Locations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Full 157,806-row location table, sample, profile, normalization rules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Analytics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Four reference Product Packs and validated golden outputs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Implementation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PostgreSQL schema, environment template, interface examples, staged Codex prompts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Quality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Prior HTML/Excel reference outputs and regression benchmarks</w:t>
            </w:r>
          </w:p>
        </w:tc>
      </w:tr>
    </w:tbl>
    <w:p/>
    <w:p>
      <w:pPr>
        <w:pStyle w:val="Heading1"/>
        <w:keepNext/>
      </w:pPr>
      <w:r>
        <w:t>1. Product Requirements</w:t>
      </w:r>
    </w:p>
    <w:p>
      <w:pPr>
        <w:pStyle w:val="Heading2"/>
        <w:keepNext/>
      </w:pPr>
      <w:r>
        <w:t>Target user and job</w:t>
      </w:r>
    </w:p>
    <w:p>
      <w:r>
        <w:t>The initial user is a retailer pricing, merchandising, category-management, or competitive-intelligence analyst who needs trustworthy store/ZIP-level evidence of assortment, availability, and price position against Walmart.</w:t>
      </w:r>
    </w:p>
    <w:p>
      <w:pPr>
        <w:pStyle w:val="Heading2"/>
        <w:keepNext/>
      </w:pPr>
      <w:r>
        <w:t>V1 workflow</w:t>
      </w:r>
    </w:p>
    <w:p>
      <w:pPr>
        <w:spacing w:after="80"/>
        <w:ind w:left="0" w:firstLine="0"/>
      </w:pPr>
      <w:r>
        <w:t>1.  Create or select a Product Pack and keyword collection definition.</w:t>
      </w:r>
    </w:p>
    <w:p>
      <w:pPr>
        <w:spacing w:after="80"/>
        <w:ind w:left="0" w:firstLine="0"/>
      </w:pPr>
      <w:r>
        <w:t>2.  Choose Walmart as benchmark, enable ALDI and Amazon Same Day, choose geography and page depth.</w:t>
      </w:r>
    </w:p>
    <w:p>
      <w:pPr>
        <w:spacing w:after="80"/>
        <w:ind w:left="0" w:firstLine="0"/>
      </w:pPr>
      <w:r>
        <w:t>3.  Review estimated location units, page count, and MetricsCart credits before starting.</w:t>
      </w:r>
    </w:p>
    <w:p>
      <w:pPr>
        <w:spacing w:after="80"/>
        <w:ind w:left="0" w:firstLine="0"/>
      </w:pPr>
      <w:r>
        <w:t>4.  Monitor collection progress, retries, 429 cooldowns, failures, and actual credits.</w:t>
      </w:r>
    </w:p>
    <w:p>
      <w:pPr>
        <w:spacing w:after="80"/>
        <w:ind w:left="0" w:firstLine="0"/>
      </w:pPr>
      <w:r>
        <w:t>5.  Normalize and classify products, run deterministic matching/analytics, review data quality and QA.</w:t>
      </w:r>
    </w:p>
    <w:p>
      <w:pPr>
        <w:spacing w:after="80"/>
        <w:ind w:left="0" w:firstLine="0"/>
      </w:pPr>
      <w:r>
        <w:t>6.  Publish the canonical AnalysisResult and render the app view, leadership HTML, Excel workbook, leadership email, and audit data.</w:t>
      </w:r>
    </w:p>
    <w:p>
      <w:pPr>
        <w:pStyle w:val="Heading2"/>
        <w:keepNext/>
      </w:pPr>
      <w:r>
        <w:t>V1 success criteria</w:t>
      </w:r>
    </w:p>
    <w:p>
      <w:pPr>
        <w:pStyle w:val="ListBullet"/>
        <w:spacing w:after="80"/>
      </w:pPr>
      <w:r>
        <w:t>Strawberry full-data results reproduce human-validated golden metrics within declared tolerances.</w:t>
      </w:r>
    </w:p>
    <w:p>
      <w:pPr>
        <w:pStyle w:val="ListBullet"/>
        <w:spacing w:after="80"/>
      </w:pPr>
      <w:r>
        <w:t>No strawberry-specific branching exists in the core collection/matching/analytics engine.</w:t>
      </w:r>
    </w:p>
    <w:p>
      <w:pPr>
        <w:pStyle w:val="ListBullet"/>
        <w:spacing w:after="80"/>
      </w:pPr>
      <w:r>
        <w:t>Adding eggs is primarily a Product Pack/configuration exercise plus only generic capability additions.</w:t>
      </w:r>
    </w:p>
    <w:p>
      <w:pPr>
        <w:pStyle w:val="ListBullet"/>
        <w:spacing w:after="80"/>
      </w:pPr>
      <w:r>
        <w:t>Estimated and actual page credits reconcile at retailer/run level.</w:t>
      </w:r>
    </w:p>
    <w:p>
      <w:pPr>
        <w:pStyle w:val="ListBullet"/>
        <w:spacing w:after="80"/>
      </w:pPr>
      <w:r>
        <w:t>Multiple worker replicas cannot duplicate tasks or multiply the global MetricsCart quota.</w:t>
      </w:r>
    </w:p>
    <w:p>
      <w:pPr>
        <w:pStyle w:val="Heading1"/>
        <w:keepNext/>
      </w:pPr>
      <w:r>
        <w:t>2.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7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7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Service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Railway service</w:t>
            </w:r>
          </w:p>
        </w:tc>
        <w:tc>
          <w:tcPr>
            <w:tcW w:type="dxa" w:w="8208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web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Next.js UI: collection wizard, run monitor, analysis workspace, report viewer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api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FastAPI control plane: auth, definitions, costs, runs, results, signed artifact access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worker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Python replicas: collection, normalization, classification, matching, analytics, exports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scheduler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Enqueue due definitions; can reuse worker image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postgres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Locations, durable queue, shared rate limit state, summaries, metadata, audit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bucket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Immutable raw JSON.GZ, Parquet datasets, HTML/XLSX/ZIP exports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3A5F"/>
                <w:sz w:val="20"/>
              </w:rPr>
              <w:t>V1 simplification</w:t>
              <w:br/>
            </w:r>
            <w:r>
              <w:rPr>
                <w:color w:val="1F2937"/>
                <w:sz w:val="20"/>
              </w:rPr>
              <w:t>Do not add Redis at the start. PostgreSQL already provides the durable queue, leases, shared rate-limit coordination, run state, and auditability we need. Add Redis only after measured evidence shows a benefit.</w:t>
            </w:r>
          </w:p>
        </w:tc>
      </w:tr>
    </w:tbl>
    <w:p/>
    <w:p>
      <w:pPr>
        <w:pStyle w:val="Heading1"/>
        <w:keepNext/>
      </w:pPr>
      <w:r>
        <w:t>3. Canonical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2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t>Raw API responses are persisted before transformation so the analysis can always be reproduced.</w:t>
      </w:r>
    </w:p>
    <w:p>
      <w:pPr>
        <w:pStyle w:val="ListBullet"/>
        <w:spacing w:after="80"/>
      </w:pPr>
      <w:r>
        <w:t>Normalized offers provide one retailer-independent representation of price, product identity, location, availability, pickup, and shipping.</w:t>
      </w:r>
    </w:p>
    <w:p>
      <w:pPr>
        <w:pStyle w:val="ListBullet"/>
        <w:spacing w:after="80"/>
      </w:pPr>
      <w:r>
        <w:t>Product Packs define category scope, attributes, matching profiles, normalization, QA rules, and forbidden metrics.</w:t>
      </w:r>
    </w:p>
    <w:p>
      <w:pPr>
        <w:pStyle w:val="ListBullet"/>
        <w:spacing w:after="80"/>
      </w:pPr>
      <w:r>
        <w:t>The immutable AnalysisResult is the only authoritative input to UI/report/email/alert renderers.</w:t>
      </w:r>
    </w:p>
    <w:p>
      <w:pPr>
        <w:pStyle w:val="Heading1"/>
        <w:keepNext/>
      </w:pPr>
      <w:r>
        <w:t>4. Location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944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Retailer/provider</w:t>
            </w:r>
          </w:p>
        </w:tc>
        <w:tc>
          <w:tcPr>
            <w:tcW w:type="dxa" w:w="1152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Locations</w:t>
            </w:r>
          </w:p>
        </w:tc>
        <w:tc>
          <w:tcPr>
            <w:tcW w:type="dxa" w:w="1296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Unique stores</w:t>
            </w:r>
          </w:p>
        </w:tc>
        <w:tc>
          <w:tcPr>
            <w:tcW w:type="dxa" w:w="1440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Normalized ZIPs</w:t>
            </w:r>
          </w:p>
        </w:tc>
        <w:tc>
          <w:tcPr>
            <w:tcW w:type="dxa" w:w="4320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Countries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Walmart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4,683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4,683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4,190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USA:4683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ALDI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2,627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2,627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2,499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USA:2627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kroger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2,668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2,668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1,072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USA:2667, (blank):1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Target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2,148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2,148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2,079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USA:2023, Australia:124, (blank):1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Safeway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927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927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804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USA:927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Albertsons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753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753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339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USA:753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H-E-B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365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365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295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USA:365</w:t>
            </w:r>
          </w:p>
        </w:tc>
      </w:tr>
    </w:tbl>
    <w:p/>
    <w:p>
      <w:pPr>
        <w:pStyle w:val="Heading2"/>
        <w:keepNext/>
      </w:pPr>
      <w:r>
        <w:t>Normalization requirements</w:t>
      </w:r>
    </w:p>
    <w:p>
      <w:pPr>
        <w:pStyle w:val="ListBullet"/>
        <w:spacing w:after="80"/>
      </w:pPr>
      <w:r>
        <w:t>Store_No and mc_location_id are strings; never cast provider/store identifiers to integers.</w:t>
      </w:r>
    </w:p>
    <w:p>
      <w:pPr>
        <w:pStyle w:val="ListBullet"/>
        <w:spacing w:after="80"/>
      </w:pPr>
      <w:r>
        <w:t>For USA/PR numeric ZIP values shorter than five digits, left-pad with zeros to five characters.</w:t>
      </w:r>
    </w:p>
    <w:p>
      <w:pPr>
        <w:pStyle w:val="ListBullet"/>
        <w:spacing w:after="80"/>
      </w:pPr>
      <w:r>
        <w:t>Retailer universe selection must include country; provider name alone is insufficient (e.g. Target includes USA and Australia).</w:t>
      </w:r>
    </w:p>
    <w:p>
      <w:pPr>
        <w:pStyle w:val="ListBullet"/>
        <w:spacing w:after="80"/>
      </w:pPr>
      <w:r>
        <w:t>Preserve raw values alongside normalized values for auditability.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3A5F"/>
                <w:sz w:val="20"/>
              </w:rPr>
              <w:t>Important edge case</w:t>
              <w:br/>
            </w:r>
            <w:r>
              <w:rPr>
                <w:color w:val="1F2937"/>
                <w:sz w:val="20"/>
              </w:rPr>
              <w:t>Target rows include USA and Australia in the same Provider value. Retailer-universe expansion must use canonical retailer + country. Store numbers and ZIPs are strings; leading zeros are meaningful.</w:t>
            </w:r>
          </w:p>
        </w:tc>
      </w:tr>
    </w:tbl>
    <w:p/>
    <w:p>
      <w:pPr>
        <w:pStyle w:val="Heading1"/>
        <w:keepNext/>
      </w:pPr>
      <w:r>
        <w:t>5. MetricsCart Collection Layer</w:t>
      </w:r>
    </w:p>
    <w:p>
      <w:pPr>
        <w:pStyle w:val="Heading2"/>
        <w:keepNext/>
      </w:pPr>
      <w:r>
        <w:t>Enabled V1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728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Retailer</w:t>
            </w:r>
          </w:p>
        </w:tc>
        <w:tc>
          <w:tcPr>
            <w:tcW w:type="dxa" w:w="3816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872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 grain</w:t>
            </w:r>
          </w:p>
        </w:tc>
        <w:tc>
          <w:tcPr>
            <w:tcW w:type="dxa" w:w="1152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Credits/page</w:t>
            </w:r>
          </w:p>
        </w:tc>
        <w:tc>
          <w:tcPr>
            <w:tcW w:type="dxa" w:w="1872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V1 status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Walmart US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/mc/walmart/search/zipcode/v2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Store + ZIP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Enabled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ALDI US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/mc/new_aldi/serp/zipcode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Store + ZIP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Enabled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Amazon Same Day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/mc/amazon/search/zipcode/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ZIP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Enabled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Kroger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/mc/kroger/search/zipcode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Store + ZIP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3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Catalogued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Target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/mc/target/search/zipcode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Pending verification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4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Disabled until verified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H-E-B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/mc/heb/serp/zipcode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Store + ZIP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Catalogued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Albertsons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/mc/albertsons/serp/zipcode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Store + ZIP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Catalogued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Safeway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/mc/safeway/serp/zipcode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Store + ZIP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Catalogued</w:t>
            </w:r>
          </w:p>
        </w:tc>
      </w:tr>
    </w:tbl>
    <w:p/>
    <w:p>
      <w:pPr>
        <w:pStyle w:val="Heading2"/>
        <w:keepNext/>
      </w:pPr>
      <w:r>
        <w:t>Shared provider controls</w:t>
      </w:r>
    </w:p>
    <w:p>
      <w:pPr>
        <w:pStyle w:val="ListBullet"/>
        <w:spacing w:after="80"/>
      </w:pPr>
      <w:r>
        <w:t>Provider key remains server-side and is passed as x-api-key query parameter only by the provider client.</w:t>
      </w:r>
    </w:p>
    <w:p>
      <w:pPr>
        <w:pStyle w:val="ListBullet"/>
        <w:spacing w:after="80"/>
      </w:pPr>
      <w:r>
        <w:t>Provider cap: 3 RPS / 180 RPM; application defaults conservatively to 2 RPS / 108 RPM globally per credential.</w:t>
      </w:r>
    </w:p>
    <w:p>
      <w:pPr>
        <w:pStyle w:val="ListBullet"/>
        <w:spacing w:after="80"/>
      </w:pPr>
      <w:r>
        <w:t>429 responses become retryable rate_limit failures and update one shared paused_until state for all worker replicas.</w:t>
      </w:r>
    </w:p>
    <w:p>
      <w:pPr>
        <w:pStyle w:val="ListBullet"/>
        <w:spacing w:after="80"/>
      </w:pPr>
      <w:r>
        <w:t>Products may appear under results, items, products, result.results, result.items, data.results, data.items, or data; generic extraction handles all supplied shapes.</w:t>
      </w:r>
    </w:p>
    <w:p>
      <w:pPr>
        <w:pStyle w:val="ListBullet"/>
        <w:spacing w:after="80"/>
      </w:pPr>
      <w:r>
        <w:t>Credits are counted on successful 2xx pages; cost estimate is location units × max pages × retailer credit rate.</w:t>
      </w:r>
    </w:p>
    <w:p>
      <w:pPr>
        <w:pStyle w:val="Heading2"/>
        <w:keepNext/>
      </w:pPr>
      <w:r>
        <w:t>One-page strawberry collection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160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Retailer</w:t>
            </w:r>
          </w:p>
        </w:tc>
        <w:tc>
          <w:tcPr>
            <w:tcW w:type="dxa" w:w="2160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 units</w:t>
            </w:r>
          </w:p>
        </w:tc>
        <w:tc>
          <w:tcPr>
            <w:tcW w:type="dxa" w:w="1440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Credits/page</w:t>
            </w:r>
          </w:p>
        </w:tc>
        <w:tc>
          <w:tcPr>
            <w:tcW w:type="dxa" w:w="1728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Estimated pages</w:t>
            </w:r>
          </w:p>
        </w:tc>
        <w:tc>
          <w:tcPr>
            <w:tcW w:type="dxa" w:w="1872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Estimated credits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Walmart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4,683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1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4,683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4,683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ALDI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2,627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2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2,627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5,254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Amazon Same Day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4,190 Walmart ZIPs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2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4,190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8,380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TOTAL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11,500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18,317</w:t>
            </w:r>
          </w:p>
        </w:tc>
      </w:tr>
    </w:tbl>
    <w:p/>
    <w:p>
      <w:pPr>
        <w:pStyle w:val="Heading1"/>
        <w:keepNext/>
      </w:pPr>
      <w:r>
        <w:t>6. Durable Queue and Worker Safety</w:t>
      </w:r>
    </w:p>
    <w:p>
      <w:pPr>
        <w:pStyle w:val="ListBullet"/>
        <w:spacing w:after="80"/>
      </w:pPr>
      <w:r>
        <w:t>Each collection task is identified by run + retailer + location scope + page + request fingerprint.</w:t>
      </w:r>
    </w:p>
    <w:p>
      <w:pPr>
        <w:pStyle w:val="ListBullet"/>
        <w:spacing w:after="80"/>
      </w:pPr>
      <w:r>
        <w:t>A unique database constraint prevents duplicate logical tasks.</w:t>
      </w:r>
    </w:p>
    <w:p>
      <w:pPr>
        <w:pStyle w:val="ListBullet"/>
        <w:spacing w:after="80"/>
      </w:pPr>
      <w:r>
        <w:t>Workers claim tasks transactionally with FOR UPDATE SKIP LOCKED, assign worker ID, lock time, and lease expiry.</w:t>
      </w:r>
    </w:p>
    <w:p>
      <w:pPr>
        <w:pStyle w:val="ListBullet"/>
        <w:spacing w:after="80"/>
      </w:pPr>
      <w:r>
        <w:t>Expired leases can be reclaimed after worker failure.</w:t>
      </w:r>
    </w:p>
    <w:p>
      <w:pPr>
        <w:pStyle w:val="ListBullet"/>
        <w:spacing w:after="80"/>
      </w:pPr>
      <w:r>
        <w:t>Run cancellation prevents new claims while retaining already collected immutable evidence.</w:t>
      </w:r>
    </w:p>
    <w:p>
      <w:pPr>
        <w:pStyle w:val="ListBullet"/>
        <w:spacing w:after="80"/>
      </w:pPr>
      <w:r>
        <w:t>Actual credits are applied idempotently only once for a successful billable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3A5F"/>
                <w:sz w:val="20"/>
              </w:rPr>
              <w:t>Why this matters</w:t>
              <w:br/>
            </w:r>
            <w:r>
              <w:rPr>
                <w:color w:val="1F2937"/>
                <w:sz w:val="20"/>
              </w:rPr>
              <w:t>The previous Search Monitor design correctly identified that process-local throttles become unsafe when Railway replicas scale. The standalone app solves that from V1 with a shared Postgres permit/cooldown state.</w:t>
            </w:r>
          </w:p>
        </w:tc>
      </w:tr>
    </w:tbl>
    <w:p/>
    <w:p>
      <w:pPr>
        <w:pStyle w:val="Heading1"/>
        <w:keepNext/>
      </w:pPr>
      <w:r>
        <w:t>7. Product Pack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 Pack</w:t>
            </w:r>
          </w:p>
        </w:tc>
        <w:tc>
          <w:tcPr>
            <w:tcW w:type="dxa" w:w="1800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unit problem</w:t>
            </w:r>
          </w:p>
        </w:tc>
        <w:tc>
          <w:tcPr>
            <w:tcW w:type="dxa" w:w="4320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Critical attributes / modes</w:t>
            </w:r>
          </w:p>
        </w:tc>
        <w:tc>
          <w:tcPr>
            <w:tcW w:type="dxa" w:w="3168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Important guardrail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Fresh Shell Eggs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Count/package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count, size, grade, color, organic, housing, brand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Price/dozen only after valid product match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Fresh Fluid Milk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Volume/package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volume, fat %, flavor, organic, lactose-free, ultrafiltered, A2, brand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Exact package size; keep same-brand, private-label, and equivalent modes separate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Fresh Bananas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Each vs weight/bunch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organic, variety, each/lb, bunch count, brand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do not equate each-price gap with weight economics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Fresh Strawberries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Package weight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weight, organic, form, specialty, brand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do not invent price per strawberry without count</w:t>
            </w:r>
          </w:p>
        </w:tc>
      </w:tr>
    </w:tbl>
    <w:p/>
    <w:p>
      <w:pPr>
        <w:pStyle w:val="Heading2"/>
        <w:keepNext/>
      </w:pPr>
      <w:r>
        <w:t>Core rule</w:t>
      </w:r>
    </w:p>
    <w:p>
      <w:r>
        <w:t>A new category should be added by publishing a new Product Pack. If common engine code begins accumulating category-name conditionals, the abstraction has failed and should be redesigned.</w:t>
      </w:r>
    </w:p>
    <w:p>
      <w:pPr>
        <w:pStyle w:val="Heading1"/>
        <w:keepNext/>
      </w:pPr>
      <w:r>
        <w:t>8. AI Agent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4320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Allowed</w:t>
            </w:r>
          </w:p>
        </w:tc>
        <w:tc>
          <w:tcPr>
            <w:tcW w:type="dxa" w:w="4752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Forbidden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Classification fallback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Resolve ambiguous inclusion/attributes with structured confidence/evidence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Authoritative prices, counts, medians, unit conversions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Comparison QA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Recommend reject/review for suspicious matches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Silently rewrite comparison values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Insight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Rank validated findings and implications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Create new unsupported statistics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Narrative/report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Write leadership prose from AnalysisResult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Recalculate analytics independently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3A5F"/>
                <w:sz w:val="20"/>
              </w:rPr>
              <w:t>Default operating mode</w:t>
              <w:br/>
            </w:r>
            <w:r>
              <w:rPr>
                <w:color w:val="1F2937"/>
                <w:sz w:val="20"/>
              </w:rPr>
              <w:t>AI can be feature-gated. Deterministic rules plus human review must remain a viable path if AI is disabled or unavailable.</w:t>
            </w:r>
          </w:p>
        </w:tc>
      </w:tr>
    </w:tbl>
    <w:p/>
    <w:p>
      <w:pPr>
        <w:pStyle w:val="Heading1"/>
        <w:keepNext/>
      </w:pPr>
      <w:r>
        <w:t>9. Data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8928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2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Storage strategy</w:t>
      </w:r>
    </w:p>
    <w:p>
      <w:pPr>
        <w:pStyle w:val="ListBullet"/>
        <w:spacing w:after="80"/>
      </w:pPr>
      <w:r>
        <w:t>PostgreSQL stores control-plane state, not every heavy analytical row.</w:t>
      </w:r>
    </w:p>
    <w:p>
      <w:pPr>
        <w:pStyle w:val="ListBullet"/>
        <w:spacing w:after="80"/>
      </w:pPr>
      <w:r>
        <w:t>Raw pages, normalized/classified offers, match detail, and exports are immutable object artifacts; Parquet is the preferred analytical format.</w:t>
      </w:r>
    </w:p>
    <w:p>
      <w:pPr>
        <w:pStyle w:val="ListBullet"/>
        <w:spacing w:after="80"/>
      </w:pPr>
      <w:r>
        <w:t>AnalysisResult stores summary truth and provenance, including Product Pack version, collection definition version, artifact checksums, analytics build SHA, and AI metadata.</w:t>
      </w:r>
    </w:p>
    <w:p>
      <w:pPr>
        <w:pStyle w:val="Heading1"/>
        <w:keepNext/>
      </w:pPr>
      <w:r>
        <w:t>10. Application UX</w:t>
      </w:r>
    </w:p>
    <w:p>
      <w:pPr>
        <w:pStyle w:val="Heading2"/>
        <w:keepNext/>
      </w:pPr>
      <w:r>
        <w:t>Primary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8352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Dashboard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Recent runs, failures, provider usage, major active alerts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Collections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New Collection, definitions, run history, scheduling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Analyses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Current/historical analyses, compare runs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Product Packs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Versions and configuration viewer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Reports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HTML, Excel, leadership email, audit package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Data Quality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Collection coverage, classification QA, match quality, API errors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Admin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Retailer adapters, location master, usage/credits, users/settings</w:t>
            </w:r>
          </w:p>
        </w:tc>
      </w:tr>
    </w:tbl>
    <w:p/>
    <w:p>
      <w:pPr>
        <w:pStyle w:val="Heading2"/>
        <w:keepNext/>
      </w:pPr>
      <w:r>
        <w:t>New Collection wizard</w:t>
      </w:r>
    </w:p>
    <w:p>
      <w:pPr>
        <w:spacing w:after="80"/>
        <w:ind w:left="0" w:firstLine="0"/>
      </w:pPr>
      <w:r>
        <w:t>1.  What to analyze</w:t>
      </w:r>
    </w:p>
    <w:p>
      <w:pPr>
        <w:spacing w:after="80"/>
        <w:ind w:left="0" w:firstLine="0"/>
      </w:pPr>
      <w:r>
        <w:t>2.  Geography</w:t>
      </w:r>
    </w:p>
    <w:p>
      <w:pPr>
        <w:spacing w:after="80"/>
        <w:ind w:left="0" w:firstLine="0"/>
      </w:pPr>
      <w:r>
        <w:t>3.  Collection depth</w:t>
      </w:r>
    </w:p>
    <w:p>
      <w:pPr>
        <w:spacing w:after="80"/>
        <w:ind w:left="0" w:firstLine="0"/>
      </w:pPr>
      <w:r>
        <w:t>4.  Cost estimate</w:t>
      </w:r>
    </w:p>
    <w:p>
      <w:pPr>
        <w:spacing w:after="80"/>
        <w:ind w:left="0" w:firstLine="0"/>
      </w:pPr>
      <w:r>
        <w:t>5.  Analysis options</w:t>
      </w:r>
    </w:p>
    <w:p>
      <w:pPr>
        <w:spacing w:after="80"/>
        <w:ind w:left="0" w:firstLine="0"/>
      </w:pPr>
      <w:r>
        <w:t>6.  Review &amp; Run</w:t>
      </w:r>
    </w:p>
    <w:p>
      <w:pPr>
        <w:pStyle w:val="Heading1"/>
        <w:keepNext/>
      </w:pPr>
      <w:r>
        <w:t>11. Golden Regression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2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Validated source rows</w:t>
            </w:r>
          </w:p>
        </w:tc>
        <w:tc>
          <w:tcPr>
            <w:tcW w:type="dxa" w:w="6480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stress-tests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Eggs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386,889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count/size/claims, many competitors, strict vs relaxed matching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Milk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348,980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volume, specialty claims, same-brand/private-label/equivalent modes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Bananas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168,440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each vs $/lb, bunch counts, variety/type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Strawberries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297,443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exact package weight, $/lb, organic, proximity sensitivity</w:t>
            </w:r>
          </w:p>
        </w:tc>
      </w:tr>
    </w:tbl>
    <w:p/>
    <w:p>
      <w:pPr>
        <w:pStyle w:val="Heading2"/>
        <w:keepNext/>
      </w:pPr>
      <w:r>
        <w:t>Strawberry headline acceptance checks</w:t>
      </w:r>
    </w:p>
    <w:p>
      <w:pPr>
        <w:pStyle w:val="ListBullet"/>
        <w:spacing w:after="80"/>
      </w:pPr>
      <w:r>
        <w:t>Walmart lower in 2,775 of 2,776 strict ALDI same-weight matches (99.96%).</w:t>
      </w:r>
    </w:p>
    <w:p>
      <w:pPr>
        <w:pStyle w:val="ListBullet"/>
        <w:spacing w:after="80"/>
      </w:pPr>
      <w:r>
        <w:t>ALDI 10-mile validation: Walmart lower in 5,236 of 5,237 store/product matches.</w:t>
      </w:r>
    </w:p>
    <w:p>
      <w:pPr>
        <w:pStyle w:val="ListBullet"/>
        <w:spacing w:after="80"/>
      </w:pPr>
      <w:r>
        <w:t>Amazon 1 lb conventional: Amazon lower in about 69.4% of 630 exact ZIP matches.</w:t>
      </w:r>
    </w:p>
    <w:p>
      <w:pPr>
        <w:pStyle w:val="ListBullet"/>
        <w:spacing w:after="80"/>
      </w:pPr>
      <w:r>
        <w:t>Amazon 2 lb conventional: Walmart lower in about 94.2% of 497 exact ZIP matches.</w:t>
      </w:r>
    </w:p>
    <w:p>
      <w:pPr>
        <w:pStyle w:val="ListBullet"/>
        <w:spacing w:after="80"/>
      </w:pPr>
      <w:r>
        <w:t>Amazon 1 lb organic: about 70.2% parity within the validated tolerance.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3A5F"/>
                <w:sz w:val="20"/>
              </w:rPr>
              <w:t>Regression policy</w:t>
              <w:br/>
            </w:r>
            <w:r>
              <w:rPr>
                <w:color w:val="1F2937"/>
                <w:sz w:val="20"/>
              </w:rPr>
              <w:t>A changed golden metric can be legitimate, but it requires an explicit benchmark/version update with old/new values and evidence that the new method is more correct. Never silently drift.</w:t>
            </w:r>
          </w:p>
        </w:tc>
      </w:tr>
    </w:tbl>
    <w:p/>
    <w:p>
      <w:pPr>
        <w:pStyle w:val="Heading1"/>
        <w:keepNext/>
      </w:pPr>
      <w:r>
        <w:t>12. Codex Build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04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6912"/>
            <w:shd w:fill="0071C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Exit condition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Phase 0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Repository foundation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Monorepo, pinned dependencies, migrations, CI, schema validation.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Phase 1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Location Master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Import 157,806 rows, normalize ZIP/country/aliases, expose counts/search.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Phase 2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Collection Control Plane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Definitions, estimates, runs, Postgres queue, leases, fake provider.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Phase 3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MetricsCart Adapters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Walmart, ALDI, Amazon Same Day; raw persistence; shared throttling; retries.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Phase 4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Strawberry Runtime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Canonical offers, Product Pack loading, classification, Parquet.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Phase 5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Analytics &amp; Validation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Strict/$lb/proximity matching, AnalysisResult, full golden regression.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Phase 6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UI &amp; Deliveries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Run monitor, analysis tabs, HTML/XLSX/email/audit renderers.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Phase 7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Railway Production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Services, bucket, migrations, health, safe worker scaling.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Phase 8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Prove Abstraction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color w:val="1F2937"/>
                <w:sz w:val="17"/>
              </w:rPr>
              <w:t>Eggs, milk, bananas; audit product-specific code paths.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Phase 9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Automation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Schedules, alerts, historical compare, budgets, email delivery.</w:t>
            </w:r>
          </w:p>
        </w:tc>
      </w:tr>
    </w:tbl>
    <w:p/>
    <w:p>
      <w:pPr>
        <w:pStyle w:val="Heading2"/>
        <w:keepNext/>
      </w:pPr>
      <w:r>
        <w:t>How to start Codex</w:t>
      </w:r>
    </w:p>
    <w:p>
      <w:pPr>
        <w:spacing w:after="80"/>
        <w:ind w:left="0" w:firstLine="0"/>
      </w:pPr>
      <w:r>
        <w:t>1.  Create a new Git repository and place the handoff package at the root.</w:t>
      </w:r>
    </w:p>
    <w:p>
      <w:pPr>
        <w:spacing w:after="80"/>
        <w:ind w:left="0" w:firstLine="0"/>
      </w:pPr>
      <w:r>
        <w:t>2.  Have Codex read AGENTS.md before any implementation task.</w:t>
      </w:r>
    </w:p>
    <w:p>
      <w:pPr>
        <w:spacing w:after="80"/>
        <w:ind w:left="0" w:firstLine="0"/>
      </w:pPr>
      <w:r>
        <w:t>3.  Send prompts/00_CODEX_MASTER_PLANNING_PROMPT.md and explicitly require plan-only output.</w:t>
      </w:r>
    </w:p>
    <w:p>
      <w:pPr>
        <w:spacing w:after="80"/>
        <w:ind w:left="0" w:firstLine="0"/>
      </w:pPr>
      <w:r>
        <w:t>4.  Review/approve the repo plan, then execute the numbered phase prompts in order.</w:t>
      </w:r>
    </w:p>
    <w:p>
      <w:pPr>
        <w:spacing w:after="80"/>
        <w:ind w:left="0" w:firstLine="0"/>
      </w:pPr>
      <w:r>
        <w:t>5.  Attach the full strawberry raw datasets when Phase 5 is ready for full regression; later attach eggs, milk, and bananas.</w:t>
      </w:r>
    </w:p>
    <w:p>
      <w:pPr>
        <w:pStyle w:val="Heading1"/>
        <w:keepNext/>
      </w:pPr>
      <w:r>
        <w:t>13. Security and Operations</w:t>
      </w:r>
    </w:p>
    <w:p>
      <w:pPr>
        <w:pStyle w:val="ListBullet"/>
        <w:spacing w:after="80"/>
      </w:pPr>
      <w:r>
        <w:t>API keys, database credentials, and object-storage secrets remain server-side Railway environment variables.</w:t>
      </w:r>
    </w:p>
    <w:p>
      <w:pPr>
        <w:pStyle w:val="ListBullet"/>
        <w:spacing w:after="80"/>
      </w:pPr>
      <w:r>
        <w:t>Bucket is private by default; downloads use short-lived signed URLs.</w:t>
      </w:r>
    </w:p>
    <w:p>
      <w:pPr>
        <w:pStyle w:val="ListBullet"/>
        <w:spacing w:after="80"/>
      </w:pPr>
      <w:r>
        <w:t>Structured logs contain run/task/retailer/location/page/worker/attempt but redact x-api-key.</w:t>
      </w:r>
    </w:p>
    <w:p>
      <w:pPr>
        <w:pStyle w:val="ListBullet"/>
        <w:spacing w:after="80"/>
      </w:pPr>
      <w:r>
        <w:t>Roles: Admin, Analyst, Viewer.</w:t>
      </w:r>
    </w:p>
    <w:p>
      <w:pPr>
        <w:pStyle w:val="ListBullet"/>
        <w:spacing w:after="80"/>
      </w:pPr>
      <w:r>
        <w:t>Monitor 429s, retries, task lease expiry, queue latency, provider latency, actual/estimated credits, classification review rates, match rates, QA blockers, artifact failures.</w:t>
      </w:r>
    </w:p>
    <w:p>
      <w:pPr>
        <w:pStyle w:val="Heading1"/>
        <w:keepNext/>
      </w:pPr>
      <w:r>
        <w:t>14. Open Items That Are Not Build Blockers</w:t>
      </w:r>
    </w:p>
    <w:p>
      <w:pPr>
        <w:pStyle w:val="ListBullet"/>
        <w:spacing w:after="80"/>
      </w:pPr>
      <w:r>
        <w:t>Target ZIP endpoint needs one live verification because the newer catalog conflicts with an older snapshot.</w:t>
      </w:r>
    </w:p>
    <w:p>
      <w:pPr>
        <w:pStyle w:val="ListBullet"/>
        <w:spacing w:after="80"/>
      </w:pPr>
      <w:r>
        <w:t>Exact provider page-size/has-more semantics were not supplied; V1 uses explicit max pages and stop-on-empty rather than guessing.</w:t>
      </w:r>
    </w:p>
    <w:p>
      <w:pPr>
        <w:pStyle w:val="ListBullet"/>
        <w:spacing w:after="80"/>
      </w:pPr>
      <w:r>
        <w:t>Credits/page are known, but a credit-to-dollar conversion was not supplied. Track credits first; add dollar cost when an authoritative conversion is provided.</w:t>
      </w:r>
    </w:p>
    <w:p>
      <w:pPr>
        <w:pStyle w:val="ListBullet"/>
        <w:spacing w:after="80"/>
      </w:pPr>
      <w:r>
        <w:t>Final product name/branding can be decided after the functional vertical slice is proven.</w:t>
      </w:r>
    </w:p>
    <w:p>
      <w:pPr>
        <w:pStyle w:val="Heading1"/>
        <w:keepNext/>
      </w:pPr>
      <w:r>
        <w:t>15. Package Inventory</w:t>
      </w:r>
    </w:p>
    <w:p>
      <w:pPr>
        <w:pStyle w:val="ListBullet"/>
        <w:spacing w:after="80"/>
      </w:pPr>
      <w:r>
        <w:t>Normative schemas and examples.</w:t>
      </w:r>
    </w:p>
    <w:p>
      <w:pPr>
        <w:pStyle w:val="ListBullet"/>
        <w:spacing w:after="80"/>
      </w:pPr>
      <w:r>
        <w:t>Four versioned reference Product Packs.</w:t>
      </w:r>
    </w:p>
    <w:p>
      <w:pPr>
        <w:pStyle w:val="ListBullet"/>
        <w:spacing w:after="80"/>
      </w:pPr>
      <w:r>
        <w:t>Full location master plus normalization profile.</w:t>
      </w:r>
    </w:p>
    <w:p>
      <w:pPr>
        <w:pStyle w:val="ListBullet"/>
        <w:spacing w:after="80"/>
      </w:pPr>
      <w:r>
        <w:t>Walmart, ALDI, Amazon response fixtures and 429 example.</w:t>
      </w:r>
    </w:p>
    <w:p>
      <w:pPr>
        <w:pStyle w:val="ListBullet"/>
        <w:spacing w:after="80"/>
      </w:pPr>
      <w:r>
        <w:t>Retailer endpoints/credits catalog.</w:t>
      </w:r>
    </w:p>
    <w:p>
      <w:pPr>
        <w:pStyle w:val="ListBullet"/>
        <w:spacing w:after="80"/>
      </w:pPr>
      <w:r>
        <w:t>PostgreSQL control-plane schema and safe queue-claim reference SQL.</w:t>
      </w:r>
    </w:p>
    <w:p>
      <w:pPr>
        <w:pStyle w:val="ListBullet"/>
        <w:spacing w:after="80"/>
      </w:pPr>
      <w:r>
        <w:t>Four validated regression summaries and prior HTML/Excel outputs.</w:t>
      </w:r>
    </w:p>
    <w:p>
      <w:pPr>
        <w:pStyle w:val="ListBullet"/>
        <w:spacing w:after="80"/>
      </w:pPr>
      <w:r>
        <w:t>Codex master planning prompt plus nine implementation-phase prompts.</w:t>
      </w:r>
    </w:p>
    <w:p>
      <w:pPr>
        <w:pStyle w:val="ListBullet"/>
        <w:spacing w:after="80"/>
      </w:pPr>
      <w:r>
        <w:t>AGENTS.md architectural guardrails and README startup instructions.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3A5F"/>
                <w:sz w:val="20"/>
              </w:rPr>
              <w:t>Recommended next action</w:t>
              <w:br/>
            </w:r>
            <w:r>
              <w:rPr>
                <w:color w:val="1F2937"/>
                <w:sz w:val="20"/>
              </w:rPr>
              <w:t>Give Codex the entire ZIP, have it unpack into a new repository, then send only the Master Planning Prompt first. Do not start by asking it to build the app in one large pass.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Standalone Codex Handoff • August 7,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Retail Competitive Intelligence | Implementation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1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A5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