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6AD" w:rsidRDefault="00894592" w:rsidP="00894592">
      <w:pPr>
        <w:pStyle w:val="Heading2"/>
      </w:pPr>
      <w:r w:rsidRPr="0015367B">
        <w:rPr>
          <w:rStyle w:val="Heading1Char"/>
        </w:rPr>
        <w:t>Methodology</w:t>
      </w:r>
      <w:r w:rsidR="0015367B">
        <w:br/>
      </w:r>
      <w:r w:rsidR="004773CF">
        <w:t xml:space="preserve">Identifying 2018 Waterloo-affiliated OA output in </w:t>
      </w:r>
      <w:r w:rsidR="004773CF">
        <w:t>Web of Science</w:t>
      </w:r>
      <w:r w:rsidR="004773CF">
        <w:br/>
      </w:r>
    </w:p>
    <w:p w:rsidR="00877718" w:rsidRPr="00FE41B3" w:rsidRDefault="00894592" w:rsidP="00FE41B3">
      <w:pPr>
        <w:rPr>
          <w:rFonts w:cstheme="minorHAnsi"/>
        </w:rPr>
      </w:pPr>
      <w:r w:rsidRPr="00FE41B3">
        <w:rPr>
          <w:rStyle w:val="Heading3Char"/>
        </w:rPr>
        <w:t>Data source</w:t>
      </w:r>
      <w:r w:rsidR="00F4753F" w:rsidRPr="00FE41B3">
        <w:rPr>
          <w:rStyle w:val="Heading3Char"/>
        </w:rPr>
        <w:t>s</w:t>
      </w:r>
      <w:r w:rsidR="00FE41B3">
        <w:rPr>
          <w:rStyle w:val="Heading3Char"/>
        </w:rPr>
        <w:br/>
      </w:r>
      <w:r w:rsidR="0044718E">
        <w:rPr>
          <w:rFonts w:cstheme="minorHAnsi"/>
        </w:rPr>
        <w:t>Web of Science</w:t>
      </w:r>
      <w:r w:rsidR="0044718E">
        <w:rPr>
          <w:rFonts w:cstheme="minorHAnsi"/>
        </w:rPr>
        <w:br/>
      </w:r>
      <w:r w:rsidRPr="00FE41B3">
        <w:rPr>
          <w:rFonts w:cstheme="minorHAnsi"/>
        </w:rPr>
        <w:t>InCites</w:t>
      </w:r>
    </w:p>
    <w:p w:rsidR="00894592" w:rsidRPr="00FE41B3" w:rsidRDefault="00FE41B3" w:rsidP="00FE41B3">
      <w:pPr>
        <w:rPr>
          <w:rFonts w:cstheme="minorHAnsi"/>
        </w:rPr>
      </w:pPr>
      <w:r>
        <w:rPr>
          <w:rStyle w:val="Heading3Char"/>
        </w:rPr>
        <w:t xml:space="preserve">Date </w:t>
      </w:r>
      <w:r w:rsidR="00A62B36">
        <w:rPr>
          <w:rStyle w:val="Heading3Char"/>
        </w:rPr>
        <w:t>of searching</w:t>
      </w:r>
      <w:r>
        <w:rPr>
          <w:rStyle w:val="Heading3Char"/>
        </w:rPr>
        <w:br/>
      </w:r>
      <w:r w:rsidR="004773CF">
        <w:rPr>
          <w:rFonts w:cstheme="minorHAnsi"/>
        </w:rPr>
        <w:t>May 30, 2019</w:t>
      </w:r>
    </w:p>
    <w:p w:rsidR="00BF0068" w:rsidRDefault="00FE41B3" w:rsidP="00FE41B3">
      <w:pPr>
        <w:rPr>
          <w:rFonts w:cstheme="minorHAnsi"/>
        </w:rPr>
      </w:pPr>
      <w:r>
        <w:rPr>
          <w:rStyle w:val="Heading3Char"/>
        </w:rPr>
        <w:t xml:space="preserve">Search </w:t>
      </w:r>
      <w:r w:rsidR="00A94DB0">
        <w:rPr>
          <w:rStyle w:val="Heading3Char"/>
        </w:rPr>
        <w:t>strategy</w:t>
      </w:r>
    </w:p>
    <w:p w:rsidR="00BF0068" w:rsidRPr="00BF0068" w:rsidRDefault="00BF0068" w:rsidP="00BF0068">
      <w:pPr>
        <w:pStyle w:val="ListParagraph"/>
        <w:numPr>
          <w:ilvl w:val="0"/>
          <w:numId w:val="2"/>
        </w:numPr>
        <w:rPr>
          <w:rFonts w:cstheme="minorHAnsi"/>
        </w:rPr>
      </w:pPr>
      <w:r>
        <w:rPr>
          <w:rFonts w:cstheme="minorHAnsi"/>
        </w:rPr>
        <w:t xml:space="preserve">Identify </w:t>
      </w:r>
      <w:r w:rsidR="004773CF">
        <w:rPr>
          <w:rFonts w:cstheme="minorHAnsi"/>
        </w:rPr>
        <w:t>2018</w:t>
      </w:r>
      <w:r>
        <w:rPr>
          <w:rFonts w:cstheme="minorHAnsi"/>
        </w:rPr>
        <w:t xml:space="preserve"> Waterloo-affiliated publications in Web of Science</w:t>
      </w:r>
    </w:p>
    <w:p w:rsidR="00F071DF" w:rsidRDefault="00877718" w:rsidP="00BF0068">
      <w:pPr>
        <w:ind w:left="720"/>
      </w:pPr>
      <w:r w:rsidRPr="00FE41B3">
        <w:rPr>
          <w:rFonts w:cstheme="minorHAnsi"/>
        </w:rPr>
        <w:t>Organization: University of Waterloo</w:t>
      </w:r>
      <w:r w:rsidR="00602A59">
        <w:rPr>
          <w:rFonts w:cstheme="minorHAnsi"/>
        </w:rPr>
        <w:t xml:space="preserve"> </w:t>
      </w:r>
      <w:r w:rsidR="00602A59" w:rsidRPr="00602A59">
        <w:rPr>
          <w:rFonts w:cstheme="minorHAnsi"/>
        </w:rPr>
        <w:sym w:font="Wingdings" w:char="F0E0"/>
      </w:r>
      <w:r w:rsidR="00602A59">
        <w:rPr>
          <w:rFonts w:cstheme="minorHAnsi"/>
        </w:rPr>
        <w:t xml:space="preserve"> </w:t>
      </w:r>
      <w:r w:rsidR="00E97E02">
        <w:rPr>
          <w:rFonts w:cstheme="minorHAnsi"/>
        </w:rPr>
        <w:t>Publication date</w:t>
      </w:r>
      <w:r w:rsidRPr="00FE41B3">
        <w:rPr>
          <w:rFonts w:cstheme="minorHAnsi"/>
        </w:rPr>
        <w:t xml:space="preserve">: </w:t>
      </w:r>
      <w:r w:rsidR="004773CF">
        <w:rPr>
          <w:rFonts w:cstheme="minorHAnsi"/>
        </w:rPr>
        <w:t>2018</w:t>
      </w:r>
      <w:r w:rsidR="00602A59">
        <w:rPr>
          <w:rFonts w:cstheme="minorHAnsi"/>
        </w:rPr>
        <w:t xml:space="preserve"> </w:t>
      </w:r>
      <w:r w:rsidR="00602A59" w:rsidRPr="00602A59">
        <w:rPr>
          <w:rFonts w:cstheme="minorHAnsi"/>
        </w:rPr>
        <w:sym w:font="Wingdings" w:char="F0E0"/>
      </w:r>
      <w:r w:rsidR="00602A59">
        <w:rPr>
          <w:rFonts w:cstheme="minorHAnsi"/>
        </w:rPr>
        <w:t xml:space="preserve"> </w:t>
      </w:r>
      <w:r w:rsidR="00F071DF" w:rsidRPr="00F071DF">
        <w:rPr>
          <w:rFonts w:cstheme="minorHAnsi"/>
        </w:rPr>
        <w:t xml:space="preserve">4,044 </w:t>
      </w:r>
      <w:r w:rsidR="00420F63">
        <w:t>results</w:t>
      </w:r>
    </w:p>
    <w:p w:rsidR="00F071DF" w:rsidRDefault="00F071DF" w:rsidP="00BF0068">
      <w:pPr>
        <w:ind w:left="720"/>
      </w:pPr>
      <w:r>
        <w:rPr>
          <w:noProof/>
          <w:lang w:val="en-CA" w:eastAsia="en-CA"/>
        </w:rPr>
        <w:drawing>
          <wp:inline distT="0" distB="0" distL="0" distR="0" wp14:anchorId="00411D80" wp14:editId="6DC8D43A">
            <wp:extent cx="1741602" cy="22891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48016" cy="2297581"/>
                    </a:xfrm>
                    <a:prstGeom prst="rect">
                      <a:avLst/>
                    </a:prstGeom>
                  </pic:spPr>
                </pic:pic>
              </a:graphicData>
            </a:graphic>
          </wp:inline>
        </w:drawing>
      </w:r>
    </w:p>
    <w:p w:rsidR="00A7635E" w:rsidRPr="009B4E07" w:rsidRDefault="00BF0068" w:rsidP="00A37C61">
      <w:pPr>
        <w:pStyle w:val="ListParagraph"/>
        <w:numPr>
          <w:ilvl w:val="0"/>
          <w:numId w:val="2"/>
        </w:numPr>
        <w:rPr>
          <w:rFonts w:cstheme="minorHAnsi"/>
        </w:rPr>
      </w:pPr>
      <w:r w:rsidRPr="009B4E07">
        <w:rPr>
          <w:rFonts w:cstheme="minorHAnsi"/>
        </w:rPr>
        <w:t>Within th</w:t>
      </w:r>
      <w:r w:rsidR="00A7635E" w:rsidRPr="009B4E07">
        <w:rPr>
          <w:rFonts w:cstheme="minorHAnsi"/>
        </w:rPr>
        <w:t xml:space="preserve">e WoS results, </w:t>
      </w:r>
      <w:r w:rsidRPr="009B4E07">
        <w:rPr>
          <w:rFonts w:cstheme="minorHAnsi"/>
        </w:rPr>
        <w:t xml:space="preserve">identify publications identified as </w:t>
      </w:r>
      <w:r w:rsidR="00F071DF" w:rsidRPr="009B4E07">
        <w:rPr>
          <w:rFonts w:cstheme="minorHAnsi"/>
        </w:rPr>
        <w:t>OA</w:t>
      </w:r>
      <w:r w:rsidR="00A7635E" w:rsidRPr="009B4E07">
        <w:rPr>
          <w:rFonts w:cstheme="minorHAnsi"/>
        </w:rPr>
        <w:t xml:space="preserve"> &amp; export results to InCites</w:t>
      </w:r>
      <w:r w:rsidRPr="009B4E07">
        <w:rPr>
          <w:rFonts w:cstheme="minorHAnsi"/>
        </w:rPr>
        <w:br/>
      </w:r>
      <w:r w:rsidR="00F4753F" w:rsidRPr="009B4E07">
        <w:rPr>
          <w:rFonts w:cstheme="minorHAnsi"/>
        </w:rPr>
        <w:br/>
      </w:r>
      <w:r w:rsidR="00F071DF">
        <w:rPr>
          <w:noProof/>
          <w:lang w:val="en-CA" w:eastAsia="en-CA"/>
        </w:rPr>
        <w:drawing>
          <wp:inline distT="0" distB="0" distL="0" distR="0" wp14:anchorId="15FBB561" wp14:editId="0CA9453A">
            <wp:extent cx="1510284" cy="11131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8303" cy="1119094"/>
                    </a:xfrm>
                    <a:prstGeom prst="rect">
                      <a:avLst/>
                    </a:prstGeom>
                  </pic:spPr>
                </pic:pic>
              </a:graphicData>
            </a:graphic>
          </wp:inline>
        </w:drawing>
      </w:r>
      <w:r w:rsidR="000D7EA7" w:rsidRPr="009B4E07">
        <w:rPr>
          <w:rFonts w:cstheme="minorHAnsi"/>
        </w:rPr>
        <w:br/>
      </w:r>
      <w:r w:rsidR="000D7EA7">
        <w:rPr>
          <w:noProof/>
          <w:lang w:val="en-CA" w:eastAsia="en-CA"/>
        </w:rPr>
        <w:drawing>
          <wp:inline distT="0" distB="0" distL="0" distR="0" wp14:anchorId="576B3E87" wp14:editId="7DFEF0DD">
            <wp:extent cx="1867369" cy="1874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5528" cy="1883152"/>
                    </a:xfrm>
                    <a:prstGeom prst="rect">
                      <a:avLst/>
                    </a:prstGeom>
                  </pic:spPr>
                </pic:pic>
              </a:graphicData>
            </a:graphic>
          </wp:inline>
        </w:drawing>
      </w:r>
      <w:r w:rsidR="00F071DF" w:rsidRPr="009B4E07">
        <w:rPr>
          <w:rFonts w:cstheme="minorHAnsi"/>
        </w:rPr>
        <w:br/>
      </w:r>
      <w:r w:rsidR="000D7EA7" w:rsidRPr="009B4E07">
        <w:rPr>
          <w:rFonts w:cstheme="minorHAnsi"/>
        </w:rPr>
        <w:t xml:space="preserve">Filter results by: Open Access </w:t>
      </w:r>
      <w:r w:rsidR="000D7EA7" w:rsidRPr="00420F63">
        <w:sym w:font="Wingdings" w:char="F0E0"/>
      </w:r>
      <w:r w:rsidR="000D7EA7" w:rsidRPr="009B4E07">
        <w:rPr>
          <w:rFonts w:cstheme="minorHAnsi"/>
        </w:rPr>
        <w:t xml:space="preserve"> 901 results (WoS) </w:t>
      </w:r>
      <w:r w:rsidR="000D7EA7" w:rsidRPr="00420F63">
        <w:sym w:font="Wingdings" w:char="F0E0"/>
      </w:r>
      <w:r w:rsidR="000D7EA7" w:rsidRPr="009B4E07">
        <w:rPr>
          <w:rFonts w:cstheme="minorHAnsi"/>
        </w:rPr>
        <w:t xml:space="preserve"> exported to InCites as this dataset: “Waterloo 2018 OA output May 30 2019” </w:t>
      </w:r>
      <w:r w:rsidR="000D7EA7" w:rsidRPr="00F071DF">
        <w:rPr>
          <w:b/>
        </w:rPr>
        <w:sym w:font="Wingdings" w:char="F0E0"/>
      </w:r>
      <w:r w:rsidR="000D7EA7" w:rsidRPr="009B4E07">
        <w:rPr>
          <w:rFonts w:cstheme="minorHAnsi"/>
          <w:b/>
        </w:rPr>
        <w:t xml:space="preserve">  </w:t>
      </w:r>
      <w:r w:rsidR="00B01DCD" w:rsidRPr="009B4E07">
        <w:rPr>
          <w:rFonts w:cstheme="minorHAnsi"/>
        </w:rPr>
        <w:t>752</w:t>
      </w:r>
      <w:r w:rsidR="000D7EA7" w:rsidRPr="009B4E07">
        <w:rPr>
          <w:rFonts w:cstheme="minorHAnsi"/>
        </w:rPr>
        <w:t xml:space="preserve"> results (InCites) </w:t>
      </w:r>
      <w:r w:rsidR="000D7EA7" w:rsidRPr="00420F63">
        <w:sym w:font="Wingdings" w:char="F0E0"/>
      </w:r>
      <w:r w:rsidR="000D7EA7" w:rsidRPr="009B4E07">
        <w:rPr>
          <w:rFonts w:cstheme="minorHAnsi"/>
        </w:rPr>
        <w:t xml:space="preserve"> saved as: </w:t>
      </w:r>
      <w:r w:rsidR="00B01DCD" w:rsidRPr="009B4E07">
        <w:rPr>
          <w:rFonts w:cstheme="minorHAnsi"/>
          <w:i/>
        </w:rPr>
        <w:t>OA 2018 WoS.csv</w:t>
      </w:r>
      <w:r w:rsidR="00B01DCD" w:rsidRPr="009B4E07">
        <w:rPr>
          <w:rFonts w:cstheme="minorHAnsi"/>
          <w:b/>
          <w:i/>
        </w:rPr>
        <w:br/>
      </w:r>
      <w:r w:rsidR="00B01DCD" w:rsidRPr="009B4E07">
        <w:rPr>
          <w:rFonts w:cstheme="minorHAnsi"/>
          <w:b/>
          <w:i/>
        </w:rPr>
        <w:lastRenderedPageBreak/>
        <w:br/>
      </w:r>
    </w:p>
    <w:p w:rsidR="00A7635E" w:rsidRDefault="00A7635E" w:rsidP="00A7635E">
      <w:pPr>
        <w:pStyle w:val="ListParagraph"/>
        <w:numPr>
          <w:ilvl w:val="0"/>
          <w:numId w:val="2"/>
        </w:numPr>
        <w:rPr>
          <w:rFonts w:cstheme="minorHAnsi"/>
        </w:rPr>
      </w:pPr>
      <w:r>
        <w:rPr>
          <w:rFonts w:cstheme="minorHAnsi"/>
        </w:rPr>
        <w:t xml:space="preserve">Within the same WoS </w:t>
      </w:r>
      <w:r w:rsidR="00700826">
        <w:rPr>
          <w:rFonts w:cstheme="minorHAnsi"/>
        </w:rPr>
        <w:t>results</w:t>
      </w:r>
      <w:r>
        <w:rPr>
          <w:rFonts w:cstheme="minorHAnsi"/>
        </w:rPr>
        <w:t>, identify the OA Publications identified as “Other Gold” &amp; export results to InCites</w:t>
      </w:r>
    </w:p>
    <w:p w:rsidR="009B4E07" w:rsidRDefault="009B4E07" w:rsidP="00700826">
      <w:pPr>
        <w:ind w:left="720"/>
      </w:pPr>
      <w:r>
        <w:rPr>
          <w:noProof/>
          <w:lang w:val="en-CA" w:eastAsia="en-CA"/>
        </w:rPr>
        <w:drawing>
          <wp:inline distT="0" distB="0" distL="0" distR="0" wp14:anchorId="5660BAD7" wp14:editId="5C205F92">
            <wp:extent cx="1725433" cy="1262357"/>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9934" cy="1272966"/>
                    </a:xfrm>
                    <a:prstGeom prst="rect">
                      <a:avLst/>
                    </a:prstGeom>
                  </pic:spPr>
                </pic:pic>
              </a:graphicData>
            </a:graphic>
          </wp:inline>
        </w:drawing>
      </w:r>
    </w:p>
    <w:p w:rsidR="009B4E07" w:rsidRDefault="009B4E07" w:rsidP="00700826">
      <w:pPr>
        <w:ind w:left="720"/>
      </w:pPr>
      <w:r>
        <w:rPr>
          <w:noProof/>
          <w:lang w:val="en-CA" w:eastAsia="en-CA"/>
        </w:rPr>
        <w:drawing>
          <wp:inline distT="0" distB="0" distL="0" distR="0" wp14:anchorId="1606B69F" wp14:editId="2628C5F9">
            <wp:extent cx="1860919" cy="1997084"/>
            <wp:effectExtent l="0" t="0" r="635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8901" cy="2005650"/>
                    </a:xfrm>
                    <a:prstGeom prst="rect">
                      <a:avLst/>
                    </a:prstGeom>
                  </pic:spPr>
                </pic:pic>
              </a:graphicData>
            </a:graphic>
          </wp:inline>
        </w:drawing>
      </w:r>
    </w:p>
    <w:p w:rsidR="009B4E07" w:rsidRPr="009B4E07" w:rsidRDefault="009B4E07" w:rsidP="009B4E07">
      <w:pPr>
        <w:ind w:left="720"/>
        <w:rPr>
          <w:rFonts w:cstheme="minorHAnsi"/>
          <w:b/>
        </w:rPr>
      </w:pPr>
      <w:r>
        <w:rPr>
          <w:rFonts w:cstheme="minorHAnsi"/>
        </w:rPr>
        <w:t xml:space="preserve">“View all options” </w:t>
      </w:r>
      <w:r w:rsidRPr="006B25E5">
        <w:rPr>
          <w:rFonts w:cstheme="minorHAnsi"/>
        </w:rPr>
        <w:sym w:font="Wingdings" w:char="F0E0"/>
      </w:r>
      <w:r>
        <w:rPr>
          <w:rFonts w:cstheme="minorHAnsi"/>
        </w:rPr>
        <w:t xml:space="preserve"> Open Access </w:t>
      </w:r>
      <w:r w:rsidRPr="006B25E5">
        <w:rPr>
          <w:rFonts w:cstheme="minorHAnsi"/>
        </w:rPr>
        <w:sym w:font="Wingdings" w:char="F0E0"/>
      </w:r>
      <w:r>
        <w:rPr>
          <w:rFonts w:cstheme="minorHAnsi"/>
        </w:rPr>
        <w:t xml:space="preserve"> Other Gold </w:t>
      </w:r>
      <w:r w:rsidRPr="00420F63">
        <w:rPr>
          <w:rFonts w:cstheme="minorHAnsi"/>
        </w:rPr>
        <w:sym w:font="Wingdings" w:char="F0E0"/>
      </w:r>
      <w:r>
        <w:rPr>
          <w:rFonts w:cstheme="minorHAnsi"/>
        </w:rPr>
        <w:t xml:space="preserve"> 309 results (WoS) </w:t>
      </w:r>
      <w:r w:rsidRPr="00420F63">
        <w:rPr>
          <w:rFonts w:cstheme="minorHAnsi"/>
        </w:rPr>
        <w:sym w:font="Wingdings" w:char="F0E0"/>
      </w:r>
      <w:r>
        <w:rPr>
          <w:rFonts w:cstheme="minorHAnsi"/>
        </w:rPr>
        <w:t xml:space="preserve"> Exported to InCites as this dataset: </w:t>
      </w:r>
      <w:r w:rsidRPr="009B4E07">
        <w:rPr>
          <w:rFonts w:cstheme="minorHAnsi"/>
        </w:rPr>
        <w:t xml:space="preserve">“Waterloo 2018 </w:t>
      </w:r>
      <w:r>
        <w:rPr>
          <w:rFonts w:cstheme="minorHAnsi"/>
        </w:rPr>
        <w:t xml:space="preserve">other gold </w:t>
      </w:r>
      <w:r w:rsidRPr="009B4E07">
        <w:rPr>
          <w:rFonts w:cstheme="minorHAnsi"/>
        </w:rPr>
        <w:t xml:space="preserve">output May 30 2019” </w:t>
      </w:r>
      <w:r w:rsidRPr="00420F63">
        <w:rPr>
          <w:rFonts w:cstheme="minorHAnsi"/>
        </w:rPr>
        <w:sym w:font="Wingdings" w:char="F0E0"/>
      </w:r>
      <w:r>
        <w:rPr>
          <w:rFonts w:cstheme="minorHAnsi"/>
        </w:rPr>
        <w:t xml:space="preserve"> 255 </w:t>
      </w:r>
      <w:r w:rsidRPr="00420F63">
        <w:rPr>
          <w:rFonts w:cstheme="minorHAnsi"/>
        </w:rPr>
        <w:sym w:font="Wingdings" w:char="F0E0"/>
      </w:r>
      <w:r>
        <w:rPr>
          <w:rFonts w:cstheme="minorHAnsi"/>
        </w:rPr>
        <w:t xml:space="preserve"> </w:t>
      </w:r>
      <w:bookmarkStart w:id="0" w:name="_GoBack"/>
      <w:bookmarkEnd w:id="0"/>
      <w:r>
        <w:rPr>
          <w:rFonts w:cstheme="minorHAnsi"/>
        </w:rPr>
        <w:t xml:space="preserve">saved as: </w:t>
      </w:r>
      <w:r w:rsidRPr="009B4E07">
        <w:rPr>
          <w:rFonts w:cstheme="minorHAnsi"/>
          <w:i/>
        </w:rPr>
        <w:t>OA other gold 2018 WoS.csv</w:t>
      </w:r>
    </w:p>
    <w:p w:rsidR="00BD28B5" w:rsidRPr="00BD28B5" w:rsidRDefault="00BD28B5" w:rsidP="009B4E07">
      <w:pPr>
        <w:pStyle w:val="ListParagraph"/>
        <w:rPr>
          <w:rFonts w:cstheme="minorHAnsi"/>
        </w:rPr>
      </w:pPr>
    </w:p>
    <w:tbl>
      <w:tblPr>
        <w:tblpPr w:leftFromText="180" w:rightFromText="180" w:vertAnchor="text" w:horzAnchor="margin" w:tblpXSpec="center" w:tblpY="182"/>
        <w:tblW w:w="9360" w:type="dxa"/>
        <w:tblCellMar>
          <w:left w:w="0" w:type="dxa"/>
          <w:right w:w="0" w:type="dxa"/>
        </w:tblCellMar>
        <w:tblLook w:val="04A0" w:firstRow="1" w:lastRow="0" w:firstColumn="1" w:lastColumn="0" w:noHBand="0" w:noVBand="1"/>
      </w:tblPr>
      <w:tblGrid>
        <w:gridCol w:w="889"/>
        <w:gridCol w:w="8471"/>
      </w:tblGrid>
      <w:tr w:rsidR="00BD28B5" w:rsidRPr="00BD28B5" w:rsidTr="009B4E07">
        <w:tc>
          <w:tcPr>
            <w:tcW w:w="88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D28B5" w:rsidRPr="00BD28B5" w:rsidRDefault="00BD28B5" w:rsidP="00BD28B5">
            <w:pPr>
              <w:rPr>
                <w:rFonts w:cstheme="minorHAnsi"/>
                <w:b/>
                <w:bCs/>
              </w:rPr>
            </w:pPr>
            <w:r w:rsidRPr="00BD28B5">
              <w:rPr>
                <w:rFonts w:cstheme="minorHAnsi"/>
                <w:b/>
                <w:bCs/>
              </w:rPr>
              <w:t>Data source</w:t>
            </w:r>
          </w:p>
        </w:tc>
        <w:tc>
          <w:tcPr>
            <w:tcW w:w="847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BD28B5" w:rsidRPr="00BD28B5" w:rsidRDefault="00BD28B5" w:rsidP="00BD28B5">
            <w:pPr>
              <w:spacing w:after="240"/>
              <w:rPr>
                <w:rFonts w:cstheme="minorHAnsi"/>
                <w:b/>
                <w:bCs/>
              </w:rPr>
            </w:pPr>
            <w:r w:rsidRPr="00BD28B5">
              <w:rPr>
                <w:rFonts w:cstheme="minorHAnsi"/>
                <w:b/>
                <w:bCs/>
              </w:rPr>
              <w:t>What data does the OA filter include?</w:t>
            </w:r>
          </w:p>
        </w:tc>
      </w:tr>
      <w:tr w:rsidR="00BD28B5" w:rsidRPr="00BD28B5" w:rsidTr="009B4E07">
        <w:tc>
          <w:tcPr>
            <w:tcW w:w="889"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D28B5" w:rsidRPr="00BD28B5" w:rsidRDefault="00BD28B5" w:rsidP="00BD28B5">
            <w:pPr>
              <w:rPr>
                <w:rFonts w:cstheme="minorHAnsi"/>
              </w:rPr>
            </w:pPr>
            <w:r w:rsidRPr="00BD28B5">
              <w:rPr>
                <w:rFonts w:cstheme="minorHAnsi"/>
              </w:rPr>
              <w:t>Web of Science</w:t>
            </w:r>
          </w:p>
          <w:p w:rsidR="00BD28B5" w:rsidRPr="00BD28B5" w:rsidRDefault="00BD28B5" w:rsidP="00BD28B5">
            <w:pPr>
              <w:rPr>
                <w:rFonts w:cstheme="minorHAnsi"/>
              </w:rPr>
            </w:pPr>
          </w:p>
        </w:tc>
        <w:tc>
          <w:tcPr>
            <w:tcW w:w="8471" w:type="dxa"/>
            <w:tcBorders>
              <w:top w:val="nil"/>
              <w:left w:val="nil"/>
              <w:bottom w:val="single" w:sz="8" w:space="0" w:color="auto"/>
              <w:right w:val="single" w:sz="8" w:space="0" w:color="auto"/>
            </w:tcBorders>
            <w:tcMar>
              <w:top w:w="0" w:type="dxa"/>
              <w:left w:w="108" w:type="dxa"/>
              <w:bottom w:w="0" w:type="dxa"/>
              <w:right w:w="108" w:type="dxa"/>
            </w:tcMar>
            <w:hideMark/>
          </w:tcPr>
          <w:p w:rsidR="00BD28B5" w:rsidRPr="00BD28B5" w:rsidRDefault="009B4E07" w:rsidP="00CD71E2">
            <w:pPr>
              <w:rPr>
                <w:rFonts w:cstheme="minorHAnsi"/>
              </w:rPr>
            </w:pPr>
            <w:hyperlink r:id="rId10" w:history="1">
              <w:r w:rsidR="00CD71E2" w:rsidRPr="00CD71E2">
                <w:rPr>
                  <w:rStyle w:val="Hyperlink"/>
                  <w:rFonts w:cstheme="minorHAnsi"/>
                </w:rPr>
                <w:t>Open Access</w:t>
              </w:r>
            </w:hyperlink>
            <w:r w:rsidR="00CD71E2">
              <w:rPr>
                <w:rFonts w:cstheme="minorHAnsi"/>
              </w:rPr>
              <w:t xml:space="preserve">: </w:t>
            </w:r>
            <w:r w:rsidR="00BD28B5" w:rsidRPr="00BD28B5">
              <w:rPr>
                <w:rFonts w:cstheme="minorHAnsi"/>
              </w:rPr>
              <w:t xml:space="preserve">Includes all OA (gold/green/bronze); can export into InCites as a custom dataset. “In 2014 we invented OA discovery, and in 2017 we partnered with Impactstory to provide better identification of Open Access publications already indexed in the Web of Science, and now, in 2018 we extended our offering to include legal peer-reviewed Green and previously hidden Hybrid Gold.” (source: </w:t>
            </w:r>
            <w:hyperlink r:id="rId11" w:history="1">
              <w:r w:rsidR="00BD28B5" w:rsidRPr="00BD28B5">
                <w:rPr>
                  <w:rStyle w:val="Hyperlink"/>
                  <w:rFonts w:cstheme="minorHAnsi"/>
                  <w:color w:val="auto"/>
                </w:rPr>
                <w:t>OA on Web of Science</w:t>
              </w:r>
            </w:hyperlink>
            <w:r w:rsidR="00BD28B5" w:rsidRPr="00BD28B5">
              <w:rPr>
                <w:rFonts w:cstheme="minorHAnsi"/>
              </w:rPr>
              <w:t xml:space="preserve">). From Clarivate: “Just take note that Bronze OA fluctuates as it is promotional and temporary decisions by publishers and no set time or patterns can be taken into consideration.” More information: </w:t>
            </w:r>
            <w:hyperlink r:id="rId12" w:history="1">
              <w:r w:rsidR="00BD28B5" w:rsidRPr="00BD28B5">
                <w:rPr>
                  <w:rStyle w:val="Hyperlink"/>
                  <w:rFonts w:cstheme="minorHAnsi"/>
                  <w:color w:val="auto"/>
                </w:rPr>
                <w:t>OA Fact Sheet</w:t>
              </w:r>
            </w:hyperlink>
            <w:r w:rsidR="00BD28B5" w:rsidRPr="00BD28B5">
              <w:rPr>
                <w:rFonts w:cstheme="minorHAnsi"/>
              </w:rPr>
              <w:t xml:space="preserve">, and </w:t>
            </w:r>
            <w:hyperlink r:id="rId13" w:history="1">
              <w:r w:rsidR="00BD28B5" w:rsidRPr="00BD28B5">
                <w:rPr>
                  <w:rStyle w:val="Hyperlink"/>
                  <w:rFonts w:cstheme="minorHAnsi"/>
                  <w:color w:val="auto"/>
                </w:rPr>
                <w:t>OA content in Web of Science (video)</w:t>
              </w:r>
            </w:hyperlink>
            <w:r w:rsidR="00E84D66">
              <w:rPr>
                <w:rStyle w:val="Hyperlink"/>
                <w:rFonts w:cstheme="minorHAnsi"/>
                <w:color w:val="auto"/>
              </w:rPr>
              <w:br/>
            </w:r>
            <w:r w:rsidR="00E84D66">
              <w:rPr>
                <w:rStyle w:val="Hyperlink"/>
                <w:rFonts w:cstheme="minorHAnsi"/>
                <w:color w:val="auto"/>
              </w:rPr>
              <w:br/>
            </w:r>
            <w:hyperlink r:id="rId14" w:history="1">
              <w:r w:rsidR="00E84D66" w:rsidRPr="00E84D66">
                <w:rPr>
                  <w:rStyle w:val="Hyperlink"/>
                  <w:rFonts w:cstheme="minorHAnsi"/>
                </w:rPr>
                <w:t>Other Gold</w:t>
              </w:r>
            </w:hyperlink>
            <w:r w:rsidR="00E84D66">
              <w:rPr>
                <w:rFonts w:cstheme="minorHAnsi"/>
              </w:rPr>
              <w:t>: “</w:t>
            </w:r>
            <w:r w:rsidR="00E84D66" w:rsidRPr="00E84D66">
              <w:rPr>
                <w:rFonts w:cstheme="minorHAnsi"/>
              </w:rPr>
              <w:t>Most of these articles are from hybrid journals. Hybrid open access journals are subscription journals that include some open access articles.</w:t>
            </w:r>
            <w:r w:rsidR="00E84D66">
              <w:rPr>
                <w:rFonts w:cstheme="minorHAnsi"/>
              </w:rPr>
              <w:t xml:space="preserve"> K</w:t>
            </w:r>
            <w:r w:rsidR="00E84D66" w:rsidRPr="00E84D66">
              <w:rPr>
                <w:rFonts w:cstheme="minorHAnsi"/>
              </w:rPr>
              <w:t>eep in mind, identification of Other Gold as an indicator of Hybrid Gold open access articles is at varying levels of completeness, especially for newly published items.</w:t>
            </w:r>
            <w:r w:rsidR="00E84D66">
              <w:rPr>
                <w:rFonts w:cstheme="minorHAnsi"/>
              </w:rPr>
              <w:t xml:space="preserve">” </w:t>
            </w:r>
            <w:r w:rsidR="00E84D66" w:rsidRPr="00E84D66">
              <w:rPr>
                <w:rFonts w:cstheme="minorHAnsi"/>
                <w:u w:val="single"/>
              </w:rPr>
              <w:t>Therefore is useful as a proxy but is not perfect.</w:t>
            </w:r>
            <w:r w:rsidR="00E84D66">
              <w:rPr>
                <w:rFonts w:cstheme="minorHAnsi"/>
              </w:rPr>
              <w:t xml:space="preserve"> </w:t>
            </w:r>
          </w:p>
        </w:tc>
      </w:tr>
    </w:tbl>
    <w:p w:rsidR="00BD28B5" w:rsidRPr="00BD28B5" w:rsidRDefault="00BD28B5" w:rsidP="00BD28B5">
      <w:pPr>
        <w:rPr>
          <w:rFonts w:cstheme="minorHAnsi"/>
        </w:rPr>
      </w:pPr>
    </w:p>
    <w:sectPr w:rsidR="00BD28B5" w:rsidRPr="00BD28B5" w:rsidSect="00BD28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68A1"/>
    <w:multiLevelType w:val="hybridMultilevel"/>
    <w:tmpl w:val="40AEA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357899"/>
    <w:multiLevelType w:val="hybridMultilevel"/>
    <w:tmpl w:val="D6E8F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592"/>
    <w:rsid w:val="00011E5D"/>
    <w:rsid w:val="0004706C"/>
    <w:rsid w:val="000D7EA7"/>
    <w:rsid w:val="0015367B"/>
    <w:rsid w:val="00187D4D"/>
    <w:rsid w:val="00190B61"/>
    <w:rsid w:val="002678B1"/>
    <w:rsid w:val="00297BDE"/>
    <w:rsid w:val="00383C4D"/>
    <w:rsid w:val="00420F63"/>
    <w:rsid w:val="004273DC"/>
    <w:rsid w:val="0044718E"/>
    <w:rsid w:val="004773CF"/>
    <w:rsid w:val="0055773A"/>
    <w:rsid w:val="00602A59"/>
    <w:rsid w:val="0066688B"/>
    <w:rsid w:val="006857BB"/>
    <w:rsid w:val="006B25E5"/>
    <w:rsid w:val="00700826"/>
    <w:rsid w:val="007B0373"/>
    <w:rsid w:val="00877718"/>
    <w:rsid w:val="00894592"/>
    <w:rsid w:val="00983B05"/>
    <w:rsid w:val="00986D9F"/>
    <w:rsid w:val="009B4E07"/>
    <w:rsid w:val="009C0BD3"/>
    <w:rsid w:val="009F42F2"/>
    <w:rsid w:val="00A02375"/>
    <w:rsid w:val="00A02E02"/>
    <w:rsid w:val="00A62B36"/>
    <w:rsid w:val="00A7635E"/>
    <w:rsid w:val="00A94DB0"/>
    <w:rsid w:val="00B01DCD"/>
    <w:rsid w:val="00BD28B5"/>
    <w:rsid w:val="00BF0068"/>
    <w:rsid w:val="00C60D8C"/>
    <w:rsid w:val="00C807FB"/>
    <w:rsid w:val="00CD71E2"/>
    <w:rsid w:val="00DF4390"/>
    <w:rsid w:val="00DF5FE8"/>
    <w:rsid w:val="00E366BB"/>
    <w:rsid w:val="00E608BA"/>
    <w:rsid w:val="00E84D66"/>
    <w:rsid w:val="00E97E02"/>
    <w:rsid w:val="00ED26C5"/>
    <w:rsid w:val="00F071DF"/>
    <w:rsid w:val="00F4753F"/>
    <w:rsid w:val="00FE41B3"/>
    <w:rsid w:val="00FF0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64AE9"/>
  <w15:chartTrackingRefBased/>
  <w15:docId w15:val="{BFB8D1A8-FAC2-478D-89E2-F3BC3887F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36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45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1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87D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592"/>
    <w:pPr>
      <w:ind w:left="720"/>
      <w:contextualSpacing/>
    </w:pPr>
  </w:style>
  <w:style w:type="character" w:customStyle="1" w:styleId="Heading2Char">
    <w:name w:val="Heading 2 Char"/>
    <w:basedOn w:val="DefaultParagraphFont"/>
    <w:link w:val="Heading2"/>
    <w:uiPriority w:val="9"/>
    <w:rsid w:val="0089459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D28B5"/>
    <w:rPr>
      <w:color w:val="0563C1"/>
      <w:u w:val="single"/>
    </w:rPr>
  </w:style>
  <w:style w:type="character" w:customStyle="1" w:styleId="Heading1Char">
    <w:name w:val="Heading 1 Char"/>
    <w:basedOn w:val="DefaultParagraphFont"/>
    <w:link w:val="Heading1"/>
    <w:uiPriority w:val="9"/>
    <w:rsid w:val="0015367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E41B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87D4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79956">
      <w:bodyDiv w:val="1"/>
      <w:marLeft w:val="0"/>
      <w:marRight w:val="0"/>
      <w:marTop w:val="0"/>
      <w:marBottom w:val="0"/>
      <w:divBdr>
        <w:top w:val="none" w:sz="0" w:space="0" w:color="auto"/>
        <w:left w:val="none" w:sz="0" w:space="0" w:color="auto"/>
        <w:bottom w:val="none" w:sz="0" w:space="0" w:color="auto"/>
        <w:right w:val="none" w:sz="0" w:space="0" w:color="auto"/>
      </w:divBdr>
    </w:div>
    <w:div w:id="844828421">
      <w:bodyDiv w:val="1"/>
      <w:marLeft w:val="0"/>
      <w:marRight w:val="0"/>
      <w:marTop w:val="0"/>
      <w:marBottom w:val="0"/>
      <w:divBdr>
        <w:top w:val="none" w:sz="0" w:space="0" w:color="auto"/>
        <w:left w:val="none" w:sz="0" w:space="0" w:color="auto"/>
        <w:bottom w:val="none" w:sz="0" w:space="0" w:color="auto"/>
        <w:right w:val="none" w:sz="0" w:space="0" w:color="auto"/>
      </w:divBdr>
    </w:div>
    <w:div w:id="1086263070">
      <w:bodyDiv w:val="1"/>
      <w:marLeft w:val="0"/>
      <w:marRight w:val="0"/>
      <w:marTop w:val="0"/>
      <w:marBottom w:val="0"/>
      <w:divBdr>
        <w:top w:val="none" w:sz="0" w:space="0" w:color="auto"/>
        <w:left w:val="none" w:sz="0" w:space="0" w:color="auto"/>
        <w:bottom w:val="none" w:sz="0" w:space="0" w:color="auto"/>
        <w:right w:val="none" w:sz="0" w:space="0" w:color="auto"/>
      </w:divBdr>
    </w:div>
    <w:div w:id="1486582528">
      <w:bodyDiv w:val="1"/>
      <w:marLeft w:val="0"/>
      <w:marRight w:val="0"/>
      <w:marTop w:val="0"/>
      <w:marBottom w:val="0"/>
      <w:divBdr>
        <w:top w:val="none" w:sz="0" w:space="0" w:color="auto"/>
        <w:left w:val="none" w:sz="0" w:space="0" w:color="auto"/>
        <w:bottom w:val="none" w:sz="0" w:space="0" w:color="auto"/>
        <w:right w:val="none" w:sz="0" w:space="0" w:color="auto"/>
      </w:divBdr>
    </w:div>
    <w:div w:id="1922595147">
      <w:bodyDiv w:val="1"/>
      <w:marLeft w:val="0"/>
      <w:marRight w:val="0"/>
      <w:marTop w:val="0"/>
      <w:marBottom w:val="0"/>
      <w:divBdr>
        <w:top w:val="none" w:sz="0" w:space="0" w:color="auto"/>
        <w:left w:val="none" w:sz="0" w:space="0" w:color="auto"/>
        <w:bottom w:val="none" w:sz="0" w:space="0" w:color="auto"/>
        <w:right w:val="none" w:sz="0" w:space="0" w:color="auto"/>
      </w:divBdr>
    </w:div>
    <w:div w:id="213490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time_continue=60&amp;v=F98qREBOr7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larivate.com/wp-content/uploads/2018/10/WOS_Open-Access_OCT-Update-FINAL-1.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larivate.com/products/web-of-science/open-access"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images.webofknowledge.com/images/help/WOS/hp_whatsnew_wos.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images.webofknowledge.com/images/help/WOS/hp_whatsnew_w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Gordon</dc:creator>
  <cp:keywords/>
  <dc:description/>
  <cp:lastModifiedBy>Shannon Gordon</cp:lastModifiedBy>
  <cp:revision>101</cp:revision>
  <dcterms:created xsi:type="dcterms:W3CDTF">2019-01-31T18:13:00Z</dcterms:created>
  <dcterms:modified xsi:type="dcterms:W3CDTF">2019-05-30T15:32:00Z</dcterms:modified>
</cp:coreProperties>
</file>