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8A655" w14:textId="77777777" w:rsidR="005271A5" w:rsidRPr="00075B34" w:rsidRDefault="00F21DF3" w:rsidP="003C45CC">
      <w:pPr>
        <w:jc w:val="both"/>
        <w:rPr>
          <w:b/>
        </w:rPr>
      </w:pPr>
      <w:r w:rsidRPr="00075B34">
        <w:rPr>
          <w:b/>
        </w:rPr>
        <w:t>Wiki for FULL_TIE.PRO</w:t>
      </w:r>
    </w:p>
    <w:p w14:paraId="51D9FB55" w14:textId="77777777" w:rsidR="00CC5D21" w:rsidRDefault="00CC5D21" w:rsidP="003C45CC">
      <w:pPr>
        <w:jc w:val="both"/>
      </w:pPr>
    </w:p>
    <w:p w14:paraId="5B2A6969" w14:textId="6EE2D770" w:rsidR="00CC5D21" w:rsidRDefault="00CC5D21" w:rsidP="003C45CC">
      <w:pPr>
        <w:jc w:val="both"/>
      </w:pPr>
      <w:r>
        <w:t>C. Phatak</w:t>
      </w:r>
    </w:p>
    <w:p w14:paraId="0F6FDF66" w14:textId="0377EDE8" w:rsidR="00CC5D21" w:rsidRDefault="00CC5D21" w:rsidP="003C45CC">
      <w:pPr>
        <w:jc w:val="both"/>
      </w:pPr>
      <w:r>
        <w:t>July 20, 2015</w:t>
      </w:r>
    </w:p>
    <w:p w14:paraId="19F1E984" w14:textId="77777777" w:rsidR="00F21DF3" w:rsidRDefault="00F21DF3" w:rsidP="003C45CC">
      <w:pPr>
        <w:jc w:val="both"/>
      </w:pPr>
    </w:p>
    <w:p w14:paraId="7098303C" w14:textId="77777777" w:rsidR="00F21DF3" w:rsidRDefault="00F21DF3" w:rsidP="003C45CC">
      <w:pPr>
        <w:jc w:val="both"/>
      </w:pPr>
      <w:r>
        <w:t xml:space="preserve">1) The data must be input as either an </w:t>
      </w:r>
      <w:proofErr w:type="spellStart"/>
      <w:r>
        <w:t>fls</w:t>
      </w:r>
      <w:proofErr w:type="spellEnd"/>
      <w:r>
        <w:t xml:space="preserve"> file or a DM3 3D image stack. If it is a 3D image stack in DM3 format, the program will automatically read the defocus values from the DM3 header as well as the pixel resolution. If the data is being read from </w:t>
      </w:r>
      <w:proofErr w:type="gramStart"/>
      <w:r>
        <w:t>a</w:t>
      </w:r>
      <w:proofErr w:type="gramEnd"/>
      <w:r>
        <w:t xml:space="preserve"> </w:t>
      </w:r>
      <w:proofErr w:type="spellStart"/>
      <w:r>
        <w:t>fls</w:t>
      </w:r>
      <w:proofErr w:type="spellEnd"/>
      <w:r>
        <w:t xml:space="preserve"> file, the format for the file is as follows:</w:t>
      </w:r>
    </w:p>
    <w:p w14:paraId="0E777BE7" w14:textId="77777777" w:rsidR="002A24A1" w:rsidRDefault="002A24A1" w:rsidP="003C45CC">
      <w:pPr>
        <w:jc w:val="both"/>
      </w:pPr>
    </w:p>
    <w:p w14:paraId="197F7259" w14:textId="77777777" w:rsidR="00F21DF3" w:rsidRDefault="00F21DF3" w:rsidP="003C45CC">
      <w:pPr>
        <w:jc w:val="both"/>
      </w:pPr>
      <w:r>
        <w:tab/>
        <w:t xml:space="preserve"># </w:t>
      </w:r>
      <w:proofErr w:type="gramStart"/>
      <w:r>
        <w:t>of</w:t>
      </w:r>
      <w:proofErr w:type="gramEnd"/>
      <w:r>
        <w:t xml:space="preserve"> images in series</w:t>
      </w:r>
    </w:p>
    <w:p w14:paraId="4952803F" w14:textId="77777777" w:rsidR="00F21DF3" w:rsidRDefault="00F21DF3" w:rsidP="003C45CC">
      <w:pPr>
        <w:jc w:val="both"/>
      </w:pPr>
      <w:r>
        <w:tab/>
        <w:t>Filenames of all the images starting with infocus</w:t>
      </w:r>
      <w:r w:rsidR="00224978">
        <w:t>.dm3</w:t>
      </w:r>
    </w:p>
    <w:p w14:paraId="7D0EC866" w14:textId="77777777" w:rsidR="00F21DF3" w:rsidRDefault="00F21DF3" w:rsidP="003C45CC">
      <w:pPr>
        <w:jc w:val="both"/>
      </w:pPr>
      <w:r>
        <w:tab/>
        <w:t>-</w:t>
      </w:r>
      <w:proofErr w:type="gramStart"/>
      <w:r>
        <w:t>defocus</w:t>
      </w:r>
      <w:r w:rsidR="00224978">
        <w:t>.dm3</w:t>
      </w:r>
      <w:proofErr w:type="gramEnd"/>
      <w:r>
        <w:t xml:space="preserve"> (</w:t>
      </w:r>
      <w:proofErr w:type="spellStart"/>
      <w:r>
        <w:t>underfocus</w:t>
      </w:r>
      <w:proofErr w:type="spellEnd"/>
      <w:r>
        <w:t xml:space="preserve"> in increasing defocus value)</w:t>
      </w:r>
    </w:p>
    <w:p w14:paraId="3B2AF740" w14:textId="77777777" w:rsidR="00F21DF3" w:rsidRDefault="00F21DF3" w:rsidP="003C45CC">
      <w:pPr>
        <w:jc w:val="both"/>
      </w:pPr>
      <w:r>
        <w:tab/>
        <w:t>…</w:t>
      </w:r>
    </w:p>
    <w:p w14:paraId="3EEBAAD1" w14:textId="31E7D544" w:rsidR="00F21DF3" w:rsidRDefault="00F21DF3" w:rsidP="003C45CC">
      <w:pPr>
        <w:jc w:val="both"/>
      </w:pPr>
      <w:r>
        <w:tab/>
        <w:t>+</w:t>
      </w:r>
      <w:proofErr w:type="gramStart"/>
      <w:r>
        <w:t>defocus</w:t>
      </w:r>
      <w:r w:rsidR="00224978">
        <w:t>.dm3</w:t>
      </w:r>
      <w:proofErr w:type="gramEnd"/>
      <w:r>
        <w:t xml:space="preserve"> (</w:t>
      </w:r>
      <w:proofErr w:type="spellStart"/>
      <w:r>
        <w:t>overfocus</w:t>
      </w:r>
      <w:proofErr w:type="spellEnd"/>
      <w:r>
        <w:t xml:space="preserve"> in increasing defocus values)</w:t>
      </w:r>
    </w:p>
    <w:p w14:paraId="7204FC26" w14:textId="207A22B7" w:rsidR="00224978" w:rsidRDefault="00EA41C9" w:rsidP="003C45CC">
      <w:pPr>
        <w:jc w:val="both"/>
      </w:pPr>
      <w:r>
        <w:tab/>
      </w:r>
      <w:proofErr w:type="spellStart"/>
      <w:proofErr w:type="gramStart"/>
      <w:r w:rsidR="00224978">
        <w:t>defstep</w:t>
      </w:r>
      <w:proofErr w:type="spellEnd"/>
      <w:proofErr w:type="gramEnd"/>
    </w:p>
    <w:p w14:paraId="444A310B" w14:textId="760FE12A" w:rsidR="00224978" w:rsidRDefault="00EA41C9" w:rsidP="003C45CC">
      <w:pPr>
        <w:jc w:val="both"/>
      </w:pPr>
      <w:r>
        <w:tab/>
      </w:r>
      <w:r w:rsidR="00224978">
        <w:t>2*</w:t>
      </w:r>
      <w:proofErr w:type="spellStart"/>
      <w:r w:rsidR="00224978">
        <w:t>defstep</w:t>
      </w:r>
      <w:proofErr w:type="spellEnd"/>
    </w:p>
    <w:p w14:paraId="3D1091A4" w14:textId="0D2A7B80" w:rsidR="00224978" w:rsidRDefault="00224978" w:rsidP="003C45CC">
      <w:pPr>
        <w:jc w:val="both"/>
      </w:pPr>
      <w:r>
        <w:tab/>
      </w:r>
      <w:r w:rsidR="00EA41C9">
        <w:t>....</w:t>
      </w:r>
    </w:p>
    <w:p w14:paraId="18339010" w14:textId="31D08E21" w:rsidR="00EA41C9" w:rsidRDefault="00EA41C9" w:rsidP="003C45CC">
      <w:pPr>
        <w:jc w:val="both"/>
      </w:pPr>
      <w:r>
        <w:tab/>
      </w:r>
      <w:proofErr w:type="gramStart"/>
      <w:r>
        <w:t>n</w:t>
      </w:r>
      <w:proofErr w:type="gramEnd"/>
      <w:r>
        <w:t>/2*</w:t>
      </w:r>
      <w:proofErr w:type="spellStart"/>
      <w:r>
        <w:t>defstep</w:t>
      </w:r>
      <w:proofErr w:type="spellEnd"/>
      <w:r>
        <w:t xml:space="preserve"> (highest defocus)</w:t>
      </w:r>
    </w:p>
    <w:p w14:paraId="3FB02090" w14:textId="77777777" w:rsidR="00224978" w:rsidRDefault="00224978" w:rsidP="003C45CC">
      <w:pPr>
        <w:jc w:val="both"/>
      </w:pPr>
    </w:p>
    <w:p w14:paraId="6C3D807F" w14:textId="5C98DC4E" w:rsidR="002A24A1" w:rsidRDefault="00851D26" w:rsidP="003C45CC">
      <w:pPr>
        <w:jc w:val="both"/>
      </w:pPr>
      <w:r>
        <w:t xml:space="preserve">Save the </w:t>
      </w:r>
      <w:proofErr w:type="spellStart"/>
      <w:r>
        <w:t>fls</w:t>
      </w:r>
      <w:proofErr w:type="spellEnd"/>
      <w:r>
        <w:t xml:space="preserve"> file with a useful name since that will be the prefix that will used to save all the subsequent images and intermediate files.</w:t>
      </w:r>
      <w:r w:rsidR="003C464E">
        <w:t xml:space="preserve"> </w:t>
      </w:r>
      <w:r w:rsidR="007C7F31">
        <w:t>Select the appropriate series before loading at the top – “</w:t>
      </w:r>
      <w:proofErr w:type="spellStart"/>
      <w:r w:rsidR="007C7F31">
        <w:t>unflip</w:t>
      </w:r>
      <w:proofErr w:type="spellEnd"/>
      <w:r w:rsidR="007C7F31">
        <w:t xml:space="preserve">” or “flip”. The rest of the settings are applied accordingly to that series. </w:t>
      </w:r>
    </w:p>
    <w:p w14:paraId="60988672" w14:textId="77777777" w:rsidR="00851D26" w:rsidRDefault="00851D26" w:rsidP="003C45CC">
      <w:pPr>
        <w:jc w:val="both"/>
      </w:pPr>
    </w:p>
    <w:p w14:paraId="520A5781" w14:textId="64C9B9DA" w:rsidR="003C464E" w:rsidRDefault="003918AC" w:rsidP="003C45CC">
      <w:pPr>
        <w:jc w:val="both"/>
      </w:pPr>
      <w:r>
        <w:t xml:space="preserve">2) </w:t>
      </w:r>
      <w:r w:rsidR="003C464E">
        <w:t xml:space="preserve">After the images are loaded, you should be able to see the information about them populated in the left hand side such as dimensions, no. </w:t>
      </w:r>
      <w:proofErr w:type="gramStart"/>
      <w:r w:rsidR="003C464E">
        <w:t>of</w:t>
      </w:r>
      <w:proofErr w:type="gramEnd"/>
      <w:r w:rsidR="003C464E">
        <w:t xml:space="preserve"> </w:t>
      </w:r>
      <w:proofErr w:type="spellStart"/>
      <w:r w:rsidR="003C464E">
        <w:t>tfs</w:t>
      </w:r>
      <w:proofErr w:type="spellEnd"/>
      <w:r w:rsidR="003C464E">
        <w:t xml:space="preserve"> images etc. Then select the type of through focus series such as Manual, Linear or Quadratic series from the radio buttons. </w:t>
      </w:r>
      <w:r w:rsidR="00BC35B7">
        <w:t>This will help compute the defocus values for respective images.</w:t>
      </w:r>
    </w:p>
    <w:p w14:paraId="34BD70C4" w14:textId="77777777" w:rsidR="003C464E" w:rsidRDefault="003C464E" w:rsidP="003C45CC">
      <w:pPr>
        <w:jc w:val="both"/>
      </w:pPr>
    </w:p>
    <w:p w14:paraId="6E3BD038" w14:textId="5C75FF62" w:rsidR="00BC35B7" w:rsidRDefault="003C464E" w:rsidP="003C45CC">
      <w:pPr>
        <w:jc w:val="both"/>
      </w:pPr>
      <w:r>
        <w:t xml:space="preserve">3) The program </w:t>
      </w:r>
      <w:r w:rsidR="00BC35B7">
        <w:t>can then be used for aligning the through focus series images. Set the alignment parameters such as the sigma, threshold</w:t>
      </w:r>
      <w:r w:rsidR="00997655">
        <w:t xml:space="preserve">, </w:t>
      </w:r>
      <w:proofErr w:type="gramStart"/>
      <w:r w:rsidR="00997655">
        <w:t>no</w:t>
      </w:r>
      <w:proofErr w:type="gramEnd"/>
      <w:r w:rsidR="00997655">
        <w:t xml:space="preserve">. </w:t>
      </w:r>
      <w:proofErr w:type="gramStart"/>
      <w:r w:rsidR="00997655">
        <w:t>of</w:t>
      </w:r>
      <w:proofErr w:type="gramEnd"/>
      <w:r w:rsidR="00997655">
        <w:t xml:space="preserve"> parameters, </w:t>
      </w:r>
      <w:r w:rsidR="00BC35B7">
        <w:t>method of alignment</w:t>
      </w:r>
      <w:r w:rsidR="00997655">
        <w:t xml:space="preserve"> and </w:t>
      </w:r>
      <w:r w:rsidR="009516F6">
        <w:t xml:space="preserve"># of </w:t>
      </w:r>
      <w:r w:rsidR="00997655">
        <w:t>mask for alignment</w:t>
      </w:r>
      <w:r w:rsidR="00BC35B7">
        <w:t xml:space="preserve">. If the no of parameters selected is 4, the alignment is done to account for uniform rotation and scaling, it the no. </w:t>
      </w:r>
      <w:proofErr w:type="gramStart"/>
      <w:r w:rsidR="00BC35B7">
        <w:t>of</w:t>
      </w:r>
      <w:proofErr w:type="gramEnd"/>
      <w:r w:rsidR="00BC35B7">
        <w:t xml:space="preserve"> parameters is 7, then anisotropic scaling(affine) is also accounted for. </w:t>
      </w:r>
      <w:r w:rsidR="009516F6">
        <w:t>The method of alignment can be chosen from Mutual information based (MI)</w:t>
      </w:r>
      <w:r w:rsidR="00D8773E">
        <w:rPr>
          <w:rStyle w:val="EndnoteReference"/>
        </w:rPr>
        <w:endnoteReference w:id="1"/>
      </w:r>
      <w:r w:rsidR="009516F6">
        <w:t xml:space="preserve"> or difference of </w:t>
      </w:r>
      <w:proofErr w:type="spellStart"/>
      <w:r w:rsidR="009516F6">
        <w:t>gaussian</w:t>
      </w:r>
      <w:proofErr w:type="spellEnd"/>
      <w:r w:rsidR="009516F6">
        <w:t xml:space="preserve"> </w:t>
      </w:r>
      <w:r w:rsidR="007C6058">
        <w:t xml:space="preserve">(DOG). For </w:t>
      </w:r>
      <w:proofErr w:type="spellStart"/>
      <w:r w:rsidR="007C6058">
        <w:t>DoG</w:t>
      </w:r>
      <w:proofErr w:type="spellEnd"/>
      <w:r w:rsidR="007C6058">
        <w:t xml:space="preserve"> method, bi</w:t>
      </w:r>
      <w:r w:rsidR="009516F6">
        <w:t xml:space="preserve">nary versions of the images are used for aligning. </w:t>
      </w:r>
      <w:proofErr w:type="gramStart"/>
      <w:r w:rsidR="007C6058">
        <w:t xml:space="preserve">The binary images are produced by changing the value of sigma (the sigma for </w:t>
      </w:r>
      <w:proofErr w:type="spellStart"/>
      <w:r w:rsidR="007C6058">
        <w:t>gaussians</w:t>
      </w:r>
      <w:proofErr w:type="spellEnd"/>
      <w:r w:rsidR="007C6058">
        <w:t>) and threshold value</w:t>
      </w:r>
      <w:proofErr w:type="gramEnd"/>
      <w:r w:rsidR="007C6058">
        <w:t xml:space="preserve">. </w:t>
      </w:r>
      <w:proofErr w:type="spellStart"/>
      <w:r w:rsidR="007C6058">
        <w:t>Everytime</w:t>
      </w:r>
      <w:proofErr w:type="spellEnd"/>
      <w:r w:rsidR="007C6058">
        <w:t xml:space="preserve"> the sigma is </w:t>
      </w:r>
      <w:proofErr w:type="gramStart"/>
      <w:r w:rsidR="007C6058">
        <w:t>changed,</w:t>
      </w:r>
      <w:proofErr w:type="gramEnd"/>
      <w:r w:rsidR="007C6058">
        <w:t xml:space="preserve"> the intensity range is updated so that the threshold value can be selected appropriately. </w:t>
      </w:r>
      <w:r w:rsidR="009516F6">
        <w:t xml:space="preserve">A lot of times this is more accurate but very slow. The MI method uses mutual information between the two images to align them and is quite fast. Typically for ‘4’ parameter alignment and for ‘7’ parameter with very low affine corrections, the MI method will work the best and quickest. </w:t>
      </w:r>
      <w:r w:rsidR="00BC35B7">
        <w:t>Once the alignment is complete, click show align to see the aligned images. If the alignment is good, then click apply align so that the alignment is actually applied to the image stack and a *</w:t>
      </w:r>
      <w:proofErr w:type="gramStart"/>
      <w:r w:rsidR="00BC35B7">
        <w:t>.aligned</w:t>
      </w:r>
      <w:proofErr w:type="gramEnd"/>
      <w:r w:rsidR="00BC35B7">
        <w:t xml:space="preserve"> file will be created. </w:t>
      </w:r>
    </w:p>
    <w:p w14:paraId="0445709C" w14:textId="77777777" w:rsidR="00BC35B7" w:rsidRDefault="00BC35B7" w:rsidP="003C45CC">
      <w:pPr>
        <w:jc w:val="both"/>
      </w:pPr>
    </w:p>
    <w:p w14:paraId="635FAB43" w14:textId="13543C6B" w:rsidR="00421F4C" w:rsidRDefault="00BC35B7" w:rsidP="003C45CC">
      <w:pPr>
        <w:jc w:val="both"/>
      </w:pPr>
      <w:r>
        <w:t xml:space="preserve">4) If the stack alignment was done using </w:t>
      </w:r>
      <w:proofErr w:type="spellStart"/>
      <w:r w:rsidR="003C464E">
        <w:t>using</w:t>
      </w:r>
      <w:proofErr w:type="spellEnd"/>
      <w:r w:rsidR="003C464E">
        <w:t xml:space="preserve"> the </w:t>
      </w:r>
      <w:proofErr w:type="spellStart"/>
      <w:r w:rsidR="003C464E">
        <w:t>ImageJ</w:t>
      </w:r>
      <w:proofErr w:type="spellEnd"/>
      <w:r w:rsidR="003C464E">
        <w:t xml:space="preserve"> plugin </w:t>
      </w:r>
      <w:r w:rsidR="001B79EF">
        <w:t>“</w:t>
      </w:r>
      <w:proofErr w:type="spellStart"/>
      <w:r w:rsidR="001B79EF">
        <w:t>stackreg</w:t>
      </w:r>
      <w:proofErr w:type="spellEnd"/>
      <w:r w:rsidR="001B79EF">
        <w:t>”,</w:t>
      </w:r>
      <w:r w:rsidR="00783AD9">
        <w:rPr>
          <w:rStyle w:val="EndnoteReference"/>
        </w:rPr>
        <w:endnoteReference w:id="2"/>
      </w:r>
      <w:r w:rsidR="001B79EF">
        <w:t xml:space="preserve"> then the output file should be </w:t>
      </w:r>
      <w:r w:rsidR="003C464E">
        <w:t xml:space="preserve">saved as a raw file with the same prefix as the </w:t>
      </w:r>
      <w:proofErr w:type="spellStart"/>
      <w:r w:rsidR="003C464E">
        <w:t>fls</w:t>
      </w:r>
      <w:proofErr w:type="spellEnd"/>
      <w:r w:rsidR="003C464E">
        <w:t xml:space="preserve"> file with the added extension at the end ‘_</w:t>
      </w:r>
      <w:proofErr w:type="spellStart"/>
      <w:r w:rsidR="003C464E">
        <w:t>alimj.raw</w:t>
      </w:r>
      <w:proofErr w:type="spellEnd"/>
      <w:r w:rsidR="003C464E">
        <w:t xml:space="preserve">’. Then click the ‘Raw to Aligned’ button. It should then load the aligned stack and go through the stack back and forth in the image window. </w:t>
      </w:r>
      <w:r w:rsidR="001B79EF">
        <w:t>And save the aligned image stack in a *</w:t>
      </w:r>
      <w:proofErr w:type="gramStart"/>
      <w:r w:rsidR="001B79EF">
        <w:t>.aligned</w:t>
      </w:r>
      <w:proofErr w:type="gramEnd"/>
      <w:r w:rsidR="001B79EF">
        <w:t xml:space="preserve"> file. </w:t>
      </w:r>
    </w:p>
    <w:p w14:paraId="5ABC98D0" w14:textId="77777777" w:rsidR="00997655" w:rsidRDefault="00997655" w:rsidP="003C45CC">
      <w:pPr>
        <w:jc w:val="both"/>
      </w:pPr>
    </w:p>
    <w:p w14:paraId="103F5229" w14:textId="09A84DF1" w:rsidR="00997655" w:rsidRDefault="00997655" w:rsidP="003C45CC">
      <w:pPr>
        <w:jc w:val="both"/>
      </w:pPr>
      <w:r>
        <w:t>5) Once the *</w:t>
      </w:r>
      <w:proofErr w:type="gramStart"/>
      <w:r>
        <w:t>.aligned</w:t>
      </w:r>
      <w:proofErr w:type="gramEnd"/>
      <w:r>
        <w:t xml:space="preserve"> file is created, click the “</w:t>
      </w:r>
      <w:proofErr w:type="spellStart"/>
      <w:r>
        <w:t>Deconvolve</w:t>
      </w:r>
      <w:proofErr w:type="spellEnd"/>
      <w:r>
        <w:t xml:space="preserve"> with </w:t>
      </w:r>
      <w:proofErr w:type="spellStart"/>
      <w:r>
        <w:t>iMTF</w:t>
      </w:r>
      <w:proofErr w:type="spellEnd"/>
      <w:r>
        <w:t xml:space="preserve">” button to </w:t>
      </w:r>
      <w:proofErr w:type="spellStart"/>
      <w:r>
        <w:t>deconvolve</w:t>
      </w:r>
      <w:proofErr w:type="spellEnd"/>
      <w:r>
        <w:t xml:space="preserve"> the </w:t>
      </w:r>
      <w:proofErr w:type="spellStart"/>
      <w:r>
        <w:t>the</w:t>
      </w:r>
      <w:proofErr w:type="spellEnd"/>
      <w:r>
        <w:t xml:space="preserve"> modulation transfer function from the images. The </w:t>
      </w:r>
      <w:proofErr w:type="spellStart"/>
      <w:r>
        <w:t>deconvolution</w:t>
      </w:r>
      <w:proofErr w:type="spellEnd"/>
      <w:r>
        <w:t xml:space="preserve"> will occur automatically and all the image stack will be saved as a *</w:t>
      </w:r>
      <w:proofErr w:type="gramStart"/>
      <w:r>
        <w:t>.</w:t>
      </w:r>
      <w:proofErr w:type="spellStart"/>
      <w:r>
        <w:t>decon</w:t>
      </w:r>
      <w:proofErr w:type="spellEnd"/>
      <w:proofErr w:type="gramEnd"/>
      <w:r>
        <w:t xml:space="preserve"> file. The *</w:t>
      </w:r>
      <w:proofErr w:type="gramStart"/>
      <w:r>
        <w:t>.</w:t>
      </w:r>
      <w:proofErr w:type="spellStart"/>
      <w:r>
        <w:t>decon</w:t>
      </w:r>
      <w:proofErr w:type="spellEnd"/>
      <w:proofErr w:type="gramEnd"/>
      <w:r>
        <w:t xml:space="preserve"> file will be the one used for further processing such as alignment of flip/</w:t>
      </w:r>
      <w:proofErr w:type="spellStart"/>
      <w:r>
        <w:t>unflip</w:t>
      </w:r>
      <w:proofErr w:type="spellEnd"/>
      <w:r>
        <w:t xml:space="preserve"> series and finally the phase reconstruction.</w:t>
      </w:r>
    </w:p>
    <w:p w14:paraId="64179C45" w14:textId="77777777" w:rsidR="001B79EF" w:rsidRDefault="001B79EF" w:rsidP="003C45CC">
      <w:pPr>
        <w:jc w:val="both"/>
      </w:pPr>
    </w:p>
    <w:p w14:paraId="5087D2E1" w14:textId="529F5B87" w:rsidR="001B79EF" w:rsidRDefault="00447060" w:rsidP="003C45CC">
      <w:pPr>
        <w:jc w:val="both"/>
      </w:pPr>
      <w:r>
        <w:t>6</w:t>
      </w:r>
      <w:r w:rsidR="001B79EF">
        <w:t xml:space="preserve">) </w:t>
      </w:r>
      <w:r w:rsidR="00997655">
        <w:t>Repeat these steps with the other series. So that now there should be *</w:t>
      </w:r>
      <w:proofErr w:type="gramStart"/>
      <w:r w:rsidR="00997655">
        <w:t>.</w:t>
      </w:r>
      <w:proofErr w:type="spellStart"/>
      <w:r w:rsidR="00997655">
        <w:t>decon</w:t>
      </w:r>
      <w:proofErr w:type="spellEnd"/>
      <w:proofErr w:type="gramEnd"/>
      <w:r w:rsidR="00997655">
        <w:t xml:space="preserve"> files for both the “</w:t>
      </w:r>
      <w:proofErr w:type="spellStart"/>
      <w:r w:rsidR="00997655">
        <w:t>unflip</w:t>
      </w:r>
      <w:proofErr w:type="spellEnd"/>
      <w:r w:rsidR="00997655">
        <w:t>” and “flip” series.</w:t>
      </w:r>
    </w:p>
    <w:p w14:paraId="75E47F53" w14:textId="77777777" w:rsidR="003C464E" w:rsidRDefault="003C464E" w:rsidP="003C45CC">
      <w:pPr>
        <w:jc w:val="both"/>
      </w:pPr>
    </w:p>
    <w:p w14:paraId="46873DE2" w14:textId="0D8061D6" w:rsidR="00447060" w:rsidRDefault="00447060" w:rsidP="003C45CC">
      <w:pPr>
        <w:jc w:val="both"/>
      </w:pPr>
      <w:r>
        <w:lastRenderedPageBreak/>
        <w:t xml:space="preserve">7) </w:t>
      </w:r>
      <w:r w:rsidR="00D50E06">
        <w:t xml:space="preserve">Once that is complete, the </w:t>
      </w:r>
      <w:proofErr w:type="spellStart"/>
      <w:r w:rsidR="00D50E06">
        <w:t>unflip</w:t>
      </w:r>
      <w:proofErr w:type="spellEnd"/>
      <w:r w:rsidR="00D50E06">
        <w:t xml:space="preserve"> and flip data sets need to be aligned </w:t>
      </w:r>
      <w:proofErr w:type="spellStart"/>
      <w:r w:rsidR="00D50E06">
        <w:t>wrt</w:t>
      </w:r>
      <w:proofErr w:type="spellEnd"/>
      <w:r w:rsidR="00D50E06">
        <w:t xml:space="preserve"> each other. </w:t>
      </w:r>
      <w:r w:rsidR="00601235">
        <w:t xml:space="preserve">Click the Show Sum button to show the sum of </w:t>
      </w:r>
      <w:proofErr w:type="spellStart"/>
      <w:r w:rsidR="00601235">
        <w:t>unfliped</w:t>
      </w:r>
      <w:proofErr w:type="spellEnd"/>
      <w:r w:rsidR="00601235">
        <w:t xml:space="preserve"> </w:t>
      </w:r>
      <w:proofErr w:type="spellStart"/>
      <w:r w:rsidR="00601235">
        <w:t>infocus</w:t>
      </w:r>
      <w:proofErr w:type="spellEnd"/>
      <w:r w:rsidR="00601235">
        <w:t xml:space="preserve"> image and flipped </w:t>
      </w:r>
      <w:proofErr w:type="spellStart"/>
      <w:r w:rsidR="00601235">
        <w:t>infocus</w:t>
      </w:r>
      <w:proofErr w:type="spellEnd"/>
      <w:r w:rsidR="00601235">
        <w:t xml:space="preserve"> images. </w:t>
      </w:r>
      <w:r w:rsidR="00D50E06">
        <w:t xml:space="preserve">The settings that can be updated initially are the </w:t>
      </w:r>
      <w:proofErr w:type="spellStart"/>
      <w:r w:rsidR="00D50E06">
        <w:t>reverse_set</w:t>
      </w:r>
      <w:proofErr w:type="spellEnd"/>
      <w:r w:rsidR="00D50E06">
        <w:t xml:space="preserve"> (to reverse the image flip), rotation angle (to correct the rotation of the image) and image shift (manual image shifts in x &amp; y). </w:t>
      </w:r>
      <w:r w:rsidR="00601235">
        <w:t xml:space="preserve">The goal is using these initial settings to get the images to lie on top of each other as close as possible. The final </w:t>
      </w:r>
      <w:proofErr w:type="spellStart"/>
      <w:r w:rsidR="00601235">
        <w:t>subpixel</w:t>
      </w:r>
      <w:proofErr w:type="spellEnd"/>
      <w:r w:rsidR="00601235">
        <w:t xml:space="preserve"> alignment will be done automatically. Once the manual values are good, click on the Do Align button to perform the automated alignment. The alignment parameters that will be used will be the same from the “Alignment Parameters” window. They can be changed for this specific alignment as needed. </w:t>
      </w:r>
      <w:r w:rsidR="00303748">
        <w:t xml:space="preserve">In this case, typically the </w:t>
      </w:r>
      <w:proofErr w:type="spellStart"/>
      <w:r w:rsidR="00303748">
        <w:t>DoG</w:t>
      </w:r>
      <w:proofErr w:type="spellEnd"/>
      <w:r w:rsidR="00303748">
        <w:t xml:space="preserve"> method gives the best alignment results although quite slow. </w:t>
      </w:r>
    </w:p>
    <w:p w14:paraId="1B83EFF3" w14:textId="77777777" w:rsidR="00E218A1" w:rsidRDefault="00E218A1" w:rsidP="003C45CC">
      <w:pPr>
        <w:jc w:val="both"/>
      </w:pPr>
    </w:p>
    <w:p w14:paraId="2F990296" w14:textId="0B8061D1" w:rsidR="00E218A1" w:rsidRDefault="00E218A1" w:rsidP="003C45CC">
      <w:pPr>
        <w:jc w:val="both"/>
      </w:pPr>
      <w:r>
        <w:t xml:space="preserve">8) Once the alignment is complete, </w:t>
      </w:r>
      <w:r w:rsidR="00AE5553">
        <w:t>the alignment parameters will be save</w:t>
      </w:r>
      <w:r w:rsidR="005647B4">
        <w:t>d</w:t>
      </w:r>
      <w:r w:rsidR="00AE5553">
        <w:t xml:space="preserve"> in a file. Click on “Show </w:t>
      </w:r>
      <w:proofErr w:type="gramStart"/>
      <w:r w:rsidR="00AE5553">
        <w:t>align</w:t>
      </w:r>
      <w:proofErr w:type="gramEnd"/>
      <w:r w:rsidR="00AE5553">
        <w:t xml:space="preserve">” in the UNFLIP/FLIP ALIGN box to see the alignment. This will flicker the two images back and forth. If you are satisfied with the alignment, then click on “Apply Align” to apply the alignment to the flipped stack of images. </w:t>
      </w:r>
    </w:p>
    <w:p w14:paraId="62478AFC" w14:textId="77777777" w:rsidR="00AE5553" w:rsidRDefault="00AE5553" w:rsidP="003C45CC">
      <w:pPr>
        <w:jc w:val="both"/>
      </w:pPr>
    </w:p>
    <w:p w14:paraId="65A3BD60" w14:textId="598B1B9A" w:rsidR="00350AB1" w:rsidRDefault="00AE5553" w:rsidP="003C45CC">
      <w:pPr>
        <w:jc w:val="both"/>
      </w:pPr>
      <w:r>
        <w:t xml:space="preserve">9) </w:t>
      </w:r>
      <w:r w:rsidR="00350AB1">
        <w:t xml:space="preserve">After all the alignment is complete, now we can perform the phase reconstruction. The first three boxes in the “TIE RECON” box have </w:t>
      </w:r>
      <w:r w:rsidR="00E131DB">
        <w:t>pre-populated</w:t>
      </w:r>
      <w:r w:rsidR="00350AB1">
        <w:t xml:space="preserve"> values for accelerating voltage, E (in V), Cs (in nm) and defocus. You can change the E and Cs as per the microscope. The defocus will automatically be used as per the previous definition using manual, linear or quadratic series. Next setting is for </w:t>
      </w:r>
      <w:proofErr w:type="spellStart"/>
      <w:r w:rsidR="00350AB1">
        <w:t>symmetrization</w:t>
      </w:r>
      <w:proofErr w:type="spellEnd"/>
      <w:r w:rsidR="00E37C7E">
        <w:t xml:space="preserve"> </w:t>
      </w:r>
      <w:r w:rsidR="00E37C7E">
        <w:rPr>
          <w:rStyle w:val="EndnoteReference"/>
        </w:rPr>
        <w:endnoteReference w:id="3"/>
      </w:r>
      <w:r w:rsidR="00350AB1">
        <w:t xml:space="preserve"> of images and using </w:t>
      </w:r>
      <w:proofErr w:type="spellStart"/>
      <w:r w:rsidR="00350AB1">
        <w:t>Tikhonov</w:t>
      </w:r>
      <w:proofErr w:type="spellEnd"/>
      <w:r w:rsidR="00350AB1">
        <w:t xml:space="preserve"> filtering.</w:t>
      </w:r>
      <w:r w:rsidR="002C4648">
        <w:rPr>
          <w:rStyle w:val="EndnoteReference"/>
        </w:rPr>
        <w:endnoteReference w:id="4"/>
      </w:r>
      <w:r w:rsidR="00350AB1">
        <w:t xml:space="preserve"> Those can be set “ON” or “OFF” by pressing the buttons next to them. The box with the numerical value is the value for the </w:t>
      </w:r>
      <w:proofErr w:type="spellStart"/>
      <w:r w:rsidR="00350AB1">
        <w:t>tikhonov</w:t>
      </w:r>
      <w:proofErr w:type="spellEnd"/>
      <w:r w:rsidR="00350AB1">
        <w:t xml:space="preserve"> filtering. NOTE: FOR NON-ZERO VALUES OF TIKHONOV FILTER, THE PHASE RECONSTRUCTION IS NOT QUANTITATIVE.</w:t>
      </w:r>
    </w:p>
    <w:p w14:paraId="743583F7" w14:textId="32CCF05F" w:rsidR="00AE5553" w:rsidRDefault="00350AB1" w:rsidP="003C45CC">
      <w:pPr>
        <w:jc w:val="both"/>
      </w:pPr>
      <w:r>
        <w:t>The next set of options is the method for TIE reconstruction. You can either select “</w:t>
      </w:r>
      <w:proofErr w:type="spellStart"/>
      <w:r>
        <w:t>Laplacian</w:t>
      </w:r>
      <w:proofErr w:type="spellEnd"/>
      <w:r>
        <w:t>” method or the “Inverse gradient” method for solving the TIE.</w:t>
      </w:r>
      <w:r w:rsidR="00411211">
        <w:rPr>
          <w:rStyle w:val="EndnoteReference"/>
        </w:rPr>
        <w:endnoteReference w:id="5"/>
      </w:r>
      <w:r>
        <w:t xml:space="preserve"> The final option is for computing the intensity derivative. You can either choose the central difference method for intensity derivative </w:t>
      </w:r>
      <w:r w:rsidR="0005345D">
        <w:t>or a polynomial fit based intensity derivative calculation.</w:t>
      </w:r>
      <w:bookmarkStart w:id="0" w:name="_Ref299018294"/>
      <w:r w:rsidR="007073CE">
        <w:rPr>
          <w:rStyle w:val="EndnoteReference"/>
        </w:rPr>
        <w:endnoteReference w:id="6"/>
      </w:r>
      <w:bookmarkEnd w:id="0"/>
      <w:r w:rsidR="0005345D">
        <w:t xml:space="preserve"> </w:t>
      </w:r>
      <w:r w:rsidR="00512498">
        <w:t xml:space="preserve">After all the settings are done, click on “Do </w:t>
      </w:r>
      <w:proofErr w:type="spellStart"/>
      <w:r w:rsidR="00512498">
        <w:t>TIErecon</w:t>
      </w:r>
      <w:proofErr w:type="spellEnd"/>
      <w:r w:rsidR="00512498">
        <w:t>” to start the phase reconstruction. The phase reconstruction uses the updated method of separately reconstructing the magnetic and electrostatic phase shifts using a modified definitio</w:t>
      </w:r>
      <w:r w:rsidR="008B16B9">
        <w:t>n for intensity derivative.</w:t>
      </w:r>
      <w:r w:rsidR="0030794E" w:rsidRPr="0030794E">
        <w:rPr>
          <w:vertAlign w:val="superscript"/>
        </w:rPr>
        <w:fldChar w:fldCharType="begin"/>
      </w:r>
      <w:r w:rsidR="0030794E" w:rsidRPr="0030794E">
        <w:rPr>
          <w:vertAlign w:val="superscript"/>
        </w:rPr>
        <w:instrText xml:space="preserve"> NOTEREF _Ref299018294 \h </w:instrText>
      </w:r>
      <w:r w:rsidR="0030794E" w:rsidRPr="0030794E">
        <w:rPr>
          <w:vertAlign w:val="superscript"/>
        </w:rPr>
      </w:r>
      <w:r w:rsidR="0030794E" w:rsidRPr="0030794E">
        <w:rPr>
          <w:vertAlign w:val="superscript"/>
        </w:rPr>
        <w:fldChar w:fldCharType="separate"/>
      </w:r>
      <w:proofErr w:type="gramStart"/>
      <w:r w:rsidR="0030794E" w:rsidRPr="0030794E">
        <w:rPr>
          <w:vertAlign w:val="superscript"/>
        </w:rPr>
        <w:t>vi</w:t>
      </w:r>
      <w:proofErr w:type="gramEnd"/>
      <w:r w:rsidR="0030794E" w:rsidRPr="0030794E">
        <w:rPr>
          <w:vertAlign w:val="superscript"/>
        </w:rPr>
        <w:fldChar w:fldCharType="end"/>
      </w:r>
      <w:r w:rsidR="008B16B9">
        <w:t xml:space="preserve"> The program will ask whether to resize the entire image to 1024 by 1024 size or to select a 1K by 1K  region from the image. After the reconstruction is complete, a folder called “images” will be created in the same location as the flipped image stack, and images of reconstructed, Bx</w:t>
      </w:r>
      <w:r w:rsidR="00E131DB">
        <w:t>.</w:t>
      </w:r>
      <w:r w:rsidR="008B16B9">
        <w:t>t, By</w:t>
      </w:r>
      <w:r w:rsidR="00E131DB">
        <w:t>.</w:t>
      </w:r>
      <w:r w:rsidR="008B16B9">
        <w:t>t, Bb</w:t>
      </w:r>
      <w:r w:rsidR="00E131DB">
        <w:t>.</w:t>
      </w:r>
      <w:r w:rsidR="008B16B9">
        <w:t xml:space="preserve">t (magnitude), </w:t>
      </w:r>
      <w:proofErr w:type="spellStart"/>
      <w:r w:rsidR="008B16B9">
        <w:t>colormap</w:t>
      </w:r>
      <w:proofErr w:type="spellEnd"/>
      <w:r w:rsidR="008B16B9">
        <w:t xml:space="preserve">, intensity derivatives, phase maps and </w:t>
      </w:r>
      <w:proofErr w:type="spellStart"/>
      <w:r w:rsidR="008B16B9">
        <w:t>infocus</w:t>
      </w:r>
      <w:proofErr w:type="spellEnd"/>
      <w:r w:rsidR="008B16B9">
        <w:t xml:space="preserve"> images will be saved. All the images (except </w:t>
      </w:r>
      <w:proofErr w:type="spellStart"/>
      <w:r w:rsidR="008B16B9">
        <w:t>colormap</w:t>
      </w:r>
      <w:proofErr w:type="spellEnd"/>
      <w:r w:rsidR="008B16B9">
        <w:t xml:space="preserve">) are saved as 32-bit float </w:t>
      </w:r>
      <w:bookmarkStart w:id="1" w:name="_GoBack"/>
      <w:bookmarkEnd w:id="1"/>
      <w:r w:rsidR="00E131DB">
        <w:t>files, which</w:t>
      </w:r>
      <w:r w:rsidR="008B16B9">
        <w:t xml:space="preserve"> can be opened using </w:t>
      </w:r>
      <w:proofErr w:type="spellStart"/>
      <w:r w:rsidR="008B16B9">
        <w:t>ImageJ</w:t>
      </w:r>
      <w:proofErr w:type="spellEnd"/>
      <w:r w:rsidR="008B16B9">
        <w:t xml:space="preserve"> or DM for further analysis. The pixel calibration in the reconstructed images is not yet implemented correctly. </w:t>
      </w:r>
    </w:p>
    <w:p w14:paraId="78E50B92" w14:textId="77777777" w:rsidR="00002876" w:rsidRDefault="00002876" w:rsidP="003C45CC">
      <w:pPr>
        <w:jc w:val="both"/>
      </w:pPr>
    </w:p>
    <w:p w14:paraId="05F9CDBD" w14:textId="5B567C23" w:rsidR="00002876" w:rsidRPr="00002876" w:rsidRDefault="00002876" w:rsidP="003C45CC">
      <w:pPr>
        <w:jc w:val="both"/>
        <w:rPr>
          <w:b/>
        </w:rPr>
      </w:pPr>
      <w:r>
        <w:rPr>
          <w:b/>
        </w:rPr>
        <w:t>References:</w:t>
      </w:r>
    </w:p>
    <w:sectPr w:rsidR="00002876" w:rsidRPr="00002876" w:rsidSect="005271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864B7" w14:textId="77777777" w:rsidR="00D8773E" w:rsidRDefault="00D8773E" w:rsidP="00D8773E">
      <w:r>
        <w:separator/>
      </w:r>
    </w:p>
  </w:endnote>
  <w:endnote w:type="continuationSeparator" w:id="0">
    <w:p w14:paraId="439FA062" w14:textId="77777777" w:rsidR="00D8773E" w:rsidRDefault="00D8773E" w:rsidP="00D8773E">
      <w:r>
        <w:continuationSeparator/>
      </w:r>
    </w:p>
  </w:endnote>
  <w:endnote w:id="1">
    <w:p w14:paraId="35D3483D" w14:textId="5E881B48" w:rsidR="00D8773E" w:rsidRPr="001D33D7" w:rsidRDefault="00D8773E" w:rsidP="001D33D7">
      <w:pPr>
        <w:pStyle w:val="NormalWeb"/>
        <w:spacing w:before="0" w:beforeAutospacing="0" w:after="0" w:afterAutospacing="0"/>
        <w:ind w:left="640" w:hanging="640"/>
        <w:rPr>
          <w:rFonts w:ascii="Times New Roman" w:hAnsi="Times New Roman"/>
        </w:rPr>
      </w:pPr>
      <w:r w:rsidRPr="001D33D7">
        <w:rPr>
          <w:rStyle w:val="EndnoteReference"/>
          <w:rFonts w:ascii="Times New Roman" w:hAnsi="Times New Roman"/>
        </w:rPr>
        <w:endnoteRef/>
      </w:r>
      <w:r w:rsidRPr="001D33D7">
        <w:rPr>
          <w:rFonts w:ascii="Times New Roman" w:hAnsi="Times New Roman"/>
        </w:rPr>
        <w:t xml:space="preserve"> E. </w:t>
      </w:r>
      <w:proofErr w:type="spellStart"/>
      <w:r w:rsidR="00D35B85">
        <w:rPr>
          <w:rFonts w:ascii="Times New Roman" w:hAnsi="Times New Roman"/>
        </w:rPr>
        <w:t>Gulsoy</w:t>
      </w:r>
      <w:proofErr w:type="spellEnd"/>
      <w:r w:rsidRPr="001D33D7">
        <w:rPr>
          <w:rFonts w:ascii="Times New Roman" w:hAnsi="Times New Roman"/>
        </w:rPr>
        <w:t>, J. S</w:t>
      </w:r>
      <w:r w:rsidR="00D35B85">
        <w:rPr>
          <w:rFonts w:ascii="Times New Roman" w:hAnsi="Times New Roman"/>
        </w:rPr>
        <w:t>immons</w:t>
      </w:r>
      <w:r w:rsidRPr="001D33D7">
        <w:rPr>
          <w:rFonts w:ascii="Times New Roman" w:hAnsi="Times New Roman"/>
        </w:rPr>
        <w:t>, and M. D</w:t>
      </w:r>
      <w:r w:rsidR="00D35B85">
        <w:rPr>
          <w:rFonts w:ascii="Times New Roman" w:hAnsi="Times New Roman"/>
        </w:rPr>
        <w:t xml:space="preserve">e </w:t>
      </w:r>
      <w:proofErr w:type="spellStart"/>
      <w:r w:rsidR="00D35B85">
        <w:rPr>
          <w:rFonts w:ascii="Times New Roman" w:hAnsi="Times New Roman"/>
        </w:rPr>
        <w:t>Graef</w:t>
      </w:r>
      <w:proofErr w:type="spellEnd"/>
      <w:r w:rsidRPr="001D33D7">
        <w:rPr>
          <w:rFonts w:ascii="Times New Roman" w:hAnsi="Times New Roman"/>
        </w:rPr>
        <w:t xml:space="preserve">, Scr. Mater. </w:t>
      </w:r>
      <w:proofErr w:type="gramStart"/>
      <w:r w:rsidRPr="001D33D7">
        <w:rPr>
          <w:rFonts w:ascii="Times New Roman" w:hAnsi="Times New Roman"/>
          <w:b/>
          <w:bCs/>
        </w:rPr>
        <w:t>60</w:t>
      </w:r>
      <w:r w:rsidRPr="001D33D7">
        <w:rPr>
          <w:rFonts w:ascii="Times New Roman" w:hAnsi="Times New Roman"/>
        </w:rPr>
        <w:t>, 381 (2009).</w:t>
      </w:r>
      <w:proofErr w:type="gramEnd"/>
    </w:p>
  </w:endnote>
  <w:endnote w:id="2">
    <w:p w14:paraId="219E7F6F" w14:textId="56795185" w:rsidR="00783AD9" w:rsidRPr="001D33D7" w:rsidRDefault="00783AD9" w:rsidP="001D33D7">
      <w:pPr>
        <w:pStyle w:val="EndnoteText"/>
        <w:rPr>
          <w:sz w:val="20"/>
          <w:szCs w:val="20"/>
        </w:rPr>
      </w:pPr>
      <w:r w:rsidRPr="001D33D7">
        <w:rPr>
          <w:rStyle w:val="EndnoteReference"/>
          <w:sz w:val="20"/>
          <w:szCs w:val="20"/>
        </w:rPr>
        <w:endnoteRef/>
      </w:r>
      <w:r w:rsidRPr="001D33D7">
        <w:rPr>
          <w:sz w:val="20"/>
          <w:szCs w:val="20"/>
        </w:rPr>
        <w:t xml:space="preserve"> http://bigwww.epfl.ch/thevenaz/stackreg/</w:t>
      </w:r>
    </w:p>
  </w:endnote>
  <w:endnote w:id="3">
    <w:p w14:paraId="43EFCC8D" w14:textId="01B09298" w:rsidR="00E37C7E" w:rsidRPr="001D33D7" w:rsidRDefault="00E37C7E" w:rsidP="001D33D7">
      <w:pPr>
        <w:pStyle w:val="NormalWeb"/>
        <w:spacing w:before="0" w:beforeAutospacing="0" w:after="0" w:afterAutospacing="0"/>
        <w:ind w:left="640" w:hanging="640"/>
        <w:rPr>
          <w:rFonts w:ascii="Times New Roman" w:hAnsi="Times New Roman"/>
        </w:rPr>
      </w:pPr>
      <w:r w:rsidRPr="001D33D7">
        <w:rPr>
          <w:rStyle w:val="EndnoteReference"/>
          <w:rFonts w:ascii="Times New Roman" w:hAnsi="Times New Roman"/>
        </w:rPr>
        <w:endnoteRef/>
      </w:r>
      <w:r w:rsidRPr="001D33D7">
        <w:rPr>
          <w:rFonts w:ascii="Times New Roman" w:hAnsi="Times New Roman"/>
        </w:rPr>
        <w:t xml:space="preserve"> V. V </w:t>
      </w:r>
      <w:proofErr w:type="spellStart"/>
      <w:r w:rsidRPr="001D33D7">
        <w:rPr>
          <w:rFonts w:ascii="Times New Roman" w:hAnsi="Times New Roman"/>
        </w:rPr>
        <w:t>Volkov</w:t>
      </w:r>
      <w:proofErr w:type="spellEnd"/>
      <w:r w:rsidRPr="001D33D7">
        <w:rPr>
          <w:rFonts w:ascii="Times New Roman" w:hAnsi="Times New Roman"/>
        </w:rPr>
        <w:t xml:space="preserve">, Y. Zhu, and M. De </w:t>
      </w:r>
      <w:proofErr w:type="spellStart"/>
      <w:r w:rsidRPr="001D33D7">
        <w:rPr>
          <w:rFonts w:ascii="Times New Roman" w:hAnsi="Times New Roman"/>
        </w:rPr>
        <w:t>Graef</w:t>
      </w:r>
      <w:proofErr w:type="spellEnd"/>
      <w:r w:rsidRPr="001D33D7">
        <w:rPr>
          <w:rFonts w:ascii="Times New Roman" w:hAnsi="Times New Roman"/>
        </w:rPr>
        <w:t xml:space="preserve">, Micron </w:t>
      </w:r>
      <w:r w:rsidRPr="001D33D7">
        <w:rPr>
          <w:rFonts w:ascii="Times New Roman" w:hAnsi="Times New Roman"/>
          <w:b/>
          <w:bCs/>
        </w:rPr>
        <w:t>33</w:t>
      </w:r>
      <w:r w:rsidRPr="001D33D7">
        <w:rPr>
          <w:rFonts w:ascii="Times New Roman" w:hAnsi="Times New Roman"/>
        </w:rPr>
        <w:t>, 411 (2002).</w:t>
      </w:r>
    </w:p>
  </w:endnote>
  <w:endnote w:id="4">
    <w:p w14:paraId="719B1C1A" w14:textId="43C23B78" w:rsidR="002C4648" w:rsidRPr="001D33D7" w:rsidRDefault="002C4648" w:rsidP="001D33D7">
      <w:pPr>
        <w:pStyle w:val="NormalWeb"/>
        <w:spacing w:before="0" w:beforeAutospacing="0" w:after="0" w:afterAutospacing="0"/>
        <w:ind w:left="640" w:hanging="640"/>
        <w:rPr>
          <w:rFonts w:ascii="Times New Roman" w:hAnsi="Times New Roman"/>
        </w:rPr>
      </w:pPr>
      <w:r w:rsidRPr="001D33D7">
        <w:rPr>
          <w:rStyle w:val="EndnoteReference"/>
          <w:rFonts w:ascii="Times New Roman" w:hAnsi="Times New Roman"/>
        </w:rPr>
        <w:endnoteRef/>
      </w:r>
      <w:r w:rsidRPr="001D33D7">
        <w:rPr>
          <w:rFonts w:ascii="Times New Roman" w:hAnsi="Times New Roman"/>
        </w:rPr>
        <w:t xml:space="preserve"> K. Ishizuka and B. Allman, J. Electron </w:t>
      </w:r>
      <w:proofErr w:type="spellStart"/>
      <w:r w:rsidRPr="001D33D7">
        <w:rPr>
          <w:rFonts w:ascii="Times New Roman" w:hAnsi="Times New Roman"/>
        </w:rPr>
        <w:t>Microsc</w:t>
      </w:r>
      <w:proofErr w:type="spellEnd"/>
      <w:r w:rsidRPr="001D33D7">
        <w:rPr>
          <w:rFonts w:ascii="Times New Roman" w:hAnsi="Times New Roman"/>
        </w:rPr>
        <w:t xml:space="preserve">. (Tokyo). </w:t>
      </w:r>
      <w:proofErr w:type="gramStart"/>
      <w:r w:rsidRPr="001D33D7">
        <w:rPr>
          <w:rFonts w:ascii="Times New Roman" w:hAnsi="Times New Roman"/>
          <w:b/>
          <w:bCs/>
        </w:rPr>
        <w:t>54</w:t>
      </w:r>
      <w:r w:rsidRPr="001D33D7">
        <w:rPr>
          <w:rFonts w:ascii="Times New Roman" w:hAnsi="Times New Roman"/>
        </w:rPr>
        <w:t>, 191 (2005).</w:t>
      </w:r>
      <w:proofErr w:type="gramEnd"/>
    </w:p>
  </w:endnote>
  <w:endnote w:id="5">
    <w:p w14:paraId="3A9F1B95" w14:textId="48C77847" w:rsidR="00411211" w:rsidRPr="001D33D7" w:rsidRDefault="00411211" w:rsidP="001D33D7">
      <w:pPr>
        <w:pStyle w:val="EndnoteText"/>
        <w:rPr>
          <w:sz w:val="20"/>
          <w:szCs w:val="20"/>
        </w:rPr>
      </w:pPr>
      <w:r w:rsidRPr="001D33D7">
        <w:rPr>
          <w:rStyle w:val="EndnoteReference"/>
          <w:sz w:val="20"/>
          <w:szCs w:val="20"/>
        </w:rPr>
        <w:endnoteRef/>
      </w:r>
      <w:r w:rsidRPr="001D33D7">
        <w:rPr>
          <w:sz w:val="20"/>
          <w:szCs w:val="20"/>
        </w:rPr>
        <w:t xml:space="preserve"> M. De </w:t>
      </w:r>
      <w:proofErr w:type="spellStart"/>
      <w:r w:rsidRPr="001D33D7">
        <w:rPr>
          <w:sz w:val="20"/>
          <w:szCs w:val="20"/>
        </w:rPr>
        <w:t>Graef</w:t>
      </w:r>
      <w:proofErr w:type="spellEnd"/>
      <w:r w:rsidRPr="001D33D7">
        <w:rPr>
          <w:sz w:val="20"/>
          <w:szCs w:val="20"/>
        </w:rPr>
        <w:t xml:space="preserve">, </w:t>
      </w:r>
      <w:r w:rsidRPr="001D33D7">
        <w:rPr>
          <w:i/>
          <w:sz w:val="20"/>
          <w:szCs w:val="20"/>
        </w:rPr>
        <w:t xml:space="preserve">Introduction to Conventional </w:t>
      </w:r>
      <w:proofErr w:type="spellStart"/>
      <w:r w:rsidRPr="001D33D7">
        <w:rPr>
          <w:i/>
          <w:sz w:val="20"/>
          <w:szCs w:val="20"/>
        </w:rPr>
        <w:t>Tranmission</w:t>
      </w:r>
      <w:proofErr w:type="spellEnd"/>
      <w:r w:rsidRPr="001D33D7">
        <w:rPr>
          <w:i/>
          <w:sz w:val="20"/>
          <w:szCs w:val="20"/>
        </w:rPr>
        <w:t xml:space="preserve"> Electron Microscopy, </w:t>
      </w:r>
      <w:r w:rsidRPr="001D33D7">
        <w:rPr>
          <w:sz w:val="20"/>
          <w:szCs w:val="20"/>
        </w:rPr>
        <w:t>Cambridge Press, 2003.</w:t>
      </w:r>
    </w:p>
  </w:endnote>
  <w:endnote w:id="6">
    <w:p w14:paraId="4802715B" w14:textId="3387188C" w:rsidR="007073CE" w:rsidRPr="001D33D7" w:rsidRDefault="007073CE" w:rsidP="001D33D7">
      <w:pPr>
        <w:pStyle w:val="NormalWeb"/>
        <w:spacing w:before="0" w:beforeAutospacing="0" w:after="0" w:afterAutospacing="0"/>
        <w:ind w:left="640" w:hanging="640"/>
        <w:rPr>
          <w:rFonts w:ascii="Times New Roman" w:hAnsi="Times New Roman"/>
        </w:rPr>
      </w:pPr>
      <w:r w:rsidRPr="001D33D7">
        <w:rPr>
          <w:rStyle w:val="EndnoteReference"/>
          <w:rFonts w:ascii="Times New Roman" w:hAnsi="Times New Roman"/>
        </w:rPr>
        <w:endnoteRef/>
      </w:r>
      <w:r w:rsidRPr="001D33D7">
        <w:rPr>
          <w:rFonts w:ascii="Times New Roman" w:hAnsi="Times New Roman"/>
        </w:rPr>
        <w:t xml:space="preserve"> E. Humphrey, C. Phatak, A. K. </w:t>
      </w:r>
      <w:proofErr w:type="spellStart"/>
      <w:r w:rsidRPr="001D33D7">
        <w:rPr>
          <w:rFonts w:ascii="Times New Roman" w:hAnsi="Times New Roman"/>
        </w:rPr>
        <w:t>Petford</w:t>
      </w:r>
      <w:proofErr w:type="spellEnd"/>
      <w:r w:rsidRPr="001D33D7">
        <w:rPr>
          <w:rFonts w:ascii="Times New Roman" w:hAnsi="Times New Roman"/>
        </w:rPr>
        <w:t xml:space="preserve">-Long, and M. De </w:t>
      </w:r>
      <w:proofErr w:type="spellStart"/>
      <w:r w:rsidRPr="001D33D7">
        <w:rPr>
          <w:rFonts w:ascii="Times New Roman" w:hAnsi="Times New Roman"/>
        </w:rPr>
        <w:t>Graef</w:t>
      </w:r>
      <w:proofErr w:type="spellEnd"/>
      <w:r w:rsidRPr="001D33D7">
        <w:rPr>
          <w:rFonts w:ascii="Times New Roman" w:hAnsi="Times New Roman"/>
        </w:rPr>
        <w:t xml:space="preserve">, </w:t>
      </w:r>
      <w:proofErr w:type="spellStart"/>
      <w:r w:rsidRPr="001D33D7">
        <w:rPr>
          <w:rFonts w:ascii="Times New Roman" w:hAnsi="Times New Roman"/>
        </w:rPr>
        <w:t>Ultramicroscopy</w:t>
      </w:r>
      <w:proofErr w:type="spellEnd"/>
      <w:r w:rsidRPr="001D33D7">
        <w:rPr>
          <w:rFonts w:ascii="Times New Roman" w:hAnsi="Times New Roman"/>
        </w:rPr>
        <w:t xml:space="preserve"> </w:t>
      </w:r>
      <w:r w:rsidRPr="001D33D7">
        <w:rPr>
          <w:rFonts w:ascii="Times New Roman" w:hAnsi="Times New Roman"/>
          <w:b/>
          <w:bCs/>
        </w:rPr>
        <w:t>139</w:t>
      </w:r>
      <w:r w:rsidRPr="001D33D7">
        <w:rPr>
          <w:rFonts w:ascii="Times New Roman" w:hAnsi="Times New Roman"/>
        </w:rPr>
        <w:t>, 5 (2014).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6BE9B" w14:textId="77777777" w:rsidR="00D8773E" w:rsidRDefault="00D8773E" w:rsidP="00D8773E">
      <w:r>
        <w:separator/>
      </w:r>
    </w:p>
  </w:footnote>
  <w:footnote w:type="continuationSeparator" w:id="0">
    <w:p w14:paraId="3BF2C1B7" w14:textId="77777777" w:rsidR="00D8773E" w:rsidRDefault="00D8773E" w:rsidP="00D877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DF3"/>
    <w:rsid w:val="00002876"/>
    <w:rsid w:val="0005345D"/>
    <w:rsid w:val="00075B34"/>
    <w:rsid w:val="001B79EF"/>
    <w:rsid w:val="001D33D7"/>
    <w:rsid w:val="00224978"/>
    <w:rsid w:val="002A24A1"/>
    <w:rsid w:val="002C4648"/>
    <w:rsid w:val="00303748"/>
    <w:rsid w:val="0030794E"/>
    <w:rsid w:val="00350AB1"/>
    <w:rsid w:val="003918AC"/>
    <w:rsid w:val="003C45CC"/>
    <w:rsid w:val="003C464E"/>
    <w:rsid w:val="00411211"/>
    <w:rsid w:val="00421F4C"/>
    <w:rsid w:val="00447060"/>
    <w:rsid w:val="00512498"/>
    <w:rsid w:val="005271A5"/>
    <w:rsid w:val="005647B4"/>
    <w:rsid w:val="00601235"/>
    <w:rsid w:val="007073CE"/>
    <w:rsid w:val="00783AD9"/>
    <w:rsid w:val="007C6058"/>
    <w:rsid w:val="007C7F31"/>
    <w:rsid w:val="00851D26"/>
    <w:rsid w:val="008B16B9"/>
    <w:rsid w:val="009516F6"/>
    <w:rsid w:val="00997655"/>
    <w:rsid w:val="00AE5553"/>
    <w:rsid w:val="00BC35B7"/>
    <w:rsid w:val="00CC5D21"/>
    <w:rsid w:val="00D35B85"/>
    <w:rsid w:val="00D50E06"/>
    <w:rsid w:val="00D8773E"/>
    <w:rsid w:val="00DA20D3"/>
    <w:rsid w:val="00E131DB"/>
    <w:rsid w:val="00E218A1"/>
    <w:rsid w:val="00E37C7E"/>
    <w:rsid w:val="00EA41C9"/>
    <w:rsid w:val="00F21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6FAD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8773E"/>
    <w:rPr>
      <w:sz w:val="24"/>
      <w:szCs w:val="24"/>
    </w:rPr>
  </w:style>
  <w:style w:type="character" w:customStyle="1" w:styleId="EndnoteTextChar">
    <w:name w:val="Endnote Text Char"/>
    <w:basedOn w:val="DefaultParagraphFont"/>
    <w:link w:val="EndnoteText"/>
    <w:uiPriority w:val="99"/>
    <w:rsid w:val="00D8773E"/>
    <w:rPr>
      <w:sz w:val="24"/>
      <w:szCs w:val="24"/>
    </w:rPr>
  </w:style>
  <w:style w:type="character" w:styleId="EndnoteReference">
    <w:name w:val="endnote reference"/>
    <w:basedOn w:val="DefaultParagraphFont"/>
    <w:uiPriority w:val="99"/>
    <w:unhideWhenUsed/>
    <w:rsid w:val="00D8773E"/>
    <w:rPr>
      <w:vertAlign w:val="superscript"/>
    </w:rPr>
  </w:style>
  <w:style w:type="paragraph" w:styleId="NormalWeb">
    <w:name w:val="Normal (Web)"/>
    <w:basedOn w:val="Normal"/>
    <w:uiPriority w:val="99"/>
    <w:unhideWhenUsed/>
    <w:rsid w:val="00D8773E"/>
    <w:pPr>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8773E"/>
    <w:rPr>
      <w:sz w:val="24"/>
      <w:szCs w:val="24"/>
    </w:rPr>
  </w:style>
  <w:style w:type="character" w:customStyle="1" w:styleId="EndnoteTextChar">
    <w:name w:val="Endnote Text Char"/>
    <w:basedOn w:val="DefaultParagraphFont"/>
    <w:link w:val="EndnoteText"/>
    <w:uiPriority w:val="99"/>
    <w:rsid w:val="00D8773E"/>
    <w:rPr>
      <w:sz w:val="24"/>
      <w:szCs w:val="24"/>
    </w:rPr>
  </w:style>
  <w:style w:type="character" w:styleId="EndnoteReference">
    <w:name w:val="endnote reference"/>
    <w:basedOn w:val="DefaultParagraphFont"/>
    <w:uiPriority w:val="99"/>
    <w:unhideWhenUsed/>
    <w:rsid w:val="00D8773E"/>
    <w:rPr>
      <w:vertAlign w:val="superscript"/>
    </w:rPr>
  </w:style>
  <w:style w:type="paragraph" w:styleId="NormalWeb">
    <w:name w:val="Normal (Web)"/>
    <w:basedOn w:val="Normal"/>
    <w:uiPriority w:val="99"/>
    <w:unhideWhenUsed/>
    <w:rsid w:val="00D8773E"/>
    <w:pPr>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4906">
      <w:bodyDiv w:val="1"/>
      <w:marLeft w:val="0"/>
      <w:marRight w:val="0"/>
      <w:marTop w:val="0"/>
      <w:marBottom w:val="0"/>
      <w:divBdr>
        <w:top w:val="none" w:sz="0" w:space="0" w:color="auto"/>
        <w:left w:val="none" w:sz="0" w:space="0" w:color="auto"/>
        <w:bottom w:val="none" w:sz="0" w:space="0" w:color="auto"/>
        <w:right w:val="none" w:sz="0" w:space="0" w:color="auto"/>
      </w:divBdr>
    </w:div>
    <w:div w:id="410977110">
      <w:bodyDiv w:val="1"/>
      <w:marLeft w:val="0"/>
      <w:marRight w:val="0"/>
      <w:marTop w:val="0"/>
      <w:marBottom w:val="0"/>
      <w:divBdr>
        <w:top w:val="none" w:sz="0" w:space="0" w:color="auto"/>
        <w:left w:val="none" w:sz="0" w:space="0" w:color="auto"/>
        <w:bottom w:val="none" w:sz="0" w:space="0" w:color="auto"/>
        <w:right w:val="none" w:sz="0" w:space="0" w:color="auto"/>
      </w:divBdr>
    </w:div>
    <w:div w:id="1443455173">
      <w:bodyDiv w:val="1"/>
      <w:marLeft w:val="0"/>
      <w:marRight w:val="0"/>
      <w:marTop w:val="0"/>
      <w:marBottom w:val="0"/>
      <w:divBdr>
        <w:top w:val="none" w:sz="0" w:space="0" w:color="auto"/>
        <w:left w:val="none" w:sz="0" w:space="0" w:color="auto"/>
        <w:bottom w:val="none" w:sz="0" w:space="0" w:color="auto"/>
        <w:right w:val="none" w:sz="0" w:space="0" w:color="auto"/>
      </w:divBdr>
    </w:div>
    <w:div w:id="1927808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994</Words>
  <Characters>5670</Characters>
  <Application>Microsoft Macintosh Word</Application>
  <DocSecurity>0</DocSecurity>
  <Lines>47</Lines>
  <Paragraphs>13</Paragraphs>
  <ScaleCrop>false</ScaleCrop>
  <Company>Argonne National Laboratory</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Phatak, Charudatta M.</dc:creator>
  <cp:keywords/>
  <dc:description/>
  <cp:lastModifiedBy>Phatak, Charudatta M.</cp:lastModifiedBy>
  <cp:revision>36</cp:revision>
  <dcterms:created xsi:type="dcterms:W3CDTF">2015-02-16T17:04:00Z</dcterms:created>
  <dcterms:modified xsi:type="dcterms:W3CDTF">2017-03-07T19:29:00Z</dcterms:modified>
</cp:coreProperties>
</file>