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5F" w:rsidRDefault="00FB765F">
      <w:r>
        <w:t>Opgave 2</w:t>
      </w:r>
    </w:p>
    <w:p w:rsidR="00FB765F" w:rsidRDefault="00FB765F"/>
    <w:p w:rsidR="0089687D" w:rsidRDefault="00FB765F">
      <w:r>
        <w:t xml:space="preserve">2.1 </w:t>
      </w:r>
    </w:p>
    <w:p w:rsidR="00FB765F" w:rsidRDefault="00FB765F"/>
    <w:p w:rsidR="00FB765F" w:rsidRDefault="00FB765F">
      <w:r>
        <w:drawing>
          <wp:inline distT="0" distB="0" distL="0" distR="0" wp14:anchorId="398AE54F" wp14:editId="25134B9C">
            <wp:extent cx="6116320" cy="338137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5F" w:rsidRDefault="00FB765F"/>
    <w:p w:rsidR="00FB765F" w:rsidRPr="00FB765F" w:rsidRDefault="00FB765F" w:rsidP="00FB765F">
      <w:pPr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</w:pPr>
      <w:r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>Vi b</w:t>
      </w:r>
      <w:r w:rsidRPr="00FB765F"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>emærk</w:t>
      </w:r>
      <w:r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>er</w:t>
      </w:r>
      <w:r w:rsidRPr="00FB765F"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 xml:space="preserve"> stikprøven er mindre end 30, </w:t>
      </w:r>
      <w:r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 xml:space="preserve">derfor </w:t>
      </w:r>
      <w:r w:rsidRPr="00FB765F"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 xml:space="preserve">skal </w:t>
      </w:r>
      <w:r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 xml:space="preserve">vi </w:t>
      </w:r>
      <w:r w:rsidRPr="00FB765F"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>sikre os stikprøven stammer fra en normalfordelt population, ved aflæsning af normalfraktildiagram</w:t>
      </w:r>
      <w:r>
        <w:rPr>
          <w:rFonts w:ascii="Arial" w:eastAsia="Times New Roman" w:hAnsi="Arial" w:cs="Arial"/>
          <w:noProof w:val="0"/>
          <w:color w:val="9C0006"/>
          <w:sz w:val="20"/>
          <w:szCs w:val="20"/>
          <w:lang w:val="da-DK" w:eastAsia="da-DK"/>
        </w:rPr>
        <w:t>. Det er det fordi det er nogenlunde om det rette linje.</w:t>
      </w: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  <w:r>
        <w:rPr>
          <w:lang w:val="da-DK"/>
        </w:rPr>
        <w:lastRenderedPageBreak/>
        <w:t>2.2</w:t>
      </w:r>
    </w:p>
    <w:p w:rsidR="00FB765F" w:rsidRDefault="00FB765F">
      <w:pPr>
        <w:rPr>
          <w:lang w:val="da-DK"/>
        </w:rPr>
      </w:pPr>
    </w:p>
    <w:tbl>
      <w:tblPr>
        <w:tblStyle w:val="Tabel-Gitter"/>
        <w:tblW w:w="9876" w:type="dxa"/>
        <w:tblInd w:w="0" w:type="dxa"/>
        <w:tblLook w:val="0480" w:firstRow="0" w:lastRow="0" w:firstColumn="1" w:lastColumn="0" w:noHBand="0" w:noVBand="1"/>
      </w:tblPr>
      <w:tblGrid>
        <w:gridCol w:w="4994"/>
        <w:gridCol w:w="4882"/>
      </w:tblGrid>
      <w:tr w:rsidR="00FB765F" w:rsidRPr="00FB765F" w:rsidTr="00FB765F">
        <w:trPr>
          <w:trHeight w:val="256"/>
        </w:trPr>
        <w:tc>
          <w:tcPr>
            <w:tcW w:w="9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noProof w:val="0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Test af standardafvigelsen i populationen </w:t>
            </w:r>
            <w:r>
              <w:rPr>
                <w:rFonts w:asciiTheme="minorHAnsi" w:hAnsiTheme="minorHAnsi"/>
                <w:sz w:val="20"/>
                <w:szCs w:val="20"/>
              </w:rPr>
              <w:t>σ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, ensidet alternativ hypotese nedad</w:t>
            </w:r>
          </w:p>
        </w:tc>
      </w:tr>
      <w:tr w:rsidR="00FB765F" w:rsidRPr="00FB765F" w:rsidTr="00FB765F">
        <w:trPr>
          <w:trHeight w:val="72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Pr="00FB765F" w:rsidRDefault="00FB765F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Er stikprøven er mindre end 30 observationer skal vi teste om populationen er approcimativt normalfordelt,</w:t>
            </w:r>
          </w:p>
          <w:p w:rsidR="00FB765F" w:rsidRPr="00FB765F" w:rsidRDefault="00FB765F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Fx i et normalfraktildiagram, dette har vi undersøgt i forrige spørgsmål.</w:t>
            </w:r>
          </w:p>
        </w:tc>
      </w:tr>
      <w:tr w:rsidR="00FB765F" w:rsidTr="00FB765F">
        <w:trPr>
          <w:trHeight w:val="25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=150</m:t>
                </m:r>
              </m:oMath>
            </m:oMathPara>
          </w:p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≠150</m:t>
                </m:r>
              </m:oMath>
            </m:oMathPara>
          </w:p>
        </w:tc>
      </w:tr>
      <w:tr w:rsidR="00FB765F" w:rsidTr="00FB765F">
        <w:trPr>
          <w:trHeight w:val="25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 w:rsidRPr="00FB765F">
              <w:rPr>
                <w:rFonts w:asciiTheme="minorHAnsi" w:hAnsiTheme="minorHAnsi"/>
                <w:sz w:val="20"/>
                <w:szCs w:val="20"/>
              </w:rPr>
              <w:t>33,0183</w:t>
            </w:r>
          </w:p>
        </w:tc>
      </w:tr>
      <w:tr w:rsidR="00FB765F" w:rsidTr="00FB765F">
        <w:trPr>
          <w:trHeight w:val="25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 w:rsidRPr="00FB765F">
              <w:rPr>
                <w:rFonts w:asciiTheme="minorHAnsi" w:eastAsia="Times New Roman" w:hAnsiTheme="minorHAnsi" w:cs="Arial"/>
                <w:color w:val="000000" w:themeColor="text1"/>
                <w:sz w:val="20"/>
                <w:szCs w:val="20"/>
              </w:rPr>
              <w:t>2,24%</w:t>
            </w:r>
          </w:p>
        </w:tc>
      </w:tr>
      <w:tr w:rsidR="00FB765F" w:rsidTr="00FB765F">
        <w:trPr>
          <w:trHeight w:val="25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%</w:t>
            </w:r>
          </w:p>
        </w:tc>
      </w:tr>
      <w:tr w:rsidR="00FB765F" w:rsidRPr="00FB765F" w:rsidTr="00FB765F">
        <w:trPr>
          <w:trHeight w:val="25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Pr="00FB765F" w:rsidRDefault="00FB765F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Da p-værdien/ signifikanssandsynligheden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2,24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% er større end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1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% signifikansniveauet forkaster vi ikke nulhypotesen.</w:t>
            </w:r>
          </w:p>
        </w:tc>
      </w:tr>
      <w:tr w:rsidR="00FB765F" w:rsidRPr="00FB765F" w:rsidTr="00FB765F">
        <w:trPr>
          <w:trHeight w:val="511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Default="00FB76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65F" w:rsidRPr="00FB765F" w:rsidRDefault="00FB765F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>
              <w:rPr>
                <w:rFonts w:asciiTheme="minorHAnsi" w:hAnsiTheme="minorHAnsi"/>
                <w:sz w:val="20"/>
                <w:szCs w:val="20"/>
                <w:lang w:val="da-DK"/>
              </w:rPr>
              <w:t>Dette betyder at standardafvigelse i popultionen antages at være 150.000 kr.</w:t>
            </w:r>
          </w:p>
        </w:tc>
      </w:tr>
      <w:tr w:rsidR="00FB765F" w:rsidRPr="00FB765F" w:rsidTr="00FB765F">
        <w:trPr>
          <w:trHeight w:val="2751"/>
        </w:trPr>
        <w:tc>
          <w:tcPr>
            <w:tcW w:w="9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65F" w:rsidRDefault="00FB765F" w:rsidP="00FB765F">
            <w:pPr>
              <w:rPr>
                <w:lang w:val="da-DK"/>
              </w:rPr>
            </w:pPr>
          </w:p>
          <w:tbl>
            <w:tblPr>
              <w:tblW w:w="715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40"/>
              <w:gridCol w:w="2216"/>
            </w:tblGrid>
            <w:tr w:rsidR="00FB765F" w:rsidTr="00FB765F">
              <w:trPr>
                <w:trHeight w:val="300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b/>
                      <w:bCs/>
                      <w:noProof w:val="0"/>
                      <w:sz w:val="20"/>
                      <w:szCs w:val="20"/>
                      <w:lang w:val="da-DK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Test standard afvigelse σ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B765F" w:rsidRDefault="00FB765F" w:rsidP="00FB765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150</w:t>
                  </w:r>
                </w:p>
              </w:tc>
            </w:tr>
            <w:tr w:rsidR="00FB765F" w:rsidTr="00FB765F">
              <w:trPr>
                <w:trHeight w:val="260"/>
              </w:trPr>
              <w:tc>
                <w:tcPr>
                  <w:tcW w:w="49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To-sidet alternativ hypotese</w:t>
                  </w:r>
                </w:p>
              </w:tc>
              <w:tc>
                <w:tcPr>
                  <w:tcW w:w="2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B765F" w:rsidTr="00FB765F">
              <w:trPr>
                <w:trHeight w:val="260"/>
              </w:trPr>
              <w:tc>
                <w:tcPr>
                  <w:tcW w:w="49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Teststørrelse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33,0183</w:t>
                  </w:r>
                </w:p>
              </w:tc>
            </w:tr>
            <w:tr w:rsidR="00FB765F" w:rsidTr="00FB765F">
              <w:trPr>
                <w:trHeight w:val="260"/>
              </w:trPr>
              <w:tc>
                <w:tcPr>
                  <w:tcW w:w="49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p-værdi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FB765F" w:rsidRDefault="00FB765F" w:rsidP="00FB765F">
                  <w:pPr>
                    <w:jc w:val="right"/>
                    <w:rPr>
                      <w:rFonts w:ascii="Arial" w:hAnsi="Arial" w:cs="Arial"/>
                      <w:color w:val="0061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6100"/>
                      <w:sz w:val="20"/>
                      <w:szCs w:val="20"/>
                    </w:rPr>
                    <w:t>2,24%</w:t>
                  </w:r>
                </w:p>
              </w:tc>
            </w:tr>
            <w:tr w:rsidR="00FB765F" w:rsidTr="00FB765F">
              <w:trPr>
                <w:trHeight w:val="240"/>
              </w:trPr>
              <w:tc>
                <w:tcPr>
                  <w:tcW w:w="49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σ =150</w:t>
                  </w:r>
                </w:p>
              </w:tc>
            </w:tr>
            <w:tr w:rsidR="00FB765F" w:rsidTr="00FB765F">
              <w:trPr>
                <w:trHeight w:val="300"/>
              </w:trPr>
              <w:tc>
                <w:tcPr>
                  <w:tcW w:w="49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σ ≠150</w:t>
                  </w:r>
                </w:p>
              </w:tc>
            </w:tr>
            <w:tr w:rsidR="00FB765F" w:rsidRPr="00FB765F" w:rsidTr="00FB765F">
              <w:trPr>
                <w:trHeight w:val="260"/>
              </w:trPr>
              <w:tc>
                <w:tcPr>
                  <w:tcW w:w="715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nil"/>
                  </w:tcBorders>
                  <w:shd w:val="clear" w:color="000000" w:fill="F2F2F2"/>
                  <w:vAlign w:val="bottom"/>
                  <w:hideMark/>
                </w:tcPr>
                <w:p w:rsidR="00FB765F" w:rsidRP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  <w:lang w:val="da-DK"/>
                    </w:rPr>
                  </w:pPr>
                  <w:r w:rsidRPr="00FB765F">
                    <w:rPr>
                      <w:rFonts w:ascii="Arial" w:hAnsi="Arial" w:cs="Arial"/>
                      <w:sz w:val="20"/>
                      <w:szCs w:val="20"/>
                      <w:lang w:val="da-DK"/>
                    </w:rPr>
                    <w:t>Da p værdien/signifikanssandsynligheden 0,0224 &gt; 0,01 signifikansniveauet, kan vi ikke afvise nulhypotesen, om at standardafvigelsen er 150</w:t>
                  </w:r>
                </w:p>
              </w:tc>
            </w:tr>
            <w:tr w:rsidR="00FB765F" w:rsidRPr="00FB765F" w:rsidTr="00FB765F">
              <w:trPr>
                <w:trHeight w:val="300"/>
              </w:trPr>
              <w:tc>
                <w:tcPr>
                  <w:tcW w:w="7156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FB765F" w:rsidRPr="00FB765F" w:rsidRDefault="00FB765F" w:rsidP="00FB765F">
                  <w:pPr>
                    <w:rPr>
                      <w:rFonts w:ascii="Arial" w:hAnsi="Arial" w:cs="Arial"/>
                      <w:sz w:val="20"/>
                      <w:szCs w:val="20"/>
                      <w:lang w:val="da-DK"/>
                    </w:rPr>
                  </w:pPr>
                </w:p>
              </w:tc>
            </w:tr>
          </w:tbl>
          <w:p w:rsidR="00FB765F" w:rsidRPr="00FB765F" w:rsidRDefault="00FB765F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  <w:p w:rsidR="00FB765F" w:rsidRPr="00FB765F" w:rsidRDefault="00FB765F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</w:tc>
      </w:tr>
    </w:tbl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 w:rsidP="00FB765F">
      <w:pPr>
        <w:tabs>
          <w:tab w:val="left" w:pos="4172"/>
        </w:tabs>
        <w:rPr>
          <w:lang w:val="da-DK"/>
        </w:rPr>
      </w:pPr>
      <w:r>
        <w:rPr>
          <w:lang w:val="da-DK"/>
        </w:rPr>
        <w:lastRenderedPageBreak/>
        <w:t>2.3</w:t>
      </w:r>
      <w:r>
        <w:rPr>
          <w:lang w:val="da-DK"/>
        </w:rPr>
        <w:tab/>
      </w:r>
    </w:p>
    <w:p w:rsidR="00FB765F" w:rsidRDefault="00FB765F">
      <w:pPr>
        <w:rPr>
          <w:lang w:val="da-DK"/>
        </w:rPr>
      </w:pPr>
    </w:p>
    <w:tbl>
      <w:tblPr>
        <w:tblStyle w:val="Tabel-Gitter"/>
        <w:tblW w:w="9741" w:type="dxa"/>
        <w:tblInd w:w="0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FB765F" w:rsidRPr="00FB765F" w:rsidTr="00742456">
        <w:trPr>
          <w:trHeight w:val="256"/>
        </w:trPr>
        <w:tc>
          <w:tcPr>
            <w:tcW w:w="9741" w:type="dxa"/>
            <w:gridSpan w:val="2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br w:type="column"/>
              <w:t xml:space="preserve">Test af middelværdi i populationen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μ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, ensidet alternativ hypotese nedad</w:t>
            </w:r>
          </w:p>
        </w:tc>
      </w:tr>
      <w:tr w:rsidR="00FB765F" w:rsidRPr="00FB765F" w:rsidTr="00742456">
        <w:trPr>
          <w:trHeight w:val="1387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Forudsætninger: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Er stikprøven er mindre end 30 observationer skal vi teste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om populationen er approximativt normalfordelt, fx i et normalfraktildiagram.</w:t>
            </w:r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:μ≥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550</m:t>
                </m:r>
              </m:oMath>
            </m:oMathPara>
          </w:p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550</m:t>
                </m:r>
              </m:oMath>
            </m:oMathPara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sz w:val="20"/>
                <w:szCs w:val="20"/>
                <w:lang w:val="da-DK"/>
              </w:rPr>
            </w:pPr>
            <w:r w:rsidRPr="00FB765F">
              <w:rPr>
                <w:sz w:val="20"/>
                <w:szCs w:val="20"/>
              </w:rPr>
              <w:t>-2,4862</w:t>
            </w:r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1,18%</w:t>
            </w:r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FB765F" w:rsidRPr="00FB765F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:rsid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Da p-værdien/ signifikanssandsynligheden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1,18&amp;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er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mindre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end 5% signifikansniveauet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forkaster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vi nulhypotesen.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>
              <w:rPr>
                <w:rFonts w:asciiTheme="minorHAnsi" w:hAnsiTheme="minorHAnsi"/>
                <w:sz w:val="20"/>
                <w:szCs w:val="20"/>
                <w:lang w:val="da-DK"/>
              </w:rPr>
              <w:t>Konklusionen er niveaufølsom, havde vi testet på 1% signifikansniveau kunne vi ikke forkaste nulhypotesen.</w:t>
            </w:r>
          </w:p>
        </w:tc>
      </w:tr>
      <w:tr w:rsidR="00FB765F" w:rsidRPr="00FB765F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Den gennemsnitlige årlige indkomst er und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 xml:space="preserve">er 550.000 </w:t>
            </w:r>
          </w:p>
        </w:tc>
      </w:tr>
      <w:tr w:rsidR="00FB765F" w:rsidRPr="00FB765F" w:rsidTr="00742456">
        <w:trPr>
          <w:trHeight w:val="259"/>
        </w:trPr>
        <w:tc>
          <w:tcPr>
            <w:tcW w:w="9741" w:type="dxa"/>
            <w:gridSpan w:val="2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drawing>
                <wp:inline distT="0" distB="0" distL="0" distR="0" wp14:anchorId="2FE39467" wp14:editId="2E5D8EB9">
                  <wp:extent cx="4508500" cy="1066800"/>
                  <wp:effectExtent l="0" t="0" r="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</w:tc>
      </w:tr>
    </w:tbl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  <w:r>
        <w:rPr>
          <w:lang w:val="da-DK"/>
        </w:rPr>
        <w:br w:type="column"/>
      </w:r>
      <w:r>
        <w:rPr>
          <w:lang w:val="da-DK"/>
        </w:rPr>
        <w:lastRenderedPageBreak/>
        <w:t>2.4</w:t>
      </w:r>
    </w:p>
    <w:p w:rsidR="00FB765F" w:rsidRDefault="00FB765F">
      <w:pPr>
        <w:rPr>
          <w:lang w:val="da-DK"/>
        </w:rPr>
      </w:pPr>
    </w:p>
    <w:tbl>
      <w:tblPr>
        <w:tblStyle w:val="Tabel-Gitter"/>
        <w:tblW w:w="9741" w:type="dxa"/>
        <w:tblInd w:w="0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FB765F" w:rsidRPr="00FB765F" w:rsidTr="00742456">
        <w:trPr>
          <w:trHeight w:val="256"/>
        </w:trPr>
        <w:tc>
          <w:tcPr>
            <w:tcW w:w="9741" w:type="dxa"/>
            <w:gridSpan w:val="2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br w:type="column"/>
            </w:r>
            <w:r w:rsidRPr="00FB765F">
              <w:rPr>
                <w:rFonts w:asciiTheme="minorHAnsi" w:eastAsiaTheme="minorEastAsia" w:hAnsiTheme="minorHAnsi"/>
                <w:sz w:val="20"/>
                <w:szCs w:val="20"/>
                <w:lang w:val="da-DK"/>
              </w:rPr>
              <w:t>Test 2 Middelværdier ens varians, tosidet alternativ hypotese</w:t>
            </w:r>
          </w:p>
        </w:tc>
      </w:tr>
      <w:tr w:rsidR="00FB765F" w:rsidRPr="00FB765F" w:rsidTr="00742456">
        <w:trPr>
          <w:trHeight w:val="651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Forudsætninger:</w:t>
            </w:r>
          </w:p>
        </w:tc>
        <w:tc>
          <w:tcPr>
            <w:tcW w:w="4955" w:type="dxa"/>
          </w:tcPr>
          <w:p w:rsidR="00FB765F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Forudsætning for test for varianshomogenitet er at begge populationer er normalfordelte. 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Dette kan fx testes ved grafisk med normalfraktildiagram.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Vi må dog forudsætte at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nabokommunens population er normaltfordelt, da vi ikke har rådata at analysere.</w:t>
            </w:r>
          </w:p>
        </w:tc>
      </w:tr>
      <w:tr w:rsidR="00FB765F" w:rsidRPr="00A720BB" w:rsidTr="00742456">
        <w:trPr>
          <w:trHeight w:val="59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Nabo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Vores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Nabo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Vores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84,64%</w:t>
            </w:r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%</w:t>
            </w:r>
          </w:p>
        </w:tc>
      </w:tr>
      <w:tr w:rsidR="00FB765F" w:rsidRPr="00FB765F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Da p-værdien/ signifikanssandsynligheden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84,64%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er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 xml:space="preserve">større 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end 5% signifikansniveauet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kan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vi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ikke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nulhypotesen.</w:t>
            </w:r>
          </w:p>
        </w:tc>
      </w:tr>
      <w:tr w:rsidR="00FB765F" w:rsidRPr="00FB765F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:rsidR="00FB765F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Varianserne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i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indkomsten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i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de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2 kommuner er altså ens.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</w:tc>
      </w:tr>
      <w:tr w:rsidR="00FB765F" w:rsidRPr="00FB765F" w:rsidTr="00742456">
        <w:trPr>
          <w:trHeight w:val="259"/>
        </w:trPr>
        <w:tc>
          <w:tcPr>
            <w:tcW w:w="9741" w:type="dxa"/>
            <w:gridSpan w:val="2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drawing>
                <wp:inline distT="0" distB="0" distL="0" distR="0" wp14:anchorId="3308D1F3" wp14:editId="4F567CEC">
                  <wp:extent cx="3975100" cy="1409700"/>
                  <wp:effectExtent l="0" t="0" r="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</w:tc>
      </w:tr>
    </w:tbl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  <w:r>
        <w:rPr>
          <w:lang w:val="da-DK"/>
        </w:rPr>
        <w:br w:type="column"/>
      </w:r>
      <w:r>
        <w:rPr>
          <w:lang w:val="da-DK"/>
        </w:rPr>
        <w:lastRenderedPageBreak/>
        <w:t>2.5</w:t>
      </w:r>
    </w:p>
    <w:p w:rsidR="00FB765F" w:rsidRDefault="00FB765F">
      <w:pPr>
        <w:rPr>
          <w:lang w:val="da-DK"/>
        </w:rPr>
      </w:pPr>
    </w:p>
    <w:tbl>
      <w:tblPr>
        <w:tblStyle w:val="Tabel-Gitter"/>
        <w:tblW w:w="9741" w:type="dxa"/>
        <w:tblInd w:w="0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FB765F" w:rsidRPr="00FB765F" w:rsidTr="00742456">
        <w:trPr>
          <w:trHeight w:val="256"/>
        </w:trPr>
        <w:tc>
          <w:tcPr>
            <w:tcW w:w="9741" w:type="dxa"/>
            <w:gridSpan w:val="2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br w:type="column"/>
            </w:r>
            <w:r w:rsidRPr="00FB765F">
              <w:rPr>
                <w:rFonts w:asciiTheme="minorHAnsi" w:eastAsiaTheme="minorEastAsia" w:hAnsiTheme="minorHAnsi"/>
                <w:sz w:val="20"/>
                <w:szCs w:val="20"/>
                <w:lang w:val="da-DK"/>
              </w:rPr>
              <w:t>Test 2 Middelværdier ens varians, ensidet alternativ hypotese opad</w:t>
            </w:r>
          </w:p>
        </w:tc>
      </w:tr>
      <w:tr w:rsidR="00FB765F" w:rsidRPr="00FB765F" w:rsidTr="00742456">
        <w:trPr>
          <w:trHeight w:val="651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Det forudsættes at varianserne er ens for de 2 populationer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, dette så vi i 2.4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>Vi gennemfører en pooled t-test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Forudsætning for test for varianshomogenitet er at begge populationer er normalfordelte.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</w:t>
            </w:r>
          </w:p>
        </w:tc>
      </w:tr>
      <w:tr w:rsidR="00FB765F" w:rsidRPr="00A720BB" w:rsidTr="00742456">
        <w:trPr>
          <w:trHeight w:val="59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Nabo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Vores</m:t>
                    </m:r>
                  </m:sub>
                </m:sSub>
              </m:oMath>
            </m:oMathPara>
          </w:p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Nabo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Vores</m:t>
                    </m:r>
                  </m:sub>
                </m:sSub>
              </m:oMath>
            </m:oMathPara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sz w:val="20"/>
                <w:szCs w:val="20"/>
                <w:lang w:val="da-DK"/>
              </w:rPr>
            </w:pPr>
            <w:r w:rsidRPr="00FB765F">
              <w:rPr>
                <w:sz w:val="20"/>
                <w:szCs w:val="20"/>
              </w:rPr>
              <w:t>1,8454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3,66%</w:t>
            </w:r>
          </w:p>
        </w:tc>
      </w:tr>
      <w:tr w:rsidR="00FB765F" w:rsidRPr="00A720BB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FB765F" w:rsidRPr="00FB765F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:rsid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Da p-værdien/ signifikanssandsynligheden 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>3,66%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er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mindre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end 5% signifikansniveauet</w:t>
            </w:r>
            <w:r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forkaster</w:t>
            </w: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 vi nulhypotesen.</w:t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>
              <w:rPr>
                <w:rFonts w:asciiTheme="minorHAnsi" w:hAnsiTheme="minorHAnsi"/>
                <w:sz w:val="20"/>
                <w:szCs w:val="20"/>
                <w:lang w:val="da-DK"/>
              </w:rPr>
              <w:t>Konklusionen er niveaufølsom, havde vi testet 1% signifikansniveau kunne vi ikke forkaste nulhypotese.</w:t>
            </w:r>
          </w:p>
        </w:tc>
      </w:tr>
      <w:tr w:rsidR="00FB765F" w:rsidRPr="00FB765F" w:rsidTr="00742456">
        <w:trPr>
          <w:trHeight w:val="256"/>
        </w:trPr>
        <w:tc>
          <w:tcPr>
            <w:tcW w:w="4786" w:type="dxa"/>
          </w:tcPr>
          <w:p w:rsidR="00FB765F" w:rsidRPr="00A720BB" w:rsidRDefault="00FB765F" w:rsidP="00742456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t xml:space="preserve">Vi konkludere at nabokommunen har en højere indkomst end vores kommune. </w:t>
            </w:r>
          </w:p>
        </w:tc>
      </w:tr>
      <w:tr w:rsidR="00FB765F" w:rsidRPr="00FB765F" w:rsidTr="00742456">
        <w:trPr>
          <w:trHeight w:val="259"/>
        </w:trPr>
        <w:tc>
          <w:tcPr>
            <w:tcW w:w="9741" w:type="dxa"/>
            <w:gridSpan w:val="2"/>
          </w:tcPr>
          <w:p w:rsid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  <w:r w:rsidRPr="00FB765F">
              <w:rPr>
                <w:rFonts w:asciiTheme="minorHAnsi" w:hAnsiTheme="minorHAnsi"/>
                <w:sz w:val="20"/>
                <w:szCs w:val="20"/>
                <w:lang w:val="da-DK"/>
              </w:rPr>
              <w:drawing>
                <wp:inline distT="0" distB="0" distL="0" distR="0" wp14:anchorId="7820B1E0" wp14:editId="68BA9C33">
                  <wp:extent cx="3644900" cy="1041400"/>
                  <wp:effectExtent l="0" t="0" r="0" b="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65F" w:rsidRPr="00FB765F" w:rsidRDefault="00FB765F" w:rsidP="00742456">
            <w:pPr>
              <w:rPr>
                <w:rFonts w:asciiTheme="minorHAnsi" w:hAnsiTheme="minorHAnsi"/>
                <w:sz w:val="20"/>
                <w:szCs w:val="20"/>
                <w:lang w:val="da-DK"/>
              </w:rPr>
            </w:pPr>
          </w:p>
        </w:tc>
      </w:tr>
    </w:tbl>
    <w:p w:rsidR="00FB765F" w:rsidRDefault="00FB765F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  <w:r>
        <w:rPr>
          <w:lang w:val="da-DK"/>
        </w:rPr>
        <w:br w:type="page"/>
      </w:r>
    </w:p>
    <w:p w:rsidR="00FB765F" w:rsidRDefault="00FB765F">
      <w:pPr>
        <w:rPr>
          <w:lang w:val="da-DK"/>
        </w:rPr>
      </w:pPr>
      <w:r>
        <w:rPr>
          <w:lang w:val="da-DK"/>
        </w:rPr>
        <w:lastRenderedPageBreak/>
        <w:t>2.6</w:t>
      </w: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  <w:r>
        <w:rPr>
          <w:lang w:val="da-DK"/>
        </w:rPr>
        <w:t>Dem stokastiske variaben x beskrives som med ved en normaltfordelingen middelværdi på 550 og med standardafvigelse på 150.</w:t>
      </w:r>
    </w:p>
    <w:p w:rsidR="00FB765F" w:rsidRDefault="00FB765F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X~N(μ=500, σ=150)</m:t>
          </m:r>
        </m:oMath>
      </m:oMathPara>
    </w:p>
    <w:p w:rsidR="00FB765F" w:rsidRPr="00FB765F" w:rsidRDefault="00FB765F" w:rsidP="00FB765F">
      <w:pPr>
        <w:jc w:val="center"/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P(X≤600) = 0,6306</m:t>
          </m:r>
        </m:oMath>
      </m:oMathPara>
    </w:p>
    <w:p w:rsidR="00FB765F" w:rsidRDefault="00FB765F">
      <w:pPr>
        <w:rPr>
          <w:lang w:val="da-DK"/>
        </w:rPr>
      </w:pPr>
      <w:r>
        <w:rPr>
          <w:lang w:val="da-DK"/>
        </w:rPr>
        <w:t xml:space="preserve"> </w:t>
      </w:r>
    </w:p>
    <w:p w:rsidR="00FB765F" w:rsidRDefault="00FB765F">
      <w:pPr>
        <w:rPr>
          <w:lang w:val="da-DK"/>
        </w:rPr>
      </w:pPr>
      <w:r>
        <w:rPr>
          <w:lang w:val="da-DK"/>
        </w:rPr>
        <w:t>Det betyder at sansynligheden for borger har en indkomst på mindre end 600.000 er 63,06%</w:t>
      </w:r>
    </w:p>
    <w:p w:rsidR="00FB765F" w:rsidRDefault="00FB765F">
      <w:pPr>
        <w:rPr>
          <w:lang w:val="da-DK"/>
        </w:rPr>
      </w:pPr>
    </w:p>
    <w:p w:rsidR="00FB765F" w:rsidRDefault="00FB765F">
      <w:pPr>
        <w:rPr>
          <w:lang w:val="da-DK"/>
        </w:rPr>
      </w:pPr>
      <w:r>
        <w:drawing>
          <wp:inline distT="0" distB="0" distL="0" distR="0" wp14:anchorId="1D0D784D" wp14:editId="085E7EE8">
            <wp:extent cx="6116320" cy="3444875"/>
            <wp:effectExtent l="0" t="0" r="508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a-DK"/>
        </w:rPr>
        <w:t xml:space="preserve"> </w:t>
      </w:r>
    </w:p>
    <w:p w:rsidR="00FB765F" w:rsidRDefault="00FB765F" w:rsidP="00FB765F">
      <w:pPr>
        <w:tabs>
          <w:tab w:val="left" w:pos="5720"/>
        </w:tabs>
        <w:rPr>
          <w:lang w:val="da-DK"/>
        </w:rPr>
      </w:pPr>
      <w:r>
        <w:rPr>
          <w:lang w:val="da-DK"/>
        </w:rPr>
        <w:tab/>
      </w:r>
    </w:p>
    <w:p w:rsidR="00FB765F" w:rsidRDefault="00FB765F">
      <w:pPr>
        <w:rPr>
          <w:lang w:val="da-DK"/>
        </w:rPr>
      </w:pPr>
      <w:r>
        <w:rPr>
          <w:lang w:val="da-DK"/>
        </w:rPr>
        <w:br w:type="page"/>
      </w:r>
    </w:p>
    <w:p w:rsidR="00FB765F" w:rsidRDefault="00FB765F" w:rsidP="00FB765F">
      <w:pPr>
        <w:tabs>
          <w:tab w:val="left" w:pos="5720"/>
        </w:tabs>
        <w:rPr>
          <w:lang w:val="da-DK"/>
        </w:rPr>
      </w:pPr>
      <w:r>
        <w:rPr>
          <w:lang w:val="da-DK"/>
        </w:rPr>
        <w:lastRenderedPageBreak/>
        <w:t>2.7</w:t>
      </w:r>
    </w:p>
    <w:p w:rsidR="00FB765F" w:rsidRDefault="00FB765F" w:rsidP="00FB765F">
      <w:pPr>
        <w:tabs>
          <w:tab w:val="left" w:pos="5720"/>
        </w:tabs>
        <w:rPr>
          <w:lang w:val="da-DK"/>
        </w:rPr>
      </w:pPr>
    </w:p>
    <w:p w:rsidR="00FB765F" w:rsidRDefault="00FB765F" w:rsidP="00FB765F">
      <w:pPr>
        <w:rPr>
          <w:lang w:val="da-DK"/>
        </w:rPr>
      </w:pPr>
      <w:r>
        <w:rPr>
          <w:lang w:val="da-DK"/>
        </w:rPr>
        <w:t>Dem stokastiske variaben x beskrives som med ved en normaltfordelingen middelværdi på 550 og med standardafvigelse på 150.</w:t>
      </w:r>
    </w:p>
    <w:p w:rsidR="00FB765F" w:rsidRDefault="00FB765F" w:rsidP="00FB765F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X~N(μ=500, σ=</m:t>
          </m:r>
          <m:r>
            <w:rPr>
              <w:rFonts w:ascii="Cambria Math" w:hAnsi="Cambria Math"/>
              <w:lang w:val="da-DK"/>
            </w:rPr>
            <m:t>35,36</m:t>
          </m:r>
          <m:r>
            <w:rPr>
              <w:rFonts w:ascii="Cambria Math" w:hAnsi="Cambria Math"/>
              <w:lang w:val="da-DK"/>
            </w:rPr>
            <m:t>)</m:t>
          </m:r>
        </m:oMath>
      </m:oMathPara>
    </w:p>
    <w:p w:rsidR="00FB765F" w:rsidRPr="00FB765F" w:rsidRDefault="00FB765F" w:rsidP="00FB765F">
      <w:pPr>
        <w:jc w:val="center"/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P(X≤600) = 0,</m:t>
          </m:r>
          <m:r>
            <m:rPr>
              <m:sty m:val="p"/>
            </m:rPr>
            <w:rPr>
              <w:rFonts w:ascii="Cambria Math" w:hAnsi="Cambria Math"/>
            </w:rPr>
            <m:t>9214</m:t>
          </m:r>
        </m:oMath>
      </m:oMathPara>
    </w:p>
    <w:p w:rsidR="00FB765F" w:rsidRDefault="00FB765F" w:rsidP="00FB765F">
      <w:pPr>
        <w:rPr>
          <w:lang w:val="da-DK"/>
        </w:rPr>
      </w:pPr>
      <w:r>
        <w:rPr>
          <w:lang w:val="da-DK"/>
        </w:rPr>
        <w:t xml:space="preserve"> </w:t>
      </w:r>
    </w:p>
    <w:p w:rsidR="00FB765F" w:rsidRDefault="00FB765F" w:rsidP="00FB765F">
      <w:pPr>
        <w:rPr>
          <w:lang w:val="da-DK"/>
        </w:rPr>
      </w:pPr>
      <w:r>
        <w:rPr>
          <w:lang w:val="da-DK"/>
        </w:rPr>
        <w:t>Det betyder at sansynligheden for</w:t>
      </w:r>
      <w:r>
        <w:rPr>
          <w:lang w:val="da-DK"/>
        </w:rPr>
        <w:t xml:space="preserve"> den gennemsnitlige indkomst for 18</w:t>
      </w:r>
      <w:r>
        <w:rPr>
          <w:lang w:val="da-DK"/>
        </w:rPr>
        <w:t xml:space="preserve"> borger</w:t>
      </w:r>
      <w:r>
        <w:rPr>
          <w:lang w:val="da-DK"/>
        </w:rPr>
        <w:t>e</w:t>
      </w:r>
      <w:r>
        <w:rPr>
          <w:lang w:val="da-DK"/>
        </w:rPr>
        <w:t xml:space="preserve"> </w:t>
      </w:r>
      <w:r>
        <w:rPr>
          <w:lang w:val="da-DK"/>
        </w:rPr>
        <w:t xml:space="preserve">er </w:t>
      </w:r>
      <w:r>
        <w:rPr>
          <w:lang w:val="da-DK"/>
        </w:rPr>
        <w:t xml:space="preserve"> mindre end 600.000 er </w:t>
      </w:r>
      <w:r>
        <w:rPr>
          <w:lang w:val="da-DK"/>
        </w:rPr>
        <w:t>92,14</w:t>
      </w:r>
      <w:r>
        <w:rPr>
          <w:lang w:val="da-DK"/>
        </w:rPr>
        <w:t>%</w:t>
      </w:r>
      <w:r>
        <w:rPr>
          <w:lang w:val="da-DK"/>
        </w:rPr>
        <w:t>.</w:t>
      </w:r>
    </w:p>
    <w:p w:rsidR="00FB765F" w:rsidRPr="00FB765F" w:rsidRDefault="00FB765F" w:rsidP="00FB765F">
      <w:pPr>
        <w:rPr>
          <w:lang w:val="da-DK"/>
        </w:rPr>
      </w:pPr>
      <w:r>
        <w:rPr>
          <w:lang w:val="da-DK"/>
        </w:rPr>
        <w:t xml:space="preserve">Dette giver god mening ift. 6.1 hvor vi kun så på 1 borger, det er usansyndligt at 18 borger at alle har høje indkomster, så </w:t>
      </w:r>
      <w:bookmarkStart w:id="0" w:name="_GoBack"/>
      <w:bookmarkEnd w:id="0"/>
      <w:r>
        <w:rPr>
          <w:lang w:val="da-DK"/>
        </w:rPr>
        <w:t xml:space="preserve"> gennemsnittet skulle bliver højere end 600.000</w:t>
      </w:r>
    </w:p>
    <w:sectPr w:rsidR="00FB765F" w:rsidRPr="00FB765F" w:rsidSect="005B476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5F"/>
    <w:rsid w:val="005B476C"/>
    <w:rsid w:val="0089687D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04584"/>
  <w15:chartTrackingRefBased/>
  <w15:docId w15:val="{C8E7D4DA-3166-1B44-B58C-F9D69B1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B765F"/>
    <w:rPr>
      <w:rFonts w:ascii="Helvetica Neue Thin" w:hAnsi="Helvetica Neue Th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FB7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578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 Poulsen</dc:creator>
  <cp:keywords/>
  <dc:description/>
  <cp:lastModifiedBy>Nivi Poulsen</cp:lastModifiedBy>
  <cp:revision>1</cp:revision>
  <dcterms:created xsi:type="dcterms:W3CDTF">2020-02-18T16:03:00Z</dcterms:created>
  <dcterms:modified xsi:type="dcterms:W3CDTF">2020-02-18T18:03:00Z</dcterms:modified>
</cp:coreProperties>
</file>